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מערכת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מונוליטית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המאופיינת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מרכיביה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מפרידה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הלוגיקות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מודולריות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קריא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שעובדים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אפילו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לטעון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ואולי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לקמפל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להיכשל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Micro Services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מדובר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ארכיטקטורת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יישומים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מיחידות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המתקשרות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APIs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מודולריות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נרחבת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מפרידה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לשירותים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הצימוד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נמוכה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ארכיטקטורה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חוסן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ששירותים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עצמאי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טכנולוגיה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br w:type="textWrapping"/>
        <w:br w:type="textWrapping"/>
      </w:r>
      <w:r w:rsidDel="00000000" w:rsidR="00000000" w:rsidRPr="00000000">
        <w:rPr>
          <w:sz w:val="28"/>
          <w:szCs w:val="28"/>
          <w:u w:val="single"/>
          <w:rtl w:val="1"/>
        </w:rPr>
        <w:t xml:space="preserve">יתרונות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TTM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המרכיבים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תכנית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מתכווצת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צוותים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מפתחים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עצמאי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כמעט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שיפורים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ותיקונים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להתרחש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Agile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u w:val="single"/>
          <w:rtl w:val="1"/>
        </w:rPr>
        <w:t xml:space="preserve">חסרונות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מבצעים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רחבות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מהימנות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מקיפה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microservice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לדאוג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לסנכרון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ותיאום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השירותים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התנגשויות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timeouts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read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write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וכדומה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ארכיטקטורה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הארגון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הארגוני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שוטפת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הנראה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service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refactoring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5)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rFonts w:ascii="Verdana" w:cs="Verdana" w:eastAsia="Verdana" w:hAnsi="Verdana"/>
          <w:color w:val="333333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30"/>
          <w:szCs w:val="30"/>
          <w:rtl w:val="0"/>
        </w:rPr>
        <w:t xml:space="preserve">hdfs dfs -put &lt;localfile&gt; &lt;dest&gt;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Verdana" w:cs="Verdana" w:eastAsia="Verdana" w:hAnsi="Verdana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דוגמה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contextualSpacing w:val="0"/>
        <w:jc w:val="right"/>
        <w:rPr>
          <w:rFonts w:ascii="Verdana" w:cs="Verdana" w:eastAsia="Verdana" w:hAnsi="Verdana"/>
          <w:color w:val="333333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30"/>
          <w:szCs w:val="30"/>
          <w:rtl w:val="0"/>
        </w:rPr>
        <w:t xml:space="preserve">hdfs dfs -put localfile /user/hadoop/hadoopfile</w:t>
      </w:r>
    </w:p>
    <w:p w:rsidR="00000000" w:rsidDel="00000000" w:rsidP="00000000" w:rsidRDefault="00000000" w:rsidRPr="00000000" w14:paraId="0000001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