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Cambria" w:hAnsi="Cambria" w:cs="Arial"/>
        </w:rPr>
      </w:pPr>
      <w:r>
        <w:rPr>
          <w:rFonts w:cs="Arial" w:ascii="Cambria" w:hAnsi="Cambria"/>
        </w:rPr>
      </w:r>
    </w:p>
    <w:p>
      <w:pPr>
        <w:pStyle w:val="Normal"/>
        <w:jc w:val="both"/>
        <w:rPr>
          <w:rFonts w:ascii="Cambria" w:hAnsi="Cambria" w:cs="Arial"/>
        </w:rPr>
      </w:pPr>
      <w:r>
        <w:rPr>
          <w:rFonts w:cs="Arial" w:ascii="Cambria" w:hAnsi="Cambria"/>
        </w:rPr>
      </w:r>
    </w:p>
    <w:p>
      <w:pPr>
        <w:pStyle w:val="Normal"/>
        <w:rPr>
          <w:rFonts w:ascii="Cambria" w:hAnsi="Cambria" w:cs="Arial"/>
        </w:rPr>
      </w:pPr>
      <w:r>
        <w:rPr>
          <w:rFonts w:cs="Arial" w:ascii="Cambria" w:hAnsi="Cambria"/>
        </w:rPr>
      </w:r>
    </w:p>
    <w:p>
      <w:pPr>
        <w:pStyle w:val="Normal"/>
        <w:tabs>
          <w:tab w:val="clear" w:pos="708"/>
          <w:tab w:val="left" w:pos="720" w:leader="none"/>
        </w:tabs>
        <w:spacing w:before="240" w:after="0"/>
        <w:jc w:val="center"/>
        <w:rPr>
          <w:rFonts w:ascii="Times;Sylfaen" w:hAnsi="Times;Sylfaen" w:cs="Arial"/>
          <w:sz w:val="32"/>
          <w:szCs w:val="32"/>
        </w:rPr>
      </w:pPr>
      <w:r>
        <w:rPr>
          <w:rFonts w:cs="Arial" w:ascii="Times;Sylfaen" w:hAnsi="Times;Sylfaen"/>
          <w:sz w:val="32"/>
          <w:szCs w:val="32"/>
        </w:rPr>
        <w:t>Detecção de Ataques em IoT com IA Preditiva via MCP</w:t>
      </w:r>
    </w:p>
    <w:p>
      <w:pPr>
        <w:pStyle w:val="Normal"/>
        <w:tabs>
          <w:tab w:val="clear" w:pos="708"/>
          <w:tab w:val="left" w:pos="720" w:leader="none"/>
        </w:tabs>
        <w:spacing w:before="240" w:after="0"/>
        <w:jc w:val="center"/>
        <w:rPr>
          <w:rFonts w:ascii="Times;Sylfaen" w:hAnsi="Times;Sylfaen" w:cs="Arial"/>
          <w:sz w:val="32"/>
          <w:szCs w:val="32"/>
        </w:rPr>
      </w:pPr>
      <w:r>
        <w:rPr>
          <w:rFonts w:cs="Arial" w:ascii="Times;Sylfaen" w:hAnsi="Times;Sylfaen"/>
          <w:sz w:val="32"/>
          <w:szCs w:val="32"/>
        </w:rPr>
      </w:r>
    </w:p>
    <w:p>
      <w:pPr>
        <w:pStyle w:val="Normal"/>
        <w:tabs>
          <w:tab w:val="clear" w:pos="708"/>
          <w:tab w:val="left" w:pos="720" w:leader="none"/>
        </w:tabs>
        <w:spacing w:before="240" w:after="0"/>
        <w:jc w:val="center"/>
        <w:rPr>
          <w:rFonts w:ascii="Times;Sylfaen" w:hAnsi="Times;Sylfaen" w:cs="Arial"/>
          <w:sz w:val="32"/>
          <w:szCs w:val="32"/>
        </w:rPr>
      </w:pPr>
      <w:r>
        <w:rPr>
          <w:rFonts w:cs="Arial" w:ascii="Times;Sylfaen" w:hAnsi="Times;Sylfaen"/>
          <w:sz w:val="32"/>
          <w:szCs w:val="32"/>
        </w:rPr>
      </w:r>
    </w:p>
    <w:p>
      <w:pPr>
        <w:pStyle w:val="Normal"/>
        <w:tabs>
          <w:tab w:val="clear" w:pos="708"/>
          <w:tab w:val="left" w:pos="720" w:leader="none"/>
        </w:tabs>
        <w:jc w:val="center"/>
        <w:rPr>
          <w:rFonts w:ascii="Times;Sylfaen" w:hAnsi="Times;Sylfaen" w:cs="Times;Sylfaen"/>
          <w:bCs/>
          <w:vertAlign w:val="superscript"/>
        </w:rPr>
      </w:pPr>
      <w:r>
        <w:rPr>
          <w:rFonts w:cs="Times;Sylfaen" w:ascii="Times;Sylfaen" w:hAnsi="Times;Sylfaen"/>
          <w:bCs/>
        </w:rPr>
        <w:t xml:space="preserve">Bernardo Souza Oliveira </w:t>
      </w:r>
      <w:r>
        <w:rPr>
          <w:rFonts w:cs="Times;Sylfaen" w:ascii="Times;Sylfaen" w:hAnsi="Times;Sylfaen"/>
          <w:bCs/>
          <w:vertAlign w:val="superscript"/>
        </w:rPr>
        <w:t xml:space="preserve">1 </w:t>
      </w:r>
      <w:r>
        <w:rPr>
          <w:rFonts w:cs="Times;Sylfaen" w:ascii="Times;Sylfaen" w:hAnsi="Times;Sylfaen"/>
          <w:bCs/>
        </w:rPr>
        <w:tab/>
        <w:t xml:space="preserve">Matheus Queiroz Gregorin </w:t>
      </w:r>
      <w:r>
        <w:rPr>
          <w:rFonts w:cs="Times;Sylfaen" w:ascii="Times;Sylfaen" w:hAnsi="Times;Sylfaen"/>
          <w:bCs/>
          <w:vertAlign w:val="superscript"/>
        </w:rPr>
        <w:t>1</w:t>
      </w:r>
    </w:p>
    <w:p>
      <w:pPr>
        <w:pStyle w:val="Normal"/>
        <w:tabs>
          <w:tab w:val="clear" w:pos="708"/>
          <w:tab w:val="left" w:pos="720" w:leader="none"/>
        </w:tabs>
        <w:jc w:val="center"/>
        <w:rPr>
          <w:rFonts w:ascii="Times;Sylfaen" w:hAnsi="Times;Sylfaen" w:cs="Times;Sylfaen"/>
          <w:bCs/>
        </w:rPr>
      </w:pPr>
      <w:r>
        <w:rPr>
          <w:rFonts w:cs="Times;Sylfaen" w:ascii="Times;Sylfaen" w:hAnsi="Times;Sylfaen"/>
          <w:bCs/>
        </w:rPr>
        <w:t xml:space="preserve">José Victor Roling </w:t>
      </w:r>
      <w:r>
        <w:rPr>
          <w:rFonts w:cs="Times;Sylfaen" w:ascii="Times;Sylfaen" w:hAnsi="Times;Sylfaen"/>
          <w:bCs/>
          <w:vertAlign w:val="superscript"/>
        </w:rPr>
        <w:t>1</w:t>
      </w:r>
      <w:r>
        <w:rPr>
          <w:rFonts w:cs="Times;Sylfaen" w:ascii="Times;Sylfaen" w:hAnsi="Times;Sylfaen"/>
          <w:bCs/>
        </w:rPr>
        <w:t xml:space="preserve"> </w:t>
        <w:tab/>
        <w:t xml:space="preserve">Pedro Henrique Cagnoni Guimarães </w:t>
      </w:r>
      <w:r>
        <w:rPr>
          <w:rFonts w:cs="Times;Sylfaen" w:ascii="Times;Sylfaen" w:hAnsi="Times;Sylfaen"/>
          <w:bCs/>
          <w:vertAlign w:val="superscript"/>
        </w:rPr>
        <w:t>1</w:t>
      </w:r>
    </w:p>
    <w:p>
      <w:pPr>
        <w:pStyle w:val="Normal"/>
        <w:tabs>
          <w:tab w:val="clear" w:pos="708"/>
          <w:tab w:val="left" w:pos="720" w:leader="none"/>
        </w:tabs>
        <w:jc w:val="center"/>
        <w:rPr>
          <w:rFonts w:ascii="Times;Sylfaen" w:hAnsi="Times;Sylfaen" w:cs="Times;Sylfaen"/>
          <w:bCs/>
        </w:rPr>
      </w:pPr>
      <w:r>
        <w:rPr>
          <w:rFonts w:cs="Times;Sylfaen" w:ascii="Times;Sylfaen" w:hAnsi="Times;Sylfaen"/>
          <w:bCs/>
        </w:rPr>
        <w:t xml:space="preserve">Rodrigo Cardoso Silva </w:t>
      </w:r>
      <w:r>
        <w:rPr>
          <w:rFonts w:cs="Times;Sylfaen" w:ascii="Times;Sylfaen" w:hAnsi="Times;Sylfaen"/>
          <w:bCs/>
          <w:vertAlign w:val="superscript"/>
        </w:rPr>
        <w:t>1</w:t>
      </w:r>
    </w:p>
    <w:p>
      <w:pPr>
        <w:pStyle w:val="Normal"/>
        <w:tabs>
          <w:tab w:val="clear" w:pos="708"/>
          <w:tab w:val="left" w:pos="720" w:leader="none"/>
        </w:tabs>
        <w:spacing w:before="240" w:after="0"/>
        <w:jc w:val="center"/>
        <w:rPr/>
      </w:pPr>
      <w:r>
        <w:rPr>
          <w:rFonts w:cs="Times;Sylfaen" w:ascii="Times;Sylfaen" w:hAnsi="Times;Sylfaen"/>
          <w:szCs w:val="20"/>
          <w:vertAlign w:val="superscript"/>
        </w:rPr>
        <w:t>1</w:t>
      </w:r>
      <w:r>
        <w:rPr>
          <w:rFonts w:cs="Times;Sylfaen" w:ascii="Times;Sylfaen" w:hAnsi="Times;Sylfaen"/>
          <w:szCs w:val="20"/>
        </w:rPr>
        <w:t>Faculdade de Computação e Informática (FCI)</w:t>
        <w:br/>
        <w:t>Universidade Presbiteriana Mackenzie – São Paulo, SP – Brasil</w:t>
      </w:r>
    </w:p>
    <w:p>
      <w:pPr>
        <w:pStyle w:val="Normal"/>
        <w:tabs>
          <w:tab w:val="clear" w:pos="708"/>
          <w:tab w:val="left" w:pos="720" w:leader="none"/>
        </w:tabs>
        <w:spacing w:before="120" w:after="120"/>
        <w:jc w:val="center"/>
        <w:rPr>
          <w:rFonts w:ascii="Courier New" w:hAnsi="Courier New" w:cs="Courier New"/>
          <w:sz w:val="20"/>
          <w:szCs w:val="20"/>
        </w:rPr>
      </w:pPr>
      <w:r>
        <w:rPr>
          <w:rFonts w:cs="Courier New" w:ascii="Courier New" w:hAnsi="Courier New"/>
          <w:sz w:val="20"/>
          <w:szCs w:val="20"/>
        </w:rPr>
      </w:r>
    </w:p>
    <w:p>
      <w:pPr>
        <w:pStyle w:val="Normal"/>
        <w:tabs>
          <w:tab w:val="clear" w:pos="708"/>
          <w:tab w:val="left" w:pos="720" w:leader="none"/>
        </w:tabs>
        <w:spacing w:before="120" w:after="0"/>
        <w:jc w:val="center"/>
      </w:pPr>
      <w:r>
        <w:rPr>
          <w:rFonts w:cs="Times;Sylfaen" w:ascii="Times;Sylfaen" w:hAnsi="Times;Sylfaen"/>
          <w:highlight w:val="yellow"/>
        </w:rPr>
        <w:t xml:space="preserve">[PENDENTE: e-mails @mackenzista.com.br dos quatro alunos]</w:t>
      </w:r>
    </w:p>
    <w:p>
      <w:pPr>
        <w:pStyle w:val="Normal"/>
        <w:tabs>
          <w:tab w:val="clear" w:pos="708"/>
          <w:tab w:val="left" w:pos="720" w:leader="none"/>
        </w:tabs>
        <w:spacing w:before="120" w:after="0"/>
        <w:jc w:val="center"/>
      </w:pPr>
      <w:r>
        <w:rPr>
          <w:rFonts w:cs="Times;Sylfaen" w:ascii="Times;Sylfaen" w:hAnsi="Times;Sylfaen"/>
          <w:highlight w:val="yellow"/>
        </w:rPr>
        <w:t xml:space="preserve">[PENDENTE: e-mail do Prof. Rodrigo @mackenzie.br]</w:t>
      </w:r>
    </w:p>
    <w:p>
      <w:pPr>
        <w:pStyle w:val="Normal"/>
        <w:tabs>
          <w:tab w:val="clear" w:pos="708"/>
          <w:tab w:val="left" w:pos="720" w:leader="none"/>
        </w:tabs>
        <w:spacing w:before="240" w:after="120"/>
        <w:jc w:val="center"/>
        <w:rPr/>
      </w:pPr>
      <w:r>
        <w:rPr/>
        <w:t>2026</w:t>
      </w:r>
    </w:p>
    <w:p>
      <w:pPr>
        <w:sectPr>
          <w:headerReference w:type="default" r:id="rId2"/>
          <w:type w:val="nextPage"/>
          <w:pgSz w:w="11906" w:h="16838"/>
          <w:pgMar w:left="1418" w:right="1134" w:gutter="0" w:header="709" w:top="1843" w:footer="0" w:bottom="1247"/>
          <w:pgNumType w:fmt="decimal"/>
          <w:formProt w:val="false"/>
          <w:textDirection w:val="lrTb"/>
          <w:docGrid w:type="default" w:linePitch="360" w:charSpace="0"/>
        </w:sectPr>
      </w:pPr>
    </w:p>
    <w:p>
      <w:pPr>
        <w:pStyle w:val="Normal"/>
        <w:tabs>
          <w:tab w:val="clear" w:pos="708"/>
          <w:tab w:val="left" w:pos="720" w:leader="none"/>
        </w:tabs>
        <w:spacing w:before="240" w:after="120"/>
        <w:jc w:val="center"/>
        <w:rPr>
          <w:rFonts w:ascii="Times;Sylfaen" w:hAnsi="Times;Sylfaen" w:cs="Times;Sylfaen"/>
          <w:i/>
          <w:i/>
          <w:iCs/>
        </w:rPr>
      </w:pPr>
      <w:r>
        <w:rPr>
          <w:rFonts w:cs="Times;Sylfaen" w:ascii="Times;Sylfaen" w:hAnsi="Times;Sylfaen"/>
          <w:i/>
          <w:iCs/>
        </w:rPr>
      </w:r>
    </w:p>
    <w:p>
      <w:pPr>
        <w:pStyle w:val="Normal"/>
        <w:tabs>
          <w:tab w:val="clear" w:pos="708"/>
          <w:tab w:val="left" w:pos="720" w:leader="none"/>
        </w:tabs>
        <w:ind w:start="454" w:end="454"/>
        <w:jc w:val="center"/>
        <w:rPr>
          <w:rFonts w:ascii="Times;Sylfaen" w:hAnsi="Times;Sylfaen" w:cs="Times;Sylfaen"/>
          <w:sz w:val="28"/>
          <w:szCs w:val="28"/>
        </w:rPr>
      </w:pPr>
      <w:r>
        <w:rPr>
          <w:rFonts w:cs="Times;Sylfaen" w:ascii="Times;Sylfaen" w:hAnsi="Times;Sylfaen"/>
          <w:sz w:val="28"/>
          <w:szCs w:val="28"/>
        </w:rPr>
        <w:t>Resumo</w:t>
      </w:r>
    </w:p>
    <w:p>
      <w:pPr>
        <w:pStyle w:val="Normal"/>
        <w:tabs>
          <w:tab w:val="clear" w:pos="708"/>
          <w:tab w:val="left" w:pos="720" w:leader="none"/>
        </w:tabs>
        <w:ind w:start="454" w:end="454"/>
        <w:jc w:val="center"/>
        <w:rPr>
          <w:rFonts w:ascii="Times;Sylfaen" w:hAnsi="Times;Sylfaen" w:cs="Times;Sylfaen"/>
          <w:sz w:val="20"/>
          <w:szCs w:val="20"/>
        </w:rPr>
      </w:pPr>
      <w:r>
        <w:rPr>
          <w:rFonts w:cs="Times;Sylfaen" w:ascii="Times;Sylfaen" w:hAnsi="Times;Sylfaen"/>
          <w:sz w:val="20"/>
          <w:szCs w:val="20"/>
        </w:rPr>
      </w:r>
    </w:p>
    <w:p>
      <w:pPr>
        <w:pStyle w:val="Normal"/>
        <w:tabs>
          <w:tab w:val="clear" w:pos="708"/>
          <w:tab w:val="left" w:pos="720" w:leader="none"/>
        </w:tabs>
        <w:ind w:start="454" w:end="454"/>
        <w:jc w:val="both"/>
        <w:rPr/>
      </w:pPr>
      <w:r>
        <w:rPr>
          <w:rFonts w:cs="Times;Sylfaen" w:ascii="Times;Sylfaen" w:hAnsi="Times;Sylfaen"/>
          <w:i/>
          <w:iCs/>
          <w:highlight w:val="yellow"/>
        </w:rPr>
        <w:t xml:space="preserve">[PENDENTE: escrever por último, com 150 a 250 palavras: contexto (ataques a redes IoT), motivação (detectar não basta, é preciso responder), objetivo, metodologia (Random Forest sobre o CICIoT2023 regerado + servidor MCP + três agentes em arquitetura híbrida) e resultados. Não prometer classificação em MQTT/CoAP nem captura ao vivo.]</w:t>
      </w:r>
    </w:p>
    <w:p>
      <w:pPr>
        <w:pStyle w:val="Normal"/>
        <w:tabs>
          <w:tab w:val="clear" w:pos="708"/>
          <w:tab w:val="left" w:pos="720" w:leader="none"/>
        </w:tabs>
        <w:spacing w:before="120" w:after="120"/>
        <w:ind w:start="454" w:end="454"/>
        <w:jc w:val="both"/>
        <w:rPr>
          <w:rFonts w:ascii="Times;Sylfaen" w:hAnsi="Times;Sylfaen" w:cs="Times;Sylfaen"/>
          <w:b/>
          <w:bCs/>
          <w:i/>
          <w:i/>
          <w:iCs/>
        </w:rPr>
      </w:pPr>
      <w:r>
        <w:rPr>
          <w:rFonts w:cs="Times;Sylfaen" w:ascii="Times;Sylfaen" w:hAnsi="Times;Sylfaen"/>
          <w:b/>
          <w:bCs/>
          <w:i/>
          <w:iCs/>
        </w:rPr>
      </w:r>
    </w:p>
    <w:p>
      <w:pPr>
        <w:pStyle w:val="Normal"/>
        <w:tabs>
          <w:tab w:val="clear" w:pos="708"/>
          <w:tab w:val="left" w:pos="720" w:leader="none"/>
        </w:tabs>
        <w:spacing w:before="120" w:after="120"/>
        <w:ind w:start="454" w:end="454"/>
        <w:jc w:val="both"/>
        <w:rPr/>
      </w:pPr>
      <w:r>
        <w:rPr>
          <w:rFonts w:cs="Times;Sylfaen" w:ascii="Times;Sylfaen" w:hAnsi="Times;Sylfaen"/>
          <w:b/>
          <w:bCs/>
        </w:rPr>
        <w:t>Palavras-chave:</w:t>
      </w:r>
      <w:r>
        <w:rPr>
          <w:rFonts w:cs="Times;Sylfaen" w:ascii="Times;Sylfaen" w:hAnsi="Times;Sylfaen"/>
        </w:rPr>
        <w:t xml:space="preserve"> detecção de intrusão; Internet das Coisas; Random Forest; sistemas multiagentes; Model Context Protocol.</w:t>
      </w:r>
    </w:p>
    <w:p>
      <w:pPr>
        <w:pStyle w:val="Normal"/>
        <w:tabs>
          <w:tab w:val="clear" w:pos="708"/>
          <w:tab w:val="left" w:pos="720" w:leader="none"/>
        </w:tabs>
        <w:spacing w:before="120" w:after="120"/>
        <w:ind w:start="454" w:end="454"/>
        <w:jc w:val="both"/>
        <w:rPr>
          <w:rFonts w:ascii="Times;Sylfaen" w:hAnsi="Times;Sylfaen" w:cs="Times;Sylfaen"/>
          <w:b/>
          <w:bCs/>
          <w:i/>
          <w:i/>
          <w:iCs/>
        </w:rPr>
      </w:pPr>
      <w:r>
        <w:rPr>
          <w:rFonts w:cs="Times;Sylfaen" w:ascii="Times;Sylfaen" w:hAnsi="Times;Sylfaen"/>
          <w:b/>
          <w:bCs/>
          <w:i/>
          <w:iCs/>
        </w:rPr>
      </w:r>
    </w:p>
    <w:p>
      <w:pPr>
        <w:pStyle w:val="Normal"/>
        <w:tabs>
          <w:tab w:val="clear" w:pos="708"/>
          <w:tab w:val="left" w:pos="720" w:leader="none"/>
        </w:tabs>
        <w:ind w:start="454" w:end="454"/>
        <w:jc w:val="center"/>
        <w:rPr>
          <w:rFonts w:ascii="Times;Sylfaen" w:hAnsi="Times;Sylfaen" w:cs="Times;Sylfaen"/>
          <w:sz w:val="28"/>
          <w:szCs w:val="28"/>
          <w:lang w:val="en-US"/>
        </w:rPr>
      </w:pPr>
      <w:r>
        <w:rPr>
          <w:rFonts w:cs="Times;Sylfaen" w:ascii="Times;Sylfaen" w:hAnsi="Times;Sylfaen"/>
          <w:sz w:val="28"/>
          <w:szCs w:val="28"/>
          <w:lang w:val="en-US"/>
        </w:rPr>
        <w:t>Abstract</w:t>
      </w:r>
    </w:p>
    <w:p>
      <w:pPr>
        <w:pStyle w:val="Normal"/>
        <w:tabs>
          <w:tab w:val="clear" w:pos="708"/>
          <w:tab w:val="left" w:pos="720" w:leader="none"/>
        </w:tabs>
        <w:ind w:start="454" w:end="454"/>
        <w:jc w:val="center"/>
        <w:rPr>
          <w:rFonts w:ascii="Times;Sylfaen" w:hAnsi="Times;Sylfaen" w:cs="Times;Sylfaen"/>
          <w:sz w:val="20"/>
          <w:szCs w:val="20"/>
          <w:lang w:val="en-US"/>
        </w:rPr>
      </w:pPr>
      <w:r>
        <w:rPr>
          <w:rFonts w:cs="Times;Sylfaen" w:ascii="Times;Sylfaen" w:hAnsi="Times;Sylfaen"/>
          <w:sz w:val="20"/>
          <w:szCs w:val="20"/>
          <w:lang w:val="en-US"/>
        </w:rPr>
      </w:r>
    </w:p>
    <w:p>
      <w:pPr>
        <w:pStyle w:val="Normal"/>
        <w:tabs>
          <w:tab w:val="clear" w:pos="708"/>
          <w:tab w:val="left" w:pos="720" w:leader="none"/>
        </w:tabs>
        <w:ind w:start="454" w:end="454"/>
        <w:jc w:val="both"/>
        <w:rPr/>
      </w:pPr>
      <w:r>
        <w:rPr>
          <w:rFonts w:cs="Times;Sylfaen" w:ascii="Times;Sylfaen" w:hAnsi="Times;Sylfaen"/>
          <w:i/>
          <w:iCs/>
          <w:highlight w:val="yellow"/>
        </w:rPr>
        <w:t xml:space="preserve">[PENDENTE: tradução do resumo.]</w:t>
      </w:r>
    </w:p>
    <w:p>
      <w:pPr>
        <w:pStyle w:val="Normal"/>
        <w:tabs>
          <w:tab w:val="clear" w:pos="708"/>
          <w:tab w:val="left" w:pos="720" w:leader="none"/>
        </w:tabs>
        <w:ind w:start="454" w:end="454"/>
        <w:jc w:val="both"/>
        <w:rPr>
          <w:rFonts w:ascii="Times;Sylfaen" w:hAnsi="Times;Sylfaen" w:cs="Times;Sylfaen"/>
          <w:i/>
          <w:i/>
          <w:iCs/>
          <w:lang w:val="en-GB"/>
        </w:rPr>
      </w:pPr>
      <w:r>
        <w:rPr>
          <w:rFonts w:cs="Times;Sylfaen" w:ascii="Times;Sylfaen" w:hAnsi="Times;Sylfaen"/>
          <w:i/>
          <w:iCs/>
          <w:lang w:val="en-GB"/>
        </w:rPr>
      </w:r>
    </w:p>
    <w:p>
      <w:pPr>
        <w:pStyle w:val="Normal"/>
        <w:tabs>
          <w:tab w:val="clear" w:pos="708"/>
          <w:tab w:val="left" w:pos="720" w:leader="none"/>
        </w:tabs>
        <w:spacing w:before="120" w:after="120"/>
        <w:ind w:start="454" w:end="454"/>
        <w:jc w:val="both"/>
        <w:rPr/>
      </w:pPr>
      <w:r>
        <w:rPr>
          <w:rFonts w:cs="Times;Sylfaen" w:ascii="Times;Sylfaen" w:hAnsi="Times;Sylfaen"/>
          <w:b/>
          <w:bCs/>
          <w:lang w:val="en-US"/>
        </w:rPr>
        <w:t>Keywords:</w:t>
      </w:r>
      <w:r>
        <w:rPr>
          <w:rFonts w:cs="Times;Sylfaen" w:ascii="Times;Sylfaen" w:hAnsi="Times;Sylfaen"/>
          <w:lang w:val="en-US"/>
        </w:rPr>
        <w:t xml:space="preserve"> intrusion detection; Internet of Things; Random Forest; multi-agent systems; Model Context Protocol.</w:t>
      </w:r>
    </w:p>
    <w:p>
      <w:pPr>
        <w:pStyle w:val="Normal"/>
        <w:keepNext w:val="true"/>
        <w:tabs>
          <w:tab w:val="clear" w:pos="708"/>
          <w:tab w:val="left" w:pos="720" w:leader="none"/>
        </w:tabs>
        <w:spacing w:before="240" w:after="0"/>
        <w:outlineLvl w:val="0"/>
      </w:pPr>
      <w:r>
        <w:rPr>
          <w:rFonts w:cs="Times;Sylfaen" w:ascii="Times;Sylfaen" w:hAnsi="Times;Sylfaen"/>
          <w:b/>
          <w:bCs/>
          <w:sz w:val="28"/>
          <w:szCs w:val="28"/>
        </w:rPr>
        <w:t xml:space="preserve">1. Introdução</w:t>
      </w:r>
    </w:p>
    <w:p>
      <w:pPr>
        <w:pStyle w:val="Normal"/>
        <w:tabs>
          <w:tab w:val="clear" w:pos="708"/>
          <w:tab w:val="left" w:pos="720" w:leader="none"/>
        </w:tabs>
        <w:spacing w:before="120" w:after="0"/>
        <w:ind w:firstLine="708" w:end="0"/>
        <w:jc w:val="both"/>
      </w:pPr>
      <w:r>
        <w:rPr>
          <w:rFonts w:cs="Times;Sylfaen" w:ascii="Times;Sylfaen" w:hAnsi="Times;Sylfaen"/>
          <w:highlight w:val="yellow"/>
        </w:rPr>
        <w:t xml:space="preserve">[PENDENTE: enquadrar o trabalho como NIDR (detecção e resposta), e não como NIDS, conforme o reposicionamento pedido pela banca do TCC I. Seguir a ordem do template: contexto e problema; lacuna (detectores apontam o ataque, mas a resposta continua manual e exige especialista); objetivo geral em uma frase; objetivos específicos; contribuições; estrutura do artigo.]</w:t>
      </w:r>
    </w:p>
    <w:p>
      <w:pPr>
        <w:pStyle w:val="Normal"/>
        <w:tabs>
          <w:tab w:val="clear" w:pos="708"/>
          <w:tab w:val="left" w:pos="720" w:leader="none"/>
        </w:tabs>
        <w:spacing w:before="120" w:after="0"/>
        <w:ind w:firstLine="708" w:end="0"/>
        <w:jc w:val="both"/>
      </w:pPr>
      <w:r>
        <w:rPr>
          <w:rFonts w:cs="Times;Sylfaen" w:ascii="Times;Sylfaen" w:hAnsi="Times;Sylfaen"/>
          <w:highlight w:val="yellow"/>
        </w:rPr>
        <w:t xml:space="preserve">[PENDENTE: contribuições a destacar: (1) classificador treinado em dados regerados dos pcaps com janela única; (2) medida do atalho da janela e das janelas sem atacante no CICIoT2023; (3) sistema de três agentes via MCP com aprovação humana; (4) comparação entre as configurações local, nuvem e híbrida em qualidade, custo e tempo.]</w:t>
      </w:r>
    </w:p>
    <w:p>
      <w:pPr>
        <w:pStyle w:val="Normal"/>
        <w:keepNext w:val="true"/>
        <w:tabs>
          <w:tab w:val="clear" w:pos="708"/>
          <w:tab w:val="left" w:pos="720" w:leader="none"/>
        </w:tabs>
        <w:spacing w:before="240" w:after="0"/>
        <w:outlineLvl w:val="0"/>
      </w:pPr>
      <w:r>
        <w:rPr>
          <w:rFonts w:cs="Times;Sylfaen" w:ascii="Times;Sylfaen" w:hAnsi="Times;Sylfaen"/>
          <w:b/>
          <w:bCs/>
          <w:sz w:val="28"/>
          <w:szCs w:val="28"/>
        </w:rPr>
        <w:t xml:space="preserve">2. Referencial Teórico</w:t>
      </w:r>
    </w:p>
    <w:p>
      <w:pPr>
        <w:pStyle w:val="Normal"/>
        <w:keepNext w:val="true"/>
        <w:tabs>
          <w:tab w:val="clear" w:pos="708"/>
          <w:tab w:val="left" w:pos="720" w:leader="none"/>
        </w:tabs>
        <w:spacing w:before="200" w:after="0"/>
        <w:outlineLvl w:val="1"/>
      </w:pPr>
      <w:r>
        <w:rPr>
          <w:rFonts w:cs="Times;Sylfaen" w:ascii="Times;Sylfaen" w:hAnsi="Times;Sylfaen"/>
          <w:b/>
          <w:bCs/>
          <w:sz w:val="24"/>
          <w:szCs w:val="24"/>
        </w:rPr>
        <w:t xml:space="preserve">2.1 Detecção de intrusão em redes IoT</w:t>
      </w:r>
    </w:p>
    <w:p>
      <w:pPr>
        <w:pStyle w:val="Normal"/>
        <w:tabs>
          <w:tab w:val="clear" w:pos="708"/>
          <w:tab w:val="left" w:pos="720" w:leader="none"/>
        </w:tabs>
        <w:spacing w:before="120" w:after="0"/>
        <w:ind w:firstLine="708" w:end="0"/>
        <w:jc w:val="both"/>
      </w:pPr>
      <w:r>
        <w:rPr>
          <w:rFonts w:cs="Times;Sylfaen" w:ascii="Times;Sylfaen" w:hAnsi="Times;Sylfaen"/>
          <w:highlight w:val="yellow"/>
        </w:rPr>
        <w:t xml:space="preserve">[PENDENTE: NIDS baseado em aprendizado de máquina, ataques típicos contra IoT (DDoS, DoS, Mirai, Recon, Spoofing, Web, BruteForce) e por que o Random Forest é referência nesse problema. Reaproveitar do artigo do TCC I.]</w:t>
      </w:r>
    </w:p>
    <w:p>
      <w:pPr>
        <w:pStyle w:val="Normal"/>
        <w:keepNext w:val="true"/>
        <w:tabs>
          <w:tab w:val="clear" w:pos="708"/>
          <w:tab w:val="left" w:pos="720" w:leader="none"/>
        </w:tabs>
        <w:spacing w:before="200" w:after="0"/>
        <w:outlineLvl w:val="1"/>
      </w:pPr>
      <w:r>
        <w:rPr>
          <w:rFonts w:cs="Times;Sylfaen" w:ascii="Times;Sylfaen" w:hAnsi="Times;Sylfaen"/>
          <w:b/>
          <w:bCs/>
          <w:sz w:val="24"/>
          <w:szCs w:val="24"/>
        </w:rPr>
        <w:t xml:space="preserve">2.2 Agentes de LLM e o Model Context Protocol</w:t>
      </w:r>
    </w:p>
    <w:p>
      <w:pPr>
        <w:pStyle w:val="Normal"/>
        <w:tabs>
          <w:tab w:val="clear" w:pos="708"/>
          <w:tab w:val="left" w:pos="720" w:leader="none"/>
        </w:tabs>
        <w:spacing w:before="120" w:after="0"/>
        <w:ind w:firstLine="708" w:end="0"/>
        <w:jc w:val="both"/>
      </w:pPr>
      <w:r>
        <w:rPr>
          <w:rFonts w:cs="Times;Sylfaen" w:ascii="Times;Sylfaen" w:hAnsi="Times;Sylfaen"/>
          <w:highlight w:val="yellow"/>
        </w:rPr>
        <w:t xml:space="preserve">[PENDENTE: o que é um agente de LLM, o laço ReAct, o MCP como interface entre modelo e ferramentas, e os riscos de segurança do MCP (injeção via dados, tool poisoning, confused deputy). Reaproveitar do TCC I e do levantamento do Pedro e do José Victor.]</w:t>
      </w:r>
    </w:p>
    <w:p>
      <w:pPr>
        <w:pStyle w:val="Normal"/>
        <w:keepNext w:val="true"/>
        <w:tabs>
          <w:tab w:val="clear" w:pos="708"/>
          <w:tab w:val="left" w:pos="720" w:leader="none"/>
        </w:tabs>
        <w:spacing w:before="200" w:after="0"/>
        <w:outlineLvl w:val="1"/>
      </w:pPr>
      <w:r>
        <w:rPr>
          <w:rFonts w:cs="Times;Sylfaen" w:ascii="Times;Sylfaen" w:hAnsi="Times;Sylfaen"/>
          <w:b/>
          <w:bCs/>
          <w:sz w:val="24"/>
          <w:szCs w:val="24"/>
        </w:rPr>
        <w:t xml:space="preserve">2.3 Trabalhos correlatos</w:t>
      </w:r>
    </w:p>
    <w:p>
      <w:pPr>
        <w:pStyle w:val="Normal"/>
        <w:tabs>
          <w:tab w:val="clear" w:pos="708"/>
          <w:tab w:val="left" w:pos="720" w:leader="none"/>
        </w:tabs>
        <w:spacing w:before="120" w:after="0"/>
        <w:ind w:firstLine="708" w:end="0"/>
        <w:jc w:val="both"/>
      </w:pPr>
      <w:r>
        <w:rPr>
          <w:rFonts w:cs="Times;Sylfaen" w:ascii="Times;Sylfaen" w:hAnsi="Times;Sylfaen"/>
        </w:rPr>
        <w:t xml:space="preserve">O CICIoT2023 reúne 33 ataques, agrupados em sete categorias, executados por dispositivos IoT maliciosos contra outros dispositivos numa topologia de 105 equipamentos (NETO et al., 2023). Os autores publicam os arquivos de captura (pcap), os CSVs processados e o código de extração das features (CANADIAN INSTITUTE FOR CYBERSECURITY, 2023). As features são calculadas sobre janelas de pacotes e agregadas pela média, com janelas de 100 pacotes nas classes de grande volume (DDoS, DoS e Mirai) e de 10 nas demais (NETO et al., 2023). Doménech et al. (2025) também registram essa diferença ao comparar o CICIoT2023 com o CICIoMT2024, e relatam queda de até 66,87% no F1 quando um modelo treinado num conjunto é avaliado no outro. </w:t>
      </w:r>
      <w:r>
        <w:rPr>
          <w:rFonts w:cs="Times;Sylfaen" w:ascii="Times;Sylfaen" w:hAnsi="Times;Sylfaen"/>
          <w:highlight w:val="yellow"/>
        </w:rPr>
        <w:t xml:space="preserve">[CONFERIR no PDF se Doménech et al. recomendam janela uniforme; se recomendarem, acrescentar aqui.]</w:t>
      </w:r>
    </w:p>
    <w:p>
      <w:pPr>
        <w:pStyle w:val="Normal"/>
        <w:tabs>
          <w:tab w:val="clear" w:pos="708"/>
          <w:tab w:val="left" w:pos="720" w:leader="none"/>
        </w:tabs>
        <w:spacing w:before="120" w:after="0"/>
        <w:ind w:firstLine="708" w:end="0"/>
        <w:jc w:val="both"/>
      </w:pPr>
      <w:r>
        <w:rPr>
          <w:rFonts w:cs="Times;Sylfaen" w:ascii="Times;Sylfaen" w:hAnsi="Times;Sylfaen"/>
        </w:rPr>
        <w:t xml:space="preserve">Problemas na construção de conjuntos de dados já foram documentados em outros datasets do mesmo instituto. Engelen, Rimmer e Joosen (2021) revisitaram o CICIDS2017 e encontraram falhas na geração do tráfego, na construção dos fluxos, na extração das features e na rotulagem, e regeneraram o conjunto com uma metodologia corrigida. Liu et al. (2022) estenderam a análise ao CSE-CIC-IDS-2018 e relataram erros até então não documentados em todo o ciclo de criação, da orquestração dos ataques aos rótulos.</w:t>
      </w:r>
    </w:p>
    <w:p>
      <w:pPr>
        <w:pStyle w:val="Normal"/>
        <w:tabs>
          <w:tab w:val="clear" w:pos="708"/>
          <w:tab w:val="left" w:pos="720" w:leader="none"/>
        </w:tabs>
        <w:spacing w:before="120" w:after="0"/>
        <w:ind w:firstLine="708" w:end="0"/>
        <w:jc w:val="both"/>
      </w:pPr>
      <w:r>
        <w:rPr>
          <w:rFonts w:cs="Times;Sylfaen" w:ascii="Times;Sylfaen" w:hAnsi="Times;Sylfaen"/>
        </w:rPr>
        <w:t xml:space="preserve">Este trabalho segue essa linha com duas contribuições próprias: um teste direto do efeito do tamanho da janela, extraindo os mesmos pcaps com janelas de 10 e de 100 pacotes, e a medida de quantas janelas rotuladas como ataque não contêm nenhum pacote dos dispositivos atacantes. Aqui, o rótulo de ataque depende da presença do atacante na janela.</w:t>
      </w:r>
    </w:p>
    <w:p>
      <w:pPr>
        <w:pStyle w:val="Normal"/>
        <w:tabs>
          <w:tab w:val="clear" w:pos="708"/>
          <w:tab w:val="left" w:pos="720" w:leader="none"/>
        </w:tabs>
        <w:spacing w:before="120" w:after="0"/>
        <w:ind w:firstLine="708" w:end="0"/>
        <w:jc w:val="both"/>
      </w:pPr>
      <w:r>
        <w:rPr>
          <w:rFonts w:cs="Times;Sylfaen" w:ascii="Times;Sylfaen" w:hAnsi="Times;Sylfaen"/>
        </w:rPr>
        <w:t xml:space="preserve">No mercado, a detecção de intrusão com aprendizado de máquina aparece em plataformas comerciais. A Darktrace aprende o comportamento normal de cada entidade da rede e examina os desvios, em vez de aplicar regras fixas (DARKTRACE, 2024). A Vectra AI automatiza a detecção, a triagem e a priorização de ameaças em redes, nuvem e identidades (VECTRA AI, 2022). A Netskope aplica técnicas semelhantes à proteção de dados e à defesa contra ameaças no contexto de acesso seguro à nuvem (NETSKOPE, 2023). Este trabalho difere dessas soluções por avaliar o pipeline completo num dataset público, com código aberto (OLIVEIRA et al., 2026), e por manter o dado da rede no ambiente local na configuração híbrida.</w:t>
      </w:r>
    </w:p>
    <w:p>
      <w:pPr>
        <w:pStyle w:val="Normal"/>
        <w:tabs>
          <w:tab w:val="clear" w:pos="708"/>
          <w:tab w:val="left" w:pos="720" w:leader="none"/>
        </w:tabs>
        <w:spacing w:before="120" w:after="0"/>
        <w:ind w:firstLine="708" w:end="0"/>
        <w:jc w:val="both"/>
      </w:pPr>
      <w:r>
        <w:rPr>
          <w:rFonts w:cs="Times;Sylfaen" w:ascii="Times;Sylfaen" w:hAnsi="Times;Sylfaen"/>
        </w:rPr>
        <w:t xml:space="preserve">O uso de modelos de linguagem pagos por chamada traz um risco adicional. Kelly, Glavin e Barrett (2021) definem o </w:t>
      </w:r>
      <w:r>
        <w:rPr>
          <w:rFonts w:cs="Times;Sylfaen" w:ascii="Times;Sylfaen" w:hAnsi="Times;Sylfaen"/>
          <w:i/>
          <w:iCs/>
        </w:rPr>
        <w:t xml:space="preserve">Denial of Wallet</w:t>
      </w:r>
      <w:r>
        <w:rPr>
          <w:rFonts w:cs="Times;Sylfaen" w:ascii="Times;Sylfaen" w:hAnsi="Times;Sylfaen"/>
        </w:rPr>
        <w:t xml:space="preserve"> como um ataque que força o esgotamento financeiro da vítima em plataformas cobradas por uso. Num sistema que aciona agentes de LLM a cada incidente, o atacante pode provocar o mesmo efeito gerando incidentes em volume. O sistema responde a esse risco com a política de acionamento, que agrupa as janelas em incidentes, e com o teto por hora de incidentes que vão ao modelo de fronteira (seção 3.5).</w:t>
      </w:r>
    </w:p>
    <w:p>
      <w:pPr>
        <w:pStyle w:val="Normal"/>
        <w:keepNext w:val="true"/>
        <w:tabs>
          <w:tab w:val="clear" w:pos="708"/>
          <w:tab w:val="left" w:pos="720" w:leader="none"/>
        </w:tabs>
        <w:spacing w:before="240" w:after="0"/>
        <w:outlineLvl w:val="0"/>
      </w:pPr>
      <w:r>
        <w:rPr>
          <w:rFonts w:cs="Times;Sylfaen" w:ascii="Times;Sylfaen" w:hAnsi="Times;Sylfaen"/>
          <w:b/>
          <w:bCs/>
          <w:sz w:val="28"/>
          <w:szCs w:val="28"/>
        </w:rPr>
        <w:t xml:space="preserve">3. Metodologia</w:t>
      </w:r>
    </w:p>
    <w:p>
      <w:pPr>
        <w:pStyle w:val="Normal"/>
        <w:tabs>
          <w:tab w:val="clear" w:pos="708"/>
          <w:tab w:val="left" w:pos="720" w:leader="none"/>
        </w:tabs>
        <w:spacing w:before="120" w:after="0"/>
        <w:ind w:firstLine="708" w:end="0"/>
        <w:jc w:val="both"/>
      </w:pPr>
      <w:r>
        <w:rPr>
          <w:rFonts w:cs="Times;Sylfaen" w:ascii="Times;Sylfaen" w:hAnsi="Times;Sylfaen"/>
        </w:rPr>
        <w:t xml:space="preserve">Em relação à proposta do TCC I, o trabalho mudou nos pontos a seguir. Não há classificação específica de MQTT e CoAP, porque as 39 features só têm indicador para HTTP, HTTPS, DNS, SSH, Telnet, SMTP, IRC e DHCP. A extração lê arquivo pcap, e a captura ao vivo fica como trabalho futuro. Não houve busca de hiperparâmetros por grid search: o Random Forest usa os parâmetros padrão do scikit-learn, porque a contribuição do trabalho está na camada MCP. O N-BaIoT deixou de ser o dataset secundário, e nenhum outro o substituiu. O cenário de exfiltração de dados saiu da PoC, porque o CICIoT2023 não tem essa classe. E os agentes rodam num modelo local, com modelos de nuvem só nos experimentos, em vez de um único modelo comercial em nuvem.</w:t>
      </w:r>
    </w:p>
    <w:p>
      <w:pPr>
        <w:pStyle w:val="Normal"/>
        <w:keepNext w:val="true"/>
        <w:tabs>
          <w:tab w:val="clear" w:pos="708"/>
          <w:tab w:val="left" w:pos="720" w:leader="none"/>
        </w:tabs>
        <w:spacing w:before="200" w:after="0"/>
        <w:outlineLvl w:val="1"/>
      </w:pPr>
      <w:r>
        <w:rPr>
          <w:rFonts w:cs="Times;Sylfaen" w:ascii="Times;Sylfaen" w:hAnsi="Times;Sylfaen"/>
          <w:b/>
          <w:bCs/>
          <w:sz w:val="24"/>
          <w:szCs w:val="24"/>
        </w:rPr>
        <w:t xml:space="preserve">3.1 Captura e extração de features</w:t>
      </w:r>
    </w:p>
    <w:p>
      <w:pPr>
        <w:pStyle w:val="Normal"/>
        <w:tabs>
          <w:tab w:val="clear" w:pos="708"/>
          <w:tab w:val="left" w:pos="720" w:leader="none"/>
        </w:tabs>
        <w:spacing w:before="120" w:after="0"/>
        <w:ind w:firstLine="708" w:end="0"/>
        <w:jc w:val="both"/>
      </w:pPr>
      <w:r>
        <w:rPr>
          <w:rFonts w:cs="Times;Sylfaen" w:ascii="Times;Sylfaen" w:hAnsi="Times;Sylfaen"/>
        </w:rPr>
        <w:t xml:space="preserve">O sistema processa tráfego bruto em arquivo pcap, e não apenas o CSV pré-processado do dataset, o que responde ao avaliador 2 do TCC I. A captura da rede grava um arquivo pcap com o tcpdump, a mesma ferramenta com que os autores do dataset capturaram e fatiaram os pcaps; a extração das 39 features por janela de quadros é feita com a biblioteca dpkt, como no código dos autores do dataset, e não com o Scapy previsto no TCC I. No código dos autores, o Scapy só é importado para Zigbee e Bluetooth e não contribui para nenhuma das 39 colunas.</w:t>
      </w:r>
    </w:p>
    <w:p>
      <w:pPr>
        <w:pStyle w:val="Normal"/>
        <w:tabs>
          <w:tab w:val="clear" w:pos="708"/>
          <w:tab w:val="left" w:pos="720" w:leader="none"/>
        </w:tabs>
        <w:spacing w:before="120" w:after="0"/>
        <w:ind w:firstLine="708" w:end="0"/>
        <w:jc w:val="both"/>
      </w:pPr>
      <w:r>
        <w:rPr>
          <w:rFonts w:cs="Times;Sylfaen" w:ascii="Times;Sylfaen" w:hAnsi="Times;Sylfaen"/>
        </w:rPr>
        <w:t xml:space="preserve">Os pcaps, os CSVs e o código de extração dos autores vêm da página oficial do CICIoT2023 (CANADIAN INSTITUTE FOR CYBERSECURITY, 2023), e o código e os scripts dos experimentos deste trabalho estão no repositório do projeto (OLIVEIRA et al., 2026). O trabalho não faz coleta in loco em dispositivos IoT reais: seria inviável no prazo, e o tráfego capturado não teria rótulo. O papel da captura é cumprido pelos pcaps brutos do CICIoT2023, que o extrator lê da mesma forma que leria um arquivo gravado na rede. O Wireshark não é necessário ao sistema: serve para inspecionar capturas, e o pcapng que ele grava por padrão se converte em pcap com o editcap. O Scapy também não é usado, porque a extração precisa repetir o cálculo dos autores, feito com o dpkt.</w:t>
      </w:r>
    </w:p>
    <w:p>
      <w:pPr>
        <w:pStyle w:val="Normal"/>
        <w:tabs>
          <w:tab w:val="clear" w:pos="708"/>
          <w:tab w:val="left" w:pos="720" w:leader="none"/>
        </w:tabs>
        <w:spacing w:before="120" w:after="0"/>
        <w:ind w:firstLine="708" w:end="0"/>
        <w:jc w:val="both"/>
      </w:pPr>
      <w:r>
        <w:rPr>
          <w:rFonts w:cs="Times;Sylfaen" w:ascii="Times;Sylfaen" w:hAnsi="Times;Sylfaen"/>
        </w:rPr>
        <w:t xml:space="preserve">Numa implantação numa casa ou num pequeno comércio, o público-alvo do trabalho (seção 1), como um restaurante com televisores, câmeras, sensores e assistentes de voz na rede, o gateway do SentryIoT fica entre o modem da operadora e os aparelhos e, de preferência, é também o ponto de acesso Wi-Fi. No modo comum do Wi-Fi, um aparelho não fala direto com outro: todo quadro passa pelo ponto de acesso. Assim o gateway vê também o tráfego de um aparelho para outro, que é o dos ataques do CICIoT2023, em que os atacantes estão na mesma rede das vítimas. Os aparelhos IoT ficam numa rede própria, separada da de computadores e celulares, e o tráfego entre as redes também cruza o gateway, que é onde as ações do catálogo seriam aplicadas, no firewall dele. Ali o tcpdump grava a interface da rede IoT de forma contínua, com o quadro inteiro, porque um limite curto encolhe as colunas de tamanho, e um arquivo novo a cada intervalo. A gravação é feita na interface da rede, e não no enlace que leva várias redes com etiqueta de VLAN, porque o extrator descarta o quadro etiquetado, como o código dos autores. A PoC lê arquivos fechados; o extrator já recebe um quadro por vez, e a captura ao vivo fica como um adaptador futuro sobre ele. Num teste de 25/10, 5.000 quadros do Wi-Fi de um notebook, gravados com o tcpdump, passaram pelo reprodutor sem conversão, do extrator à abertura de incidentes: um arquivo gravado fora do dataset entra no sistema. Os achados desse teste estão nas Limitações.</w:t>
      </w:r>
    </w:p>
    <w:p>
      <w:pPr>
        <w:pStyle w:val="Normal"/>
        <w:tabs>
          <w:tab w:val="clear" w:pos="708"/>
          <w:tab w:val="left" w:pos="720" w:leader="none"/>
        </w:tabs>
        <w:spacing w:before="120" w:after="0"/>
        <w:ind w:firstLine="708" w:end="0"/>
        <w:jc w:val="both"/>
      </w:pPr>
      <w:r>
        <w:rPr>
          <w:rFonts w:cs="Times;Sylfaen" w:ascii="Times;Sylfaen" w:hAnsi="Times;Sylfaen"/>
        </w:rPr>
        <w:t xml:space="preserve">O extrator foi calibrado em duas etapas. Na primeira, contra os CSVs oficiais de 5 pcaps, um por família (DDoS, DoS, Mirai, Recon e BruteForce), somando 167.304 linhas, as 39 colunas foram reproduzidas sem nenhuma divergência, com tolerância relativa de 1e-9; o maior desvio relativo observado, de 9,88e-13, é da ordem do arredondamento de ponto flutuante. Na segunda, os 38 pcaps foram extraídos como os autores extraíram, em pedaços de 10 MB e com a janela da classe, e cada linha foi procurada entre as linhas do mesmo rótulo no MERGED_CSV inteiro, com os 39 valores iguais até cerca de 9 algarismos significativos. Em 15 rótulos, toda linha do MERGED_CSV tem par entre as nossas, o que não aconteceria se o cálculo divergisse em alguma janela; do nosso lado, entre 95,53% e 99,00% das linhas de cada pcap têm par, e o que falta vem dos arquivos do MERGED_CSV truncados na fonte oficial. Na regeração e na operação, o pcap é lido de uma vez, sem o fatiamento de 10 MB; as distribuições das duas leituras são praticamente iguais, com distância de Kolmogorov-Smirnov de no máximo 0,0102 entre as 39 colunas.</w:t>
      </w:r>
    </w:p>
    <w:p>
      <w:pPr>
        <w:pStyle w:val="Normal"/>
        <w:tabs>
          <w:tab w:val="clear" w:pos="708"/>
          <w:tab w:val="left" w:pos="720" w:leader="none"/>
        </w:tabs>
        <w:spacing w:before="120" w:after="0"/>
        <w:ind w:firstLine="708" w:end="0"/>
        <w:jc w:val="both"/>
      </w:pPr>
      <w:r>
        <w:rPr>
          <w:rFonts w:cs="Times;Sylfaen" w:ascii="Times;Sylfaen" w:hAnsi="Times;Sylfaen"/>
        </w:rPr>
        <w:t xml:space="preserve">O sistema lê o pcap, e não registros NetFlow, outro ponto levantado pela banca do TCC I. Um registro NetFlow típico resume cada fluxo em poucos campos: endereços, portas, protocolo, quantidade de pacotes e de bytes, instantes de início e fim e, no máximo, a união das flags TCP do fluxo. É leve e não guarda conteúdo, mas perde o que as 39 features do CICIoT2023 medem quadro a quadro: a flag de cada pacote, o tamanho de cada quadro e a variação entre eles (Min, Max, Std), o intervalo entre chegadas (IAT) e a fração da janela em cada protocolo de aplicação. O custo do pcap é o volume, já que os 38 pcaps usados somam cerca de 46 GB, e a exposição do conteúdo dos pacotes na captura; o extrator guarda só os campos de cabeçalho que mede e os endereços da janela, e nenhum conteúdo de pacote chega aos agentes. Numa rede que só exporte NetFlow, o classificador teria de ser treinado de novo, com outro conjunto de features.</w:t>
      </w:r>
    </w:p>
    <w:p>
      <w:pPr>
        <w:pStyle w:val="Normal"/>
        <w:keepNext w:val="true"/>
        <w:tabs>
          <w:tab w:val="clear" w:pos="708"/>
          <w:tab w:val="left" w:pos="720" w:leader="none"/>
        </w:tabs>
        <w:spacing w:before="200" w:after="0"/>
        <w:outlineLvl w:val="1"/>
      </w:pPr>
      <w:r>
        <w:rPr>
          <w:rFonts w:cs="Times;Sylfaen" w:ascii="Times;Sylfaen" w:hAnsi="Times;Sylfaen"/>
          <w:b/>
          <w:bCs/>
          <w:sz w:val="24"/>
          <w:szCs w:val="24"/>
        </w:rPr>
        <w:t xml:space="preserve">3.2 Pré-processamento e amostragem</w:t>
      </w:r>
    </w:p>
    <w:p>
      <w:pPr>
        <w:pStyle w:val="Normal"/>
        <w:tabs>
          <w:tab w:val="clear" w:pos="708"/>
          <w:tab w:val="left" w:pos="720" w:leader="none"/>
        </w:tabs>
        <w:spacing w:before="120" w:after="0"/>
        <w:ind w:firstLine="708" w:end="0"/>
        <w:jc w:val="both"/>
      </w:pPr>
      <w:r>
        <w:rPr>
          <w:rFonts w:cs="Times;Sylfaen" w:ascii="Times;Sylfaen" w:hAnsi="Times;Sylfaen"/>
        </w:rPr>
        <w:t xml:space="preserve">Na fase exploratória, o MERGED_CSV publicado pelos autores (45.019.234 linhas, 63 arquivos) foi amostrado com teto de 50.000 linhas por rótulo e semente fixa (42), preservando integralmente as classes raras. A amostra resultante tem 1.288.479 linhas. Os rótulos (34 classes) são normalizados e mapeados para 7 categorias, com DDoS e DoS juntos. As features descrevem os pacotes, e não quantas máquinas atacam: 29,5% das linhas do MERGED_CSV têm o vetor das 39 features igual ao de uma linha de outra categoria, quase sempre o mesmo flood rotulado como DDoS e como DoS. A separação entre os dois é feita depois, pela quantidade de endereços de origem do incidente, fora do modelo.</w:t>
      </w:r>
    </w:p>
    <w:p>
      <w:pPr>
        <w:pStyle w:val="Normal"/>
        <w:tabs>
          <w:tab w:val="clear" w:pos="708"/>
          <w:tab w:val="left" w:pos="720" w:leader="none"/>
        </w:tabs>
        <w:spacing w:before="120" w:after="0"/>
        <w:ind w:firstLine="708" w:end="0"/>
        <w:jc w:val="both"/>
      </w:pPr>
      <w:r>
        <w:rPr>
          <w:rFonts w:cs="Times;Sylfaen" w:ascii="Times;Sylfaen" w:hAnsi="Times;Sylfaen"/>
        </w:rPr>
        <w:t xml:space="preserve">Os dados de treino finais, porém, não vêm do MERGED_CSV: são regerados a partir dos pcaps com o nosso extrator. O motivo está na seção 3.3 e nas limitações do dataset: a janela de agregação varia com a classe e o rótulo é do arquivo inteiro. Na regeração, cada um dos 38 pcaps é extraído em janela única. Os 34 rótulos têm pcap: 31 com um arquivo, DDoS-SYN_Flood e DoS-SYN_Flood com dois cada e BenignTraffic com três. Numa captura benigna toda janela é benigna, e numa captura de ataque a janela só recebe o rótulo do arquivo se contém um quadro de um dos sete Raspberry Pi atacantes documentados pelos autores, e é descartada caso contrário. As janelas descartadas, o tráfego de fundo das capturas de ataque, ficam à parte; no treino do modelo do sistema, as da parte de treino de cada pcap entram como benignas (seção 3.3). A divisão treino/teste é por tempo dentro de cada pcap (os primeiros 70% das janelas para o treino) ou por arquivo inteiro quando o rótulo tem mais de um pcap (o último, pelo sufixo numérico do nome, fica no teste), o que evita que janelas vizinhas caiam dos dois lados. O teto de 50.000 janelas por rótulo e a semente 42 são mantidos.</w:t>
      </w:r>
    </w:p>
    <w:p>
      <w:pPr>
        <w:pStyle w:val="Normal"/>
        <w:keepNext w:val="true"/>
        <w:tabs>
          <w:tab w:val="clear" w:pos="708"/>
          <w:tab w:val="left" w:pos="720" w:leader="none"/>
        </w:tabs>
        <w:spacing w:before="200" w:after="0"/>
        <w:outlineLvl w:val="1"/>
      </w:pPr>
      <w:r>
        <w:rPr>
          <w:rFonts w:cs="Times;Sylfaen" w:ascii="Times;Sylfaen" w:hAnsi="Times;Sylfaen"/>
          <w:b/>
          <w:bCs/>
          <w:sz w:val="24"/>
          <w:szCs w:val="24"/>
        </w:rPr>
        <w:t xml:space="preserve">3.3 Treino e avaliação do classificador</w:t>
      </w:r>
    </w:p>
    <w:p>
      <w:pPr>
        <w:pStyle w:val="Normal"/>
        <w:tabs>
          <w:tab w:val="clear" w:pos="708"/>
          <w:tab w:val="left" w:pos="720" w:leader="none"/>
        </w:tabs>
        <w:spacing w:before="120" w:after="0"/>
        <w:ind w:firstLine="708" w:end="0"/>
        <w:jc w:val="both"/>
      </w:pPr>
      <w:r>
        <w:rPr>
          <w:rFonts w:cs="Times;Sylfaen" w:ascii="Times;Sylfaen" w:hAnsi="Times;Sylfaen"/>
        </w:rPr>
        <w:t xml:space="preserve">As métricas do classificador são a precisão, o recall e o F1 de cada categoria e a taxa de falso positivo, com destaque para o tráfego benigno classificado como ataque. O resultado principal é a tabela por categoria no corte por tempo, no ponto de operação, com dois controles ao lado: o recall com o pcap inteiro fora do treino e o alarme falso com cada pcap benigno fora do treino. O macro-F1 é relatado, mas não é o número principal: dá o mesmo peso a categorias com 273 e com 214.373 janelas de teste e não mostra onde o modelo erra. A acurácia global também não é: DDoS e DoS somam 89,5% das linhas do MERGED_CSV, e, com as duas juntas, um modelo que respondesse DDoS+DoS para tudo acertaria 78,4% das janelas de teste do sistema.</w:t>
      </w:r>
    </w:p>
    <w:p>
      <w:pPr>
        <w:pStyle w:val="Normal"/>
        <w:tabs>
          <w:tab w:val="clear" w:pos="708"/>
          <w:tab w:val="left" w:pos="720" w:leader="none"/>
        </w:tabs>
        <w:spacing w:before="120" w:after="0"/>
        <w:ind w:firstLine="708" w:end="0"/>
        <w:jc w:val="both"/>
      </w:pPr>
      <w:r>
        <w:rPr>
          <w:rFonts w:cs="Times;Sylfaen" w:ascii="Times;Sylfaen" w:hAnsi="Times;Sylfaen"/>
        </w:rPr>
        <w:t xml:space="preserve">Na fase exploratória, o Random Forest (scikit-learn, 100 árvores, parâmetros padrão) foi treinado e avaliado na amostra do MERGED_CSV descrita acima, com 80% das linhas para o treino e 20% para o teste. Duas estratégias de divisão foram testadas: sorteio estratificado de linhas (15,11% dos vetores de teste também aparecem no treino, por causa de features repetidas) e divisão por grupos de vetores idênticos (0% de sobreposição). Duas priores de treino também foram comparadas: a proporção da própria amostra e a proporção natural do dataset completo, por peso de amostra.</w:t>
      </w:r>
    </w:p>
    <w:p>
      <w:pPr>
        <w:pStyle w:val="Normal"/>
        <w:tabs>
          <w:tab w:val="clear" w:pos="708"/>
          <w:tab w:val="left" w:pos="720" w:leader="none"/>
        </w:tabs>
        <w:spacing w:before="120" w:after="0"/>
        <w:ind w:firstLine="708" w:end="0"/>
        <w:jc w:val="both"/>
      </w:pPr>
      <w:r>
        <w:rPr>
          <w:rFonts w:cs="Times;Sylfaen" w:ascii="Times;Sylfaen" w:hAnsi="Times;Sylfaen"/>
        </w:rPr>
        <w:t xml:space="preserve">Na configuração tomada como referência (7 categorias, sorteio estratificado, priori da amostra, 39 features), a acurácia é de 93,81% na amostra de teste, ou 98,58% reponderada para a distribuição natural do dataset completo, e o macro-F1 é de 74,11% (69,96% reponderado). A divisão por grupos dá valores da mesma ordem, e a diferença entre as duas não se distingue do ruído entre sementes. Com a priori natural, o tráfego benigno classificado como ataque cai de 46,38% para 14,48%, mas o recall reponderado de Recon cai de 92,52% para 78,87%, e o de BruteForce, de 33,55% para 12,98%.</w:t>
      </w:r>
    </w:p>
    <w:p>
      <w:pPr>
        <w:pStyle w:val="Normal"/>
        <w:tabs>
          <w:tab w:val="clear" w:pos="708"/>
          <w:tab w:val="left" w:pos="720" w:leader="none"/>
        </w:tabs>
        <w:spacing w:before="120" w:after="0"/>
        <w:ind w:firstLine="708" w:end="0"/>
        <w:jc w:val="both"/>
      </w:pPr>
      <w:r>
        <w:rPr>
          <w:rFonts w:cs="Times;Sylfaen" w:ascii="Times;Sylfaen" w:hAnsi="Times;Sylfaen"/>
        </w:rPr>
        <w:t xml:space="preserve">Um teste adicional, isolando o efeito do tamanho da janela, mostrou que o modelo treinado nas janelas do MERGED_CSV (100 pacotes para DDoS, DoS e Mirai, 10 para as demais) não generaliza para uma janela única na operação: o recall de floods HTTP cai a menos de 2% quando extraídos em janela de 10, e o recall de varredura de portas e força bruta cai a 0 a 18% quando extraídos em janela de 100. Retirar as seis colunas que dependem do tamanho da janela não resolve. Foi esse resultado que levou à regeração dos dados (seção 3.2).</w:t>
      </w:r>
    </w:p>
    <w:p>
      <w:pPr>
        <w:pStyle w:val="Normal"/>
        <w:tabs>
          <w:tab w:val="clear" w:pos="708"/>
          <w:tab w:val="left" w:pos="720" w:leader="none"/>
        </w:tabs>
        <w:spacing w:before="120" w:after="0"/>
        <w:ind w:firstLine="708" w:end="0"/>
        <w:jc w:val="both"/>
      </w:pPr>
      <w:r>
        <w:rPr>
          <w:rFonts w:cs="Times;Sylfaen" w:ascii="Times;Sylfaen" w:hAnsi="Times;Sylfaen"/>
        </w:rPr>
        <w:t xml:space="preserve">O classificador do sistema é treinado de outra forma, nos dados regerados (seção 3.2): um Random Forest de 100 árvores, com os parâmetros padrão do scikit-learn e sem busca de hiperparâmetros, nas 39 features, em 7 categorias, com janela de 100 quadros, teto de 50.000 janelas por rótulo, semente 42 e a divisão por tempo e por arquivo descrita na seção 3.2. As janelas de fundo da parte de treino de cada pcap de ataque, sem nenhum quadro do atacante, entram no treino como benignas. São 567.732 janelas rotuladas e 40.966 de fundo no treino, e 273.566 janelas de teste.</w:t>
      </w:r>
    </w:p>
    <w:p>
      <w:pPr>
        <w:pStyle w:val="Normal"/>
        <w:tabs>
          <w:tab w:val="clear" w:pos="708"/>
          <w:tab w:val="left" w:pos="720" w:leader="none"/>
        </w:tabs>
        <w:spacing w:before="120" w:after="0"/>
        <w:ind w:firstLine="708" w:end="0"/>
        <w:jc w:val="both"/>
      </w:pPr>
      <w:r>
        <w:rPr>
          <w:rFonts w:cs="Times;Sylfaen" w:ascii="Times;Sylfaen" w:hAnsi="Times;Sylfaen"/>
        </w:rPr>
        <w:t xml:space="preserve">A janela de 100 quadros foi escolhida com os dois modelos treinados sem o fundo: macro-F1 de 82,3% contra 75,7% com janela de 10, e 1,9% contra 12,7% das janelas de um pcap benigno fora do treino classificadas como ataque.</w:t>
      </w:r>
    </w:p>
    <w:p>
      <w:pPr>
        <w:pStyle w:val="Normal"/>
        <w:tabs>
          <w:tab w:val="clear" w:pos="708"/>
          <w:tab w:val="left" w:pos="720" w:leader="none"/>
        </w:tabs>
        <w:spacing w:before="120" w:after="0"/>
        <w:ind w:firstLine="708" w:end="0"/>
        <w:jc w:val="both"/>
      </w:pPr>
      <w:r>
        <w:rPr>
          <w:rFonts w:cs="Times;Sylfaen" w:ascii="Times;Sylfaen" w:hAnsi="Times;Sylfaen"/>
        </w:rPr>
        <w:t xml:space="preserve">O tráfego de fundo entrou no treino depois de medido o que o modelo fazia com ele. Treinado sem o fundo, o modelo classificava como ataque 72,3% das janelas de fundo da parte de teste e, com o pcap BenignTraffic fora do treino, 38,5% das janelas desse pcap, 32% do pcap como Recon. Seis configurações de treino foram comparadas com três sementes (42, 1 e 2), por diferenças pareadas na mesma semente e nas mesmas janelas, com intervalo de 95% por reamostragem de blocos de 10 janelas vizinhas. O fundo como benigno baixa os dois números para 13,3% e 5,4%; normalizar o tamanho do quadro não os baixa. A equipe fixou antes da medida a regra para adotar o fundo no treino: na média das sementes, (a) benigno classificado como ataque abaixo de 10% no pior pcap benigno fora do treino, (b) recall de DDoS+DoS de pelo menos 98% no corte por tempo e (c) queda de no máximo 5 pontos no recall do pcap Recon-PortScan com o pcap fora do treino. As três foram atendidas, com 5,4%, 98,37% e queda de 3,53 pontos, mas o intervalo de 95% da diferença em (c) vai de −5,29 a −1,77 pontos e passa do limite na ponta inferior. A condição (c) foi medida no trecho de teste do pcap (850 janelas), como todas as medidas com o pcap fora do treino; no pcap inteiro (3.783 janelas), o recall vai de 89,7% para 83,4%, queda de 6,26 pontos, e por ele a condição falharia. A adoção foi mantida porque a regra foi aplicada como fixada e o ganho no alarme falso é grande.</w:t>
      </w:r>
    </w:p>
    <w:p>
      <w:pPr>
        <w:pStyle w:val="Normal"/>
        <w:tabs>
          <w:tab w:val="clear" w:pos="708"/>
          <w:tab w:val="left" w:pos="720" w:leader="none"/>
        </w:tabs>
        <w:spacing w:before="120" w:after="0"/>
        <w:ind w:firstLine="708" w:end="0"/>
        <w:jc w:val="both"/>
      </w:pPr>
      <w:r>
        <w:rPr>
          <w:rFonts w:cs="Times;Sylfaen" w:ascii="Times;Sylfaen" w:hAnsi="Times;Sylfaen"/>
        </w:rPr>
        <w:t xml:space="preserve">A decisão sobre cada janela segue um ponto de operação escolhido numa parte de validação, separada do teste: as últimas 15% da parte de treino de cada pcap, por tempo. Um modelo treinado no restante da parte de treino classifica todas as janelas da validação, 9.866 benignas e 321.428 de ataque. Concorrem a categoria mais provável (argmax) e o limiar, em que a janela é ataque se 1 − P(Benign) ≥ t, na categoria de ataque mais provável, com t de 0,01 em 0,01; entre os candidatos que deixam no máximo 1% das janelas benignas como ataque, vence o de maior recall de ataque. No modelo do sistema venceu o argmax, com 0,79% do benigno como ataque e 99,55% de recall de ataque, contra 0,95% e 99,51% no melhor limiar (t = 0,61). Um incidente só abre com 3 janelas de ataque seguidas. O modelo do sistema é o do treino inteiro, com a regra e o N gravados ao lado dele.</w:t>
      </w:r>
    </w:p>
    <w:p>
      <w:pPr>
        <w:pStyle w:val="Normal"/>
        <w:tabs>
          <w:tab w:val="clear" w:pos="708"/>
          <w:tab w:val="left" w:pos="720" w:leader="none"/>
        </w:tabs>
        <w:spacing w:before="120" w:after="0"/>
        <w:ind w:firstLine="708" w:end="0"/>
        <w:jc w:val="both"/>
      </w:pPr>
      <w:r>
        <w:rPr>
          <w:rFonts w:cs="Times;Sylfaen" w:ascii="Times;Sylfaen" w:hAnsi="Times;Sylfaen"/>
        </w:rPr>
        <w:t xml:space="preserve">Os controles medem o que o corte por tempo não mostra: o recall de cada pcap quando nenhuma janela dele entra no treino, o alarme falso com cada um dos três pcaps benignos fora do treino, um por vez, e o fundo da parte de teste classificado como ataque. Os resultados estão na seção 4.1. Os controles do modelo anterior, de 10/10, que não foram refeitos para o do sistema (cinco sementes, importância por permutação, intervalos das classes raras e custo) estão no repositório do projeto.</w:t>
      </w:r>
    </w:p>
    <w:p>
      <w:pPr>
        <w:pStyle w:val="Normal"/>
        <w:tabs>
          <w:tab w:val="clear" w:pos="708"/>
          <w:tab w:val="left" w:pos="720" w:leader="none"/>
        </w:tabs>
        <w:spacing w:before="120" w:after="0"/>
        <w:ind w:firstLine="708" w:end="0"/>
        <w:jc w:val="both"/>
      </w:pPr>
      <w:r>
        <w:rPr>
          <w:rFonts w:cs="Times;Sylfaen" w:ascii="Times;Sylfaen" w:hAnsi="Times;Sylfaen"/>
        </w:rPr>
        <w:t xml:space="preserve">O Spoofing depende da captura. 84% das janelas de Spoofing têm quadro menor que 60 bytes, gravado sem o preenchimento do Ethernet, o que nas demais categorias quase não acontece. No modelo de 10/10, o fundo dos dois pcaps de spoofing, sem quadro do atacante, caía na categoria Spoofing em 97,7% e 99,5% das janelas, e com o quadro medido como no fio o recall de Spoofing caía de 99,4% para 88,2% no corte por tempo e de 97% para 66% com o pcap fora do treino. A medida como no fio não foi adotada, e o artefato fica como limitação (seção 4.2).</w:t>
      </w:r>
    </w:p>
    <w:p>
      <w:pPr>
        <w:pStyle w:val="Normal"/>
        <w:keepNext w:val="true"/>
        <w:tabs>
          <w:tab w:val="clear" w:pos="708"/>
          <w:tab w:val="left" w:pos="720" w:leader="none"/>
        </w:tabs>
        <w:spacing w:before="200" w:after="0"/>
        <w:outlineLvl w:val="1"/>
      </w:pPr>
      <w:r>
        <w:rPr>
          <w:rFonts w:cs="Times;Sylfaen" w:ascii="Times;Sylfaen" w:hAnsi="Times;Sylfaen"/>
          <w:b/>
          <w:bCs/>
          <w:sz w:val="24"/>
          <w:szCs w:val="24"/>
        </w:rPr>
        <w:t xml:space="preserve">3.4 Justificativa do Random Forest</w:t>
      </w:r>
    </w:p>
    <w:p>
      <w:pPr>
        <w:pStyle w:val="Normal"/>
        <w:tabs>
          <w:tab w:val="clear" w:pos="708"/>
          <w:tab w:val="left" w:pos="720" w:leader="none"/>
        </w:tabs>
        <w:spacing w:before="120" w:after="0"/>
        <w:ind w:firstLine="708" w:end="0"/>
        <w:jc w:val="both"/>
      </w:pPr>
      <w:r>
        <w:rPr>
          <w:rFonts w:cs="Times;Sylfaen" w:ascii="Times;Sylfaen" w:hAnsi="Times;Sylfaen"/>
        </w:rPr>
        <w:t xml:space="preserve">O modelo escolhido é o Random Forest, e não uma rede neural, por dois motivos: no benchmark publicado pelos autores do dataset (NETO et al., 2023), ele está entre os melhores modelos testados; e, mais importante para o restante do sistema, a importância de cada feature sai do próprio treino, sem um método de explicação à parte. Neste trabalho, a importância é medida por redução média de impureza e vale para o modelo inteiro. Para cada incidente, o servidor entrega aos agentes as features principais, com o valor de referência do tráfego benigno, e é esse o insumo da recomendação de mitigação. </w:t>
      </w:r>
      <w:r>
        <w:rPr>
          <w:rFonts w:cs="Times;Sylfaen" w:ascii="Times;Sylfaen" w:hAnsi="Times;Sylfaen"/>
          <w:highlight w:val="yellow"/>
        </w:rPr>
        <w:t xml:space="preserve">[PENDENTE: dizer como as features principais de um incidente são escolhidas; se for adotada atribuição por decisão, como o TreeSHAP, citar o método.]</w:t>
      </w:r>
      <w:r>
        <w:rPr>
          <w:rFonts w:cs="Times;Sylfaen" w:ascii="Times;Sylfaen" w:hAnsi="Times;Sylfaen"/>
        </w:rPr>
        <w:t xml:space="preserve"> O protocolo dos autores não é reproduzido aqui: o notebook publicado não treina o Random Forest, e os nossos dados de treino são regerados dos pcaps, então os números não se comparam diretamente com os do artigo do dataset.</w:t>
      </w:r>
    </w:p>
    <w:p>
      <w:pPr>
        <w:pStyle w:val="Normal"/>
        <w:keepNext w:val="true"/>
        <w:tabs>
          <w:tab w:val="clear" w:pos="708"/>
          <w:tab w:val="left" w:pos="720" w:leader="none"/>
        </w:tabs>
        <w:spacing w:before="200" w:after="0"/>
        <w:outlineLvl w:val="1"/>
      </w:pPr>
      <w:r>
        <w:rPr>
          <w:rFonts w:cs="Times;Sylfaen" w:ascii="Times;Sylfaen" w:hAnsi="Times;Sylfaen"/>
          <w:b/>
          <w:bCs/>
          <w:sz w:val="24"/>
          <w:szCs w:val="24"/>
        </w:rPr>
        <w:t xml:space="preserve">3.5 Servidor MCP e sistema multiagente</w:t>
      </w:r>
    </w:p>
    <w:p>
      <w:pPr>
        <w:pStyle w:val="Normal"/>
        <w:tabs>
          <w:tab w:val="clear" w:pos="708"/>
          <w:tab w:val="left" w:pos="720" w:leader="none"/>
        </w:tabs>
        <w:spacing w:before="120" w:after="0"/>
        <w:ind w:firstLine="708" w:end="0"/>
        <w:jc w:val="both"/>
      </w:pPr>
      <w:r>
        <w:rPr>
          <w:rFonts w:cs="Times;Sylfaen" w:ascii="Times;Sylfaen" w:hAnsi="Times;Sylfaen"/>
        </w:rPr>
        <w:t xml:space="preserve">O servidor da PoC é o servidor MCP em modo de reprodução, que atende os incidentes reais do reprodutor de tráfego. O contrato, na versão 0.3.0, tem 10 tools MCP divididas entre os três agentes (triagem, decisão e execução) e grava cada passo num log de eventos em JSONL. O incidente traz a categoria do modelo, que junta DDoS e DoS (DDoS+DoS), e a categoria depois da regra que separa os dois pela quantidade de origens. As respostas saem de um catálogo de cinco ações: limitar_taxa, bloquear_ip, isolar_dispositivo, revogar_credencial e fechar_porta, esta </w:t>
      </w:r>
      <w:r>
        <w:rPr>
          <w:rFonts w:cs="Times;Sylfaen" w:ascii="Times;Sylfaen" w:hAnsi="Times;Sylfaen"/>
          <w:highlight w:val="yellow"/>
        </w:rPr>
        <w:t xml:space="preserve">[a implementar]</w:t>
      </w:r>
      <w:r>
        <w:rPr>
          <w:rFonts w:cs="Times;Sylfaen" w:ascii="Times;Sylfaen" w:hAnsi="Times;Sylfaen"/>
        </w:rPr>
        <w:t xml:space="preserve">, que fecha no firewall do gateway o acesso a uma porta de um dispositivo, com o alvo no formato 23/tcp@destino-1. Para isso, o incidente passa a trazer as portas de destino mais frequentes, tiradas dos cabeçalhos TCP e UDP fora das 39 features, e o resumo lido pelo agente de decisão as mostra </w:t>
      </w:r>
      <w:r>
        <w:rPr>
          <w:rFonts w:cs="Times;Sylfaen" w:ascii="Times;Sylfaen" w:hAnsi="Times;Sylfaen"/>
          <w:highlight w:val="yellow"/>
        </w:rPr>
        <w:t xml:space="preserve">[a implementar]</w:t>
      </w:r>
      <w:r>
        <w:rPr>
          <w:rFonts w:cs="Times;Sylfaen" w:ascii="Times;Sylfaen" w:hAnsi="Times;Sylfaen"/>
        </w:rPr>
        <w:t xml:space="preserve">. Fora do catálogo, o agente pode propor uma ação nova, que é sempre de risco alto. A política de risco separa as ações de risco baixo, aplicadas sem aprovação, das de risco alto, que dependem de aprovação humana, e limita a 10 as propostas que aguardam aprovação em cada incidente, porque a fila é lida por uma pessoa e um agente enganado por conteúdo vindo da rede poderia enchê-la. Como a origem de um flood UDP ou ICMP pode ser forjada, bloquear uma origem da rede local é de risco alto, os endereços críticos (o servidor MCP, o host do modelo local e o resolvedor DNS) são protegidos, e o teto de medidas de risco baixo ativas vale por incidente (5) e para o sistema todo (10). O custo de tokens é contido de outra forma: os agentes recebem o resumo do incidente, e não as janelas, e o detalhe vem em fatias de até 20 janelas. Na PoC, a resposta é executada num ambiente simulado, com aprovação humana e possibilidade de desfazer, e a verificação do efeito responde sempre que o ataque cessou (seção 4.2).</w:t>
      </w:r>
    </w:p>
    <w:p>
      <w:pPr>
        <w:pStyle w:val="Normal"/>
        <w:tabs>
          <w:tab w:val="clear" w:pos="708"/>
          <w:tab w:val="left" w:pos="720" w:leader="none"/>
        </w:tabs>
        <w:spacing w:before="120" w:after="0"/>
        <w:ind w:firstLine="708" w:end="0"/>
        <w:jc w:val="both"/>
      </w:pPr>
      <w:r>
        <w:rPr>
          <w:rFonts w:cs="Times;Sylfaen" w:ascii="Times;Sylfaen" w:hAnsi="Times;Sylfaen"/>
        </w:rPr>
        <w:t xml:space="preserve">A arquitetura é híbrida (Figura 1): o agente de decisão roda num modelo de fronteira, pela nuvem, e coordena o incidente. Ele aceita ou descarta o veredito da triagem, propõe a ação e propõe outra quando o efeito verificado mostra que a anterior não resolveu. O encadeamento dos agentes (chamar a triagem, esperar a aprovação no log e chamar a execução) fica em código, num orquestrador que não é um quarto agente </w:t>
      </w:r>
      <w:r>
        <w:rPr>
          <w:rFonts w:cs="Times;Sylfaen" w:ascii="Times;Sylfaen" w:hAnsi="Times;Sylfaen"/>
          <w:highlight w:val="yellow"/>
        </w:rPr>
        <w:t xml:space="preserve">[a implementar]</w:t>
      </w:r>
      <w:r>
        <w:rPr>
          <w:rFonts w:cs="Times;Sylfaen" w:ascii="Times;Sylfaen" w:hAnsi="Times;Sylfaen"/>
        </w:rPr>
        <w:t xml:space="preserve">. Os agentes de triagem e de execução, com a verificação do efeito, rodam no modelo local, uma variante sem censura do Qwen3.8 de 27 bilhões de parâmetros (qwen3.8-27c), chamada por uma API compatível com a da OpenAI. Ela foi escolhida numa comparação com o Qwen normal (qwen3.8-27b) na triagem e na decisão: o normal entrou em laço em metade das triagens, e a variante sempre chegou a um veredito, com cerca de um terço dos tokens. A variante sem censura não recusa a análise de um ataque, mas obedece com mais facilidade a uma instrução escondida no tráfego, e por isso as garantias do sistema ficam no servidor, e não no modelo. A triagem marca como duvidoso todo incidente com confiança do classificador abaixo de 0,6: nos 235 incidentes da avaliação dos 38 pcaps, esse limiar pega 24 dos 57 incidentes falsos e marca 4 dos 178 verdadeiros. Na PoC, quem serve o modelo é um servidor de inferência compatível com a API da OpenAI, num gateway interno de outra organização, numa rede que não é da equipe, com hardware e quantização desconhecidos </w:t>
      </w:r>
      <w:r>
        <w:rPr>
          <w:rFonts w:cs="Times;Sylfaen" w:ascii="Times;Sylfaen" w:hAnsi="Times;Sylfaen"/>
          <w:highlight w:val="yellow"/>
        </w:rPr>
        <w:t xml:space="preserve">[CONFERIR com quem mantém o gateway: a variante exata e a quantização]</w:t>
      </w:r>
      <w:r>
        <w:rPr>
          <w:rFonts w:cs="Times;Sylfaen" w:ascii="Times;Sylfaen" w:hAnsi="Times;Sylfaen"/>
        </w:rPr>
        <w:t xml:space="preserve">, e os dados que passam por ele são os do CICIoT2023, públicos. Numa implantação, o modelo local fica num servidor dentro da rede atendida, no próprio gateway, se ele comportar, ou numa máquina ao lado, e o código não muda: só o endereço do servidor. A garantia de que nenhum endereço da rede chega à fronteira está no servidor, e não no prompt: o agente de decisão não tem as tools que devolvem endereços e lê o incidente por obter_resumo, montado pelo servidor com um rótulo neutro (origem-1, destino-1) no lugar de cada endereço. Ele propõe a ação com o rótulo; o servidor troca o rótulo pelo endereço e calcula o risco sobre o endereço real, e só o agente de execução, local e o único com credenciais, recebe o endereço. Toda resposta à linha de decisão passa ainda por um filtro que troca por um marcador qualquer endereço que tenha sobrado em texto livre. O veredito da triagem, texto livre escrito pelo modelo local, precisa passar pelo mesmo filtro antes de chegar ao agente de decisão </w:t>
      </w:r>
      <w:r>
        <w:rPr>
          <w:rFonts w:cs="Times;Sylfaen" w:ascii="Times;Sylfaen" w:hAnsi="Times;Sylfaen"/>
          <w:highlight w:val="yellow"/>
        </w:rPr>
        <w:t xml:space="preserve">[a implementar]</w:t>
      </w:r>
      <w:r>
        <w:rPr>
          <w:rFonts w:cs="Times;Sylfaen" w:ascii="Times;Sylfaen" w:hAnsi="Times;Sylfaen"/>
        </w:rPr>
        <w:t xml:space="preserve">. O orquestrador aceitará três configurações, tudo local, tudo na nuvem e híbrida, e a comparação entre elas em qualidade, custo e tempo é resultado do artigo. Isso responde ao ponto da banca sobre riscos de IA em nuvem e à alternativa on-premises.</w:t>
      </w:r>
    </w:p>
    <w:p>
      <w:pPr>
        <w:pStyle w:val="Normal"/>
        <w:tabs>
          <w:tab w:val="clear" w:pos="708"/>
          <w:tab w:val="left" w:pos="720" w:leader="none"/>
        </w:tabs>
        <w:spacing w:before="120" w:after="0"/>
        <w:ind w:firstLine="708" w:end="0"/>
        <w:jc w:val="both"/>
      </w:pPr>
      <w:r>
        <w:rPr>
          <w:rFonts w:cs="Times;Sylfaen" w:ascii="Times;Sylfaen" w:hAnsi="Times;Sylfaen"/>
        </w:rPr>
        <w:t xml:space="preserve">A busca na internet dos agentes fica desligada por padrão, e por isso nenhum dado da rede sai da máquina por ela; a comparação com a busca ligada fica como experimento. O custo em tokens será medido por chamada: cada chamada ao modelo vai gravar no log o agente, o modelo e os tokens de entrada e de saída </w:t>
      </w:r>
      <w:r>
        <w:rPr>
          <w:rFonts w:cs="Times;Sylfaen" w:ascii="Times;Sylfaen" w:hAnsi="Times;Sylfaen"/>
          <w:highlight w:val="yellow"/>
        </w:rPr>
        <w:t xml:space="preserve">[a implementar]</w:t>
      </w:r>
      <w:r>
        <w:rPr>
          <w:rFonts w:cs="Times;Sylfaen" w:ascii="Times;Sylfaen" w:hAnsi="Times;Sylfaen"/>
        </w:rPr>
        <w:t xml:space="preserve">, e o contador da interface mostra quantas chamadas um incidente gerou. O risco de Denial of Wallet é tratado pela política de acionamento, com a primeira versão no reprodutor de tráfego, que reúne as janelas do mesmo ataque num incidente só: um flood de 264 mil janelas vira 4 incidentes, um por sessão de captura, e as rajadas de uma varredura contra alvos diferentes reabrem o mesmo incidente. O que ainda passa é o ataque de pouco volume em rajadas espaçadas: o pcap DNS_Spoofing dá 51 incidentes em 28 horas. Nos experimentos, que reproduzem um pcap por vez, o teto é de 20 incidentes por pcap. Num sistema ligado o tempo todo não há pcap para contar, e o teto passa a ser por tempo </w:t>
      </w:r>
      <w:r>
        <w:rPr>
          <w:rFonts w:cs="Times;Sylfaen" w:ascii="Times;Sylfaen" w:hAnsi="Times;Sylfaen"/>
          <w:highlight w:val="yellow"/>
        </w:rPr>
        <w:t xml:space="preserve">[a implementar]</w:t>
      </w:r>
      <w:r>
        <w:rPr>
          <w:rFonts w:cs="Times;Sylfaen" w:ascii="Times;Sylfaen" w:hAnsi="Times;Sylfaen"/>
        </w:rPr>
        <w:t xml:space="preserve">. Até 10 incidentes por hora, somando todos os ataques, vão ao modelo de fronteira. Acima disso, o incidente abre normalmente e segue pela configuração tudo local, sem custo de tokens, e a pessoa que opera a rede é avisada de que ele será tratado só pelo modelo local, de menor capacidade. A rota local aceita até 5 incidentes esperando a vez; acima disso, a pessoa é avisada e fica só a saída do classificador, sem os agentes, até abrir vaga. Os dois valores são parâmetros: no pior caso medido, cerca de 2 incidentes por hora, o primeiro comporta uns 5 ataques lentos ao mesmo tempo. A política de risco, a troca de endereços por rótulos e a aprovação humana valem nas duas rotas, porque estão no servidor.</w:t>
      </w:r>
    </w:p>
    <w:p>
      <w:pPr>
        <w:pStyle w:val="Normal"/>
        <w:tabs>
          <w:tab w:val="clear" w:pos="708"/>
          <w:tab w:val="left" w:pos="720" w:leader="none"/>
        </w:tabs>
        <w:spacing w:before="120" w:after="0"/>
        <w:ind w:firstLine="708" w:end="0"/>
        <w:jc w:val="both"/>
      </w:pPr>
      <w:r>
        <w:rPr>
          <w:rFonts w:cs="Times;Sylfaen" w:ascii="Times;Sylfaen" w:hAnsi="Times;Sylfaen"/>
        </w:rPr>
        <w:t xml:space="preserve">A pessoa que opera a rede será avisada no instante em que o incidente abrir, antes dos agentes </w:t>
      </w:r>
      <w:r>
        <w:rPr>
          <w:rFonts w:cs="Times;Sylfaen" w:ascii="Times;Sylfaen" w:hAnsi="Times;Sylfaen"/>
          <w:highlight w:val="yellow"/>
        </w:rPr>
        <w:t xml:space="preserve">[a implementar no modo ao vivo da interface]</w:t>
      </w:r>
      <w:r>
        <w:rPr>
          <w:rFonts w:cs="Times;Sylfaen" w:ascii="Times;Sylfaen" w:hAnsi="Times;Sylfaen"/>
        </w:rPr>
        <w:t xml:space="preserve">, e pode marcar o incidente como já resolvido. A marca é o evento incidente_marcado_resolvido, gravado hoje pelo comando de aprovação e, mais adiante, pelo botão "Já resolvido" da interface, com o canal e o usuário. Daí em diante o servidor recusa qualquer proposta do incidente e a execução das propostas dele, inclusive as já aprovadas, e o comando de aprovação recusa aprovar as pendentes; o que já estava aplicado pode ser desfeito, e o agente de decisão, que vê a marca no resumo, só explica o incidente. O log grava o instante de cada etapa, da janela à verificação (Figura 2), o que permite medir o tempo entre detecção e remediação, com e sem intervenção humana. Do lado da detecção, a janela de 100 quadros fecha, na mediana, em 5 ms em DDoS e DoS e entre 1,3 s e 2,5 s em Recon, BruteForce e Web. No modelo do sistema, que ocupa 365,6 MB em disco, o dobro do de 10/10, a classificação de uma janela isolada leva 1,68 ms na mediana e 1,79 ms no p95, num núcleo, da linha do extrator à probabilidade, e um lote de 1.000 janelas, 8,6 ms. O processo com o modelo carregado ocupa cerca de 900 MB de memória. O extrator lê cerca de 151 mil quadros por segundo, e o reprodutor inteiro, com a classificação e a política de acionamento, 143 mil, também num núcleo, num MacBook Pro M5 com 16 GB. No modelo de 10/10, a janela levava 1,6 ms.</w:t>
      </w:r>
    </w:p>
    <w:p>
      <w:pPr>
        <w:pStyle w:val="Normal"/>
        <w:tabs>
          <w:tab w:val="clear" w:pos="708"/>
          <w:tab w:val="left" w:pos="720" w:leader="none"/>
        </w:tabs>
        <w:spacing w:before="120" w:after="0"/>
        <w:ind w:firstLine="708" w:end="0"/>
        <w:jc w:val="both"/>
      </w:pPr>
      <w:r>
        <w:rPr>
          <w:rFonts w:cs="Times;Sylfaen" w:ascii="Times;Sylfaen" w:hAnsi="Times;Sylfaen"/>
          <w:highlight w:val="yellow"/>
        </w:rPr>
        <w:t xml:space="preserve">[FIGURA 1: diagrama da arquitetura (captura, extrator, classificador, servidor MCP, agentes e interface). FIGURA 2: fluxo de um incidente com os instantes medidos.]</w:t>
      </w:r>
    </w:p>
    <w:p>
      <w:pPr>
        <w:pStyle w:val="Normal"/>
        <w:keepNext w:val="true"/>
        <w:tabs>
          <w:tab w:val="clear" w:pos="708"/>
          <w:tab w:val="left" w:pos="720" w:leader="none"/>
        </w:tabs>
        <w:spacing w:before="200" w:after="0"/>
        <w:outlineLvl w:val="1"/>
      </w:pPr>
      <w:r>
        <w:rPr>
          <w:rFonts w:cs="Times;Sylfaen" w:ascii="Times;Sylfaen" w:hAnsi="Times;Sylfaen"/>
          <w:b/>
          <w:bCs/>
          <w:sz w:val="24"/>
          <w:szCs w:val="24"/>
        </w:rPr>
        <w:t xml:space="preserve">3.6 Avaliação da PoC e dos agentes</w:t>
      </w:r>
    </w:p>
    <w:p>
      <w:pPr>
        <w:pStyle w:val="Normal"/>
        <w:tabs>
          <w:tab w:val="clear" w:pos="708"/>
          <w:tab w:val="left" w:pos="720" w:leader="none"/>
        </w:tabs>
        <w:spacing w:before="120" w:after="0"/>
        <w:ind w:firstLine="708" w:end="0"/>
        <w:jc w:val="both"/>
      </w:pPr>
      <w:r>
        <w:rPr>
          <w:rFonts w:cs="Times;Sylfaen" w:ascii="Times;Sylfaen" w:hAnsi="Times;Sylfaen"/>
          <w:highlight w:val="yellow"/>
        </w:rPr>
        <w:t xml:space="preserve">[PENDENTE] Cenários: DDoS, varredura de portas e força bruta, reproduzidos a partir dos pcaps do CICIoT2023. Comparações: a saída isolada do classificador contra a saída integrada, com os agentes, no mesmo incidente, como previa o TCC I; e as três configurações dos agentes (tudo local, tudo na nuvem e híbrida). Medidas: qualidade da recomendação; tokens e custo por incidente; tempo entre a abertura do incidente e a remediação, com e sem a marca de já resolvido; e propostas aprovadas, rejeitadas e desfeitas. A qualidade da recomendação é a porcentagem de incidentes com uma ação aceitável no alvo certo, conferida contra um gabarito por categoria fixado no repositório antes da primeira rodada. O gabarito diz que ações do catálogo são aceitáveis em cada categoria e em que alvo, e o alvo é conferido com os atacantes do dataset, identificados pelo MAC. O acerto da triagem vem ao lado, e uma rubrica de 1 a 5 (adequação, alvo, proporcionalidade e justificativa) avalia uma amostra de 9 casos, um por cenário e configuração, para cobrir a justificativa, que a conferência automática não vê. Nos experimentos, as propostas de risco alto passam por um aprovador automático com regra fixa [a implementar]: ele aprova a proposta que o gabarito aceita e rejeita as demais, inclusive a ação nova, contada à parte. Isso inclui todo bloqueio de atacante, porque os atacantes do dataset estão numa rede que a política trata como local. O tempo até a remediação é relatado em duas partes, a detecção (da primeira janela do ataque à abertura do incidente) e os agentes (da abertura à execução), sem o tempo de uma pessoa aprovar. A aprovação por uma pessoa aparece só na demonstração. Segurança do MCP: o teste de tool poisoning [a escrever], se couber antes da submissão (seção 4.2).</w:t>
      </w:r>
    </w:p>
    <w:p>
      <w:pPr>
        <w:pStyle w:val="Normal"/>
        <w:keepNext w:val="true"/>
        <w:tabs>
          <w:tab w:val="clear" w:pos="708"/>
          <w:tab w:val="left" w:pos="720" w:leader="none"/>
        </w:tabs>
        <w:spacing w:before="240" w:after="0"/>
        <w:outlineLvl w:val="0"/>
      </w:pPr>
      <w:r>
        <w:rPr>
          <w:rFonts w:cs="Times;Sylfaen" w:ascii="Times;Sylfaen" w:hAnsi="Times;Sylfaen"/>
          <w:b/>
          <w:bCs/>
          <w:sz w:val="28"/>
          <w:szCs w:val="28"/>
        </w:rPr>
        <w:t xml:space="preserve">4. Resultados e discussão</w:t>
      </w:r>
    </w:p>
    <w:p>
      <w:pPr>
        <w:pStyle w:val="Normal"/>
        <w:keepNext w:val="true"/>
        <w:tabs>
          <w:tab w:val="clear" w:pos="708"/>
          <w:tab w:val="left" w:pos="720" w:leader="none"/>
        </w:tabs>
        <w:spacing w:before="200" w:after="0"/>
        <w:outlineLvl w:val="1"/>
      </w:pPr>
      <w:r>
        <w:rPr>
          <w:rFonts w:cs="Times;Sylfaen" w:ascii="Times;Sylfaen" w:hAnsi="Times;Sylfaen"/>
          <w:b/>
          <w:bCs/>
          <w:sz w:val="24"/>
          <w:szCs w:val="24"/>
        </w:rPr>
        <w:t xml:space="preserve">4.1 Resultados</w:t>
      </w:r>
    </w:p>
    <w:p>
      <w:pPr>
        <w:pStyle w:val="Normal"/>
        <w:tabs>
          <w:tab w:val="clear" w:pos="708"/>
          <w:tab w:val="left" w:pos="720" w:leader="none"/>
        </w:tabs>
        <w:spacing w:before="120" w:after="0"/>
        <w:ind w:firstLine="708" w:end="0"/>
        <w:jc w:val="both"/>
      </w:pPr>
      <w:r>
        <w:rPr>
          <w:rFonts w:cs="Times;Sylfaen" w:ascii="Times;Sylfaen" w:hAnsi="Times;Sylfaen"/>
        </w:rPr>
        <w:t xml:space="preserve">A Tabela 1 é o resultado principal: o modelo do sistema no ponto de operação, que na validação foi o argmax, com N = 3, no corte por tempo, com o recall com o pcap inteiro fora do treino ao lado. A Tabela 2 traz o alarme falso com cada pcap benigno fora do treino.</w:t>
      </w:r>
    </w:p>
    <w:p>
      <w:pPr>
        <w:pStyle w:val="Normal"/>
        <w:keepNext w:val="true"/>
        <w:spacing w:before="240" w:after="120"/>
        <w:jc w:val="both"/>
      </w:pPr>
      <w:r>
        <w:rPr>
          <w:rFonts w:cs="Times;Sylfaen" w:ascii="Times;Sylfaen" w:hAnsi="Times;Sylfaen"/>
          <w:b/>
          <w:bCs/>
          <w:sz w:val="20"/>
          <w:szCs w:val="20"/>
        </w:rPr>
        <w:t xml:space="preserve">Tabela 1.</w:t>
      </w:r>
      <w:r>
        <w:rPr>
          <w:rFonts w:cs="Times;Sylfaen" w:ascii="Times;Sylfaen" w:hAnsi="Times;Sylfaen"/>
          <w:sz w:val="20"/>
          <w:szCs w:val="20"/>
        </w:rPr>
        <w:t xml:space="preserve"> Modelo do sistema por categoria. Precisão, recall e F1 no corte por tempo, no ponto de operação, na média das sementes 42, 1 e 2; janelas de teste da semente 42. Recall com o pcap fora: cada pcap sai inteiro do treino, um por vez, e é medido nas suas janelas de teste, somando os pcaps da categoria, com a categoria mais provável; em DDoS+DoS, quatro pcaps foram retirados.</w:t>
      </w:r>
    </w:p>
    <w:tbl>
      <w:tblPr>
        <w:tblW w:w="9354" w:type="dxa"/>
        <w:jc w:val="center"/>
        <w:tblBorders>
          <w:top w:val="single" w:sz="8" w:space="0" w:color="000000"/>
          <w:bottom w:val="single" w:sz="8" w:space="0" w:color="000000"/>
        </w:tblBorders>
        <w:tblLayout w:type="fixed"/>
        <w:tblCellMar>
          <w:left w:w="57" w:type="dxa"/>
          <w:right w:w="57" w:type="dxa"/>
        </w:tblCellMar>
        <w:tblLook w:val="0000"/>
      </w:tblPr>
      <w:tblGrid>
        <w:gridCol w:w="1500"/>
        <w:gridCol w:w="1250"/>
        <w:gridCol w:w="1050"/>
        <w:gridCol w:w="1000"/>
        <w:gridCol w:w="950"/>
        <w:gridCol w:w="3604"/>
      </w:tblGrid>
      <w:tr>
        <w:trPr>
          <w:cantSplit/>
          <w:tblHeader/>
        </w:trPr>
        <w:tc>
          <w:tcPr>
            <w:tcW w:w="1500" w:type="dxa"/>
            <w:tcBorders>
              <w:bottom w:val="single" w:sz="8" w:space="0" w:color="000000"/>
            </w:tcBorders>
            <w:vAlign w:val="center"/>
          </w:tcPr>
          <w:p>
            <w:pPr>
              <w:pStyle w:val="Normal"/>
              <w:spacing w:before="20" w:after="20"/>
              <w:jc w:val="left"/>
            </w:pPr>
            <w:r>
              <w:rPr>
                <w:rFonts w:cs="Times;Sylfaen" w:ascii="Times;Sylfaen" w:hAnsi="Times;Sylfaen"/>
                <w:b/>
                <w:bCs/>
                <w:sz w:val="20"/>
                <w:szCs w:val="20"/>
              </w:rPr>
              <w:t xml:space="preserve">Categoria</w:t>
            </w:r>
          </w:p>
        </w:tc>
        <w:tc>
          <w:tcPr>
            <w:tcW w:w="1250" w:type="dxa"/>
            <w:tcBorders>
              <w:bottom w:val="single" w:sz="8" w:space="0" w:color="000000"/>
            </w:tcBorders>
            <w:vAlign w:val="center"/>
          </w:tcPr>
          <w:p>
            <w:pPr>
              <w:pStyle w:val="Normal"/>
              <w:spacing w:before="20" w:after="20"/>
              <w:jc w:val="center"/>
            </w:pPr>
            <w:r>
              <w:rPr>
                <w:rFonts w:cs="Times;Sylfaen" w:ascii="Times;Sylfaen" w:hAnsi="Times;Sylfaen"/>
                <w:b/>
                <w:bCs/>
                <w:sz w:val="20"/>
                <w:szCs w:val="20"/>
              </w:rPr>
              <w:t xml:space="preserve">Janelas de teste</w:t>
            </w:r>
          </w:p>
        </w:tc>
        <w:tc>
          <w:tcPr>
            <w:tcW w:w="1050" w:type="dxa"/>
            <w:tcBorders>
              <w:bottom w:val="single" w:sz="8" w:space="0" w:color="000000"/>
            </w:tcBorders>
            <w:vAlign w:val="center"/>
          </w:tcPr>
          <w:p>
            <w:pPr>
              <w:pStyle w:val="Normal"/>
              <w:spacing w:before="20" w:after="20"/>
              <w:jc w:val="center"/>
            </w:pPr>
            <w:r>
              <w:rPr>
                <w:rFonts w:cs="Times;Sylfaen" w:ascii="Times;Sylfaen" w:hAnsi="Times;Sylfaen"/>
                <w:b/>
                <w:bCs/>
                <w:sz w:val="20"/>
                <w:szCs w:val="20"/>
              </w:rPr>
              <w:t xml:space="preserve">Precisão</w:t>
            </w:r>
          </w:p>
        </w:tc>
        <w:tc>
          <w:tcPr>
            <w:tcW w:w="1000" w:type="dxa"/>
            <w:tcBorders>
              <w:bottom w:val="single" w:sz="8" w:space="0" w:color="000000"/>
            </w:tcBorders>
            <w:vAlign w:val="center"/>
          </w:tcPr>
          <w:p>
            <w:pPr>
              <w:pStyle w:val="Normal"/>
              <w:spacing w:before="20" w:after="20"/>
              <w:jc w:val="center"/>
            </w:pPr>
            <w:r>
              <w:rPr>
                <w:rFonts w:cs="Times;Sylfaen" w:ascii="Times;Sylfaen" w:hAnsi="Times;Sylfaen"/>
                <w:b/>
                <w:bCs/>
                <w:sz w:val="20"/>
                <w:szCs w:val="20"/>
              </w:rPr>
              <w:t xml:space="preserve">Recall</w:t>
            </w:r>
          </w:p>
        </w:tc>
        <w:tc>
          <w:tcPr>
            <w:tcW w:w="950" w:type="dxa"/>
            <w:tcBorders>
              <w:bottom w:val="single" w:sz="8" w:space="0" w:color="000000"/>
            </w:tcBorders>
            <w:vAlign w:val="center"/>
          </w:tcPr>
          <w:p>
            <w:pPr>
              <w:pStyle w:val="Normal"/>
              <w:spacing w:before="20" w:after="20"/>
              <w:jc w:val="center"/>
            </w:pPr>
            <w:r>
              <w:rPr>
                <w:rFonts w:cs="Times;Sylfaen" w:ascii="Times;Sylfaen" w:hAnsi="Times;Sylfaen"/>
                <w:b/>
                <w:bCs/>
                <w:sz w:val="20"/>
                <w:szCs w:val="20"/>
              </w:rPr>
              <w:t xml:space="preserve">F1</w:t>
            </w:r>
          </w:p>
        </w:tc>
        <w:tc>
          <w:tcPr>
            <w:tcW w:w="3604" w:type="dxa"/>
            <w:tcBorders>
              <w:bottom w:val="single" w:sz="8" w:space="0" w:color="000000"/>
            </w:tcBorders>
            <w:vAlign w:val="center"/>
          </w:tcPr>
          <w:p>
            <w:pPr>
              <w:pStyle w:val="Normal"/>
              <w:spacing w:before="20" w:after="20"/>
              <w:jc w:val="center"/>
            </w:pPr>
            <w:r>
              <w:rPr>
                <w:rFonts w:cs="Times;Sylfaen" w:ascii="Times;Sylfaen" w:hAnsi="Times;Sylfaen"/>
                <w:b/>
                <w:bCs/>
                <w:sz w:val="20"/>
                <w:szCs w:val="20"/>
              </w:rPr>
              <w:t xml:space="preserve">Recall com o pcap fora do treino</w:t>
            </w:r>
          </w:p>
        </w:tc>
      </w:tr>
      <w:tr>
        <w:trPr>
          <w:cantSplit/>
        </w:trPr>
        <w:tc>
          <w:tcPr>
            <w:tcW w:w="1500" w:type="dxa"/>
            <w:vAlign w:val="center"/>
          </w:tcPr>
          <w:p>
            <w:pPr>
              <w:pStyle w:val="Normal"/>
              <w:spacing w:before="20" w:after="20"/>
              <w:jc w:val="left"/>
            </w:pPr>
            <w:r>
              <w:rPr>
                <w:rFonts w:cs="Times;Sylfaen" w:ascii="Times;Sylfaen" w:hAnsi="Times;Sylfaen"/>
                <w:sz w:val="20"/>
                <w:szCs w:val="20"/>
              </w:rPr>
              <w:t xml:space="preserve">DDoS+DoS</w:t>
            </w:r>
          </w:p>
        </w:tc>
        <w:tc>
          <w:tcPr>
            <w:tcW w:w="1250" w:type="dxa"/>
            <w:vAlign w:val="center"/>
          </w:tcPr>
          <w:p>
            <w:pPr>
              <w:pStyle w:val="Normal"/>
              <w:spacing w:before="20" w:after="20"/>
              <w:jc w:val="center"/>
            </w:pPr>
            <w:r>
              <w:rPr>
                <w:rFonts w:cs="Times;Sylfaen" w:ascii="Times;Sylfaen" w:hAnsi="Times;Sylfaen"/>
                <w:sz w:val="20"/>
                <w:szCs w:val="20"/>
              </w:rPr>
              <w:t xml:space="preserve">214.373</w:t>
            </w:r>
          </w:p>
        </w:tc>
        <w:tc>
          <w:tcPr>
            <w:tcW w:w="1050" w:type="dxa"/>
            <w:vAlign w:val="center"/>
          </w:tcPr>
          <w:p>
            <w:pPr>
              <w:pStyle w:val="Normal"/>
              <w:spacing w:before="20" w:after="20"/>
              <w:jc w:val="center"/>
            </w:pPr>
            <w:r>
              <w:rPr>
                <w:rFonts w:cs="Times;Sylfaen" w:ascii="Times;Sylfaen" w:hAnsi="Times;Sylfaen"/>
                <w:sz w:val="20"/>
                <w:szCs w:val="20"/>
              </w:rPr>
              <w:t xml:space="preserve">99,8%</w:t>
            </w:r>
          </w:p>
        </w:tc>
        <w:tc>
          <w:tcPr>
            <w:tcW w:w="1000" w:type="dxa"/>
            <w:vAlign w:val="center"/>
          </w:tcPr>
          <w:p>
            <w:pPr>
              <w:pStyle w:val="Normal"/>
              <w:spacing w:before="20" w:after="20"/>
              <w:jc w:val="center"/>
            </w:pPr>
            <w:r>
              <w:rPr>
                <w:rFonts w:cs="Times;Sylfaen" w:ascii="Times;Sylfaen" w:hAnsi="Times;Sylfaen"/>
                <w:sz w:val="20"/>
                <w:szCs w:val="20"/>
              </w:rPr>
              <w:t xml:space="preserve">98,4%</w:t>
            </w:r>
          </w:p>
        </w:tc>
        <w:tc>
          <w:tcPr>
            <w:tcW w:w="950" w:type="dxa"/>
            <w:vAlign w:val="center"/>
          </w:tcPr>
          <w:p>
            <w:pPr>
              <w:pStyle w:val="Normal"/>
              <w:spacing w:before="20" w:after="20"/>
              <w:jc w:val="center"/>
            </w:pPr>
            <w:r>
              <w:rPr>
                <w:rFonts w:cs="Times;Sylfaen" w:ascii="Times;Sylfaen" w:hAnsi="Times;Sylfaen"/>
                <w:sz w:val="20"/>
                <w:szCs w:val="20"/>
              </w:rPr>
              <w:t xml:space="preserve">99,1%</w:t>
            </w:r>
          </w:p>
        </w:tc>
        <w:tc>
          <w:tcPr>
            <w:tcW w:w="3604" w:type="dxa"/>
            <w:vAlign w:val="center"/>
          </w:tcPr>
          <w:p>
            <w:pPr>
              <w:pStyle w:val="Normal"/>
              <w:spacing w:before="20" w:after="20"/>
              <w:jc w:val="center"/>
            </w:pPr>
            <w:r>
              <w:rPr>
                <w:rFonts w:cs="Times;Sylfaen" w:ascii="Times;Sylfaen" w:hAnsi="Times;Sylfaen"/>
                <w:sz w:val="20"/>
                <w:szCs w:val="20"/>
              </w:rPr>
              <w:t xml:space="preserve">74,2%</w:t>
            </w:r>
          </w:p>
        </w:tc>
      </w:tr>
      <w:tr>
        <w:trPr>
          <w:cantSplit/>
        </w:trPr>
        <w:tc>
          <w:tcPr>
            <w:tcW w:w="1500" w:type="dxa"/>
            <w:vAlign w:val="center"/>
          </w:tcPr>
          <w:p>
            <w:pPr>
              <w:pStyle w:val="Normal"/>
              <w:spacing w:before="20" w:after="20"/>
              <w:jc w:val="left"/>
            </w:pPr>
            <w:r>
              <w:rPr>
                <w:rFonts w:cs="Times;Sylfaen" w:ascii="Times;Sylfaen" w:hAnsi="Times;Sylfaen"/>
                <w:sz w:val="20"/>
                <w:szCs w:val="20"/>
              </w:rPr>
              <w:t xml:space="preserve">Mirai</w:t>
            </w:r>
          </w:p>
        </w:tc>
        <w:tc>
          <w:tcPr>
            <w:tcW w:w="1250" w:type="dxa"/>
            <w:vAlign w:val="center"/>
          </w:tcPr>
          <w:p>
            <w:pPr>
              <w:pStyle w:val="Normal"/>
              <w:spacing w:before="20" w:after="20"/>
              <w:jc w:val="center"/>
            </w:pPr>
            <w:r>
              <w:rPr>
                <w:rFonts w:cs="Times;Sylfaen" w:ascii="Times;Sylfaen" w:hAnsi="Times;Sylfaen"/>
                <w:sz w:val="20"/>
                <w:szCs w:val="20"/>
              </w:rPr>
              <w:t xml:space="preserve">24.458</w:t>
            </w:r>
          </w:p>
        </w:tc>
        <w:tc>
          <w:tcPr>
            <w:tcW w:w="1050" w:type="dxa"/>
            <w:vAlign w:val="center"/>
          </w:tcPr>
          <w:p>
            <w:pPr>
              <w:pStyle w:val="Normal"/>
              <w:spacing w:before="20" w:after="20"/>
              <w:jc w:val="center"/>
            </w:pPr>
            <w:r>
              <w:rPr>
                <w:rFonts w:cs="Times;Sylfaen" w:ascii="Times;Sylfaen" w:hAnsi="Times;Sylfaen"/>
                <w:sz w:val="20"/>
                <w:szCs w:val="20"/>
              </w:rPr>
              <w:t xml:space="preserve">100,0%</w:t>
            </w:r>
          </w:p>
        </w:tc>
        <w:tc>
          <w:tcPr>
            <w:tcW w:w="1000" w:type="dxa"/>
            <w:vAlign w:val="center"/>
          </w:tcPr>
          <w:p>
            <w:pPr>
              <w:pStyle w:val="Normal"/>
              <w:spacing w:before="20" w:after="20"/>
              <w:jc w:val="center"/>
            </w:pPr>
            <w:r>
              <w:rPr>
                <w:rFonts w:cs="Times;Sylfaen" w:ascii="Times;Sylfaen" w:hAnsi="Times;Sylfaen"/>
                <w:sz w:val="20"/>
                <w:szCs w:val="20"/>
              </w:rPr>
              <w:t xml:space="preserve">99,2%</w:t>
            </w:r>
          </w:p>
        </w:tc>
        <w:tc>
          <w:tcPr>
            <w:tcW w:w="950" w:type="dxa"/>
            <w:vAlign w:val="center"/>
          </w:tcPr>
          <w:p>
            <w:pPr>
              <w:pStyle w:val="Normal"/>
              <w:spacing w:before="20" w:after="20"/>
              <w:jc w:val="center"/>
            </w:pPr>
            <w:r>
              <w:rPr>
                <w:rFonts w:cs="Times;Sylfaen" w:ascii="Times;Sylfaen" w:hAnsi="Times;Sylfaen"/>
                <w:sz w:val="20"/>
                <w:szCs w:val="20"/>
              </w:rPr>
              <w:t xml:space="preserve">99,6%</w:t>
            </w:r>
          </w:p>
        </w:tc>
        <w:tc>
          <w:tcPr>
            <w:tcW w:w="3604" w:type="dxa"/>
            <w:vAlign w:val="center"/>
          </w:tcPr>
          <w:p>
            <w:pPr>
              <w:pStyle w:val="Normal"/>
              <w:spacing w:before="20" w:after="20"/>
              <w:jc w:val="center"/>
            </w:pPr>
            <w:r>
              <w:rPr>
                <w:rFonts w:cs="Times;Sylfaen" w:ascii="Times;Sylfaen" w:hAnsi="Times;Sylfaen"/>
                <w:sz w:val="20"/>
                <w:szCs w:val="20"/>
              </w:rPr>
              <w:t xml:space="preserve">55,3%</w:t>
            </w:r>
          </w:p>
        </w:tc>
      </w:tr>
      <w:tr>
        <w:trPr>
          <w:cantSplit/>
        </w:trPr>
        <w:tc>
          <w:tcPr>
            <w:tcW w:w="1500" w:type="dxa"/>
            <w:vAlign w:val="center"/>
          </w:tcPr>
          <w:p>
            <w:pPr>
              <w:pStyle w:val="Normal"/>
              <w:spacing w:before="20" w:after="20"/>
              <w:jc w:val="left"/>
            </w:pPr>
            <w:r>
              <w:rPr>
                <w:rFonts w:cs="Times;Sylfaen" w:ascii="Times;Sylfaen" w:hAnsi="Times;Sylfaen"/>
                <w:sz w:val="20"/>
                <w:szCs w:val="20"/>
              </w:rPr>
              <w:t xml:space="preserve">Recon</w:t>
            </w:r>
          </w:p>
        </w:tc>
        <w:tc>
          <w:tcPr>
            <w:tcW w:w="1250" w:type="dxa"/>
            <w:vAlign w:val="center"/>
          </w:tcPr>
          <w:p>
            <w:pPr>
              <w:pStyle w:val="Normal"/>
              <w:spacing w:before="20" w:after="20"/>
              <w:jc w:val="center"/>
            </w:pPr>
            <w:r>
              <w:rPr>
                <w:rFonts w:cs="Times;Sylfaen" w:ascii="Times;Sylfaen" w:hAnsi="Times;Sylfaen"/>
                <w:sz w:val="20"/>
                <w:szCs w:val="20"/>
              </w:rPr>
              <w:t xml:space="preserve">10.982</w:t>
            </w:r>
          </w:p>
        </w:tc>
        <w:tc>
          <w:tcPr>
            <w:tcW w:w="1050" w:type="dxa"/>
            <w:vAlign w:val="center"/>
          </w:tcPr>
          <w:p>
            <w:pPr>
              <w:pStyle w:val="Normal"/>
              <w:spacing w:before="20" w:after="20"/>
              <w:jc w:val="center"/>
            </w:pPr>
            <w:r>
              <w:rPr>
                <w:rFonts w:cs="Times;Sylfaen" w:ascii="Times;Sylfaen" w:hAnsi="Times;Sylfaen"/>
                <w:sz w:val="20"/>
                <w:szCs w:val="20"/>
              </w:rPr>
              <w:t xml:space="preserve">85,7%</w:t>
            </w:r>
          </w:p>
        </w:tc>
        <w:tc>
          <w:tcPr>
            <w:tcW w:w="1000" w:type="dxa"/>
            <w:vAlign w:val="center"/>
          </w:tcPr>
          <w:p>
            <w:pPr>
              <w:pStyle w:val="Normal"/>
              <w:spacing w:before="20" w:after="20"/>
              <w:jc w:val="center"/>
            </w:pPr>
            <w:r>
              <w:rPr>
                <w:rFonts w:cs="Times;Sylfaen" w:ascii="Times;Sylfaen" w:hAnsi="Times;Sylfaen"/>
                <w:sz w:val="20"/>
                <w:szCs w:val="20"/>
              </w:rPr>
              <w:t xml:space="preserve">55,0%</w:t>
            </w:r>
          </w:p>
        </w:tc>
        <w:tc>
          <w:tcPr>
            <w:tcW w:w="950" w:type="dxa"/>
            <w:vAlign w:val="center"/>
          </w:tcPr>
          <w:p>
            <w:pPr>
              <w:pStyle w:val="Normal"/>
              <w:spacing w:before="20" w:after="20"/>
              <w:jc w:val="center"/>
            </w:pPr>
            <w:r>
              <w:rPr>
                <w:rFonts w:cs="Times;Sylfaen" w:ascii="Times;Sylfaen" w:hAnsi="Times;Sylfaen"/>
                <w:sz w:val="20"/>
                <w:szCs w:val="20"/>
              </w:rPr>
              <w:t xml:space="preserve">67,0%</w:t>
            </w:r>
          </w:p>
        </w:tc>
        <w:tc>
          <w:tcPr>
            <w:tcW w:w="3604" w:type="dxa"/>
            <w:vAlign w:val="center"/>
          </w:tcPr>
          <w:p>
            <w:pPr>
              <w:pStyle w:val="Normal"/>
              <w:spacing w:before="20" w:after="20"/>
              <w:jc w:val="center"/>
            </w:pPr>
            <w:r>
              <w:rPr>
                <w:rFonts w:cs="Times;Sylfaen" w:ascii="Times;Sylfaen" w:hAnsi="Times;Sylfaen"/>
                <w:sz w:val="20"/>
                <w:szCs w:val="20"/>
              </w:rPr>
              <w:t xml:space="preserve">24,9%</w:t>
            </w:r>
          </w:p>
        </w:tc>
      </w:tr>
      <w:tr>
        <w:trPr>
          <w:cantSplit/>
        </w:trPr>
        <w:tc>
          <w:tcPr>
            <w:tcW w:w="1500" w:type="dxa"/>
            <w:vAlign w:val="center"/>
          </w:tcPr>
          <w:p>
            <w:pPr>
              <w:pStyle w:val="Normal"/>
              <w:spacing w:before="20" w:after="20"/>
              <w:jc w:val="left"/>
            </w:pPr>
            <w:r>
              <w:rPr>
                <w:rFonts w:cs="Times;Sylfaen" w:ascii="Times;Sylfaen" w:hAnsi="Times;Sylfaen"/>
                <w:sz w:val="20"/>
                <w:szCs w:val="20"/>
              </w:rPr>
              <w:t xml:space="preserve">Spoofing</w:t>
            </w:r>
          </w:p>
        </w:tc>
        <w:tc>
          <w:tcPr>
            <w:tcW w:w="1250" w:type="dxa"/>
            <w:vAlign w:val="center"/>
          </w:tcPr>
          <w:p>
            <w:pPr>
              <w:pStyle w:val="Normal"/>
              <w:spacing w:before="20" w:after="20"/>
              <w:jc w:val="center"/>
            </w:pPr>
            <w:r>
              <w:rPr>
                <w:rFonts w:cs="Times;Sylfaen" w:ascii="Times;Sylfaen" w:hAnsi="Times;Sylfaen"/>
                <w:sz w:val="20"/>
                <w:szCs w:val="20"/>
              </w:rPr>
              <w:t xml:space="preserve">7.007</w:t>
            </w:r>
          </w:p>
        </w:tc>
        <w:tc>
          <w:tcPr>
            <w:tcW w:w="1050" w:type="dxa"/>
            <w:vAlign w:val="center"/>
          </w:tcPr>
          <w:p>
            <w:pPr>
              <w:pStyle w:val="Normal"/>
              <w:spacing w:before="20" w:after="20"/>
              <w:jc w:val="center"/>
            </w:pPr>
            <w:r>
              <w:rPr>
                <w:rFonts w:cs="Times;Sylfaen" w:ascii="Times;Sylfaen" w:hAnsi="Times;Sylfaen"/>
                <w:sz w:val="20"/>
                <w:szCs w:val="20"/>
              </w:rPr>
              <w:t xml:space="preserve">99,9%</w:t>
            </w:r>
          </w:p>
        </w:tc>
        <w:tc>
          <w:tcPr>
            <w:tcW w:w="1000" w:type="dxa"/>
            <w:vAlign w:val="center"/>
          </w:tcPr>
          <w:p>
            <w:pPr>
              <w:pStyle w:val="Normal"/>
              <w:spacing w:before="20" w:after="20"/>
              <w:jc w:val="center"/>
            </w:pPr>
            <w:r>
              <w:rPr>
                <w:rFonts w:cs="Times;Sylfaen" w:ascii="Times;Sylfaen" w:hAnsi="Times;Sylfaen"/>
                <w:sz w:val="20"/>
                <w:szCs w:val="20"/>
              </w:rPr>
              <w:t xml:space="preserve">79,9%</w:t>
            </w:r>
          </w:p>
        </w:tc>
        <w:tc>
          <w:tcPr>
            <w:tcW w:w="950" w:type="dxa"/>
            <w:vAlign w:val="center"/>
          </w:tcPr>
          <w:p>
            <w:pPr>
              <w:pStyle w:val="Normal"/>
              <w:spacing w:before="20" w:after="20"/>
              <w:jc w:val="center"/>
            </w:pPr>
            <w:r>
              <w:rPr>
                <w:rFonts w:cs="Times;Sylfaen" w:ascii="Times;Sylfaen" w:hAnsi="Times;Sylfaen"/>
                <w:sz w:val="20"/>
                <w:szCs w:val="20"/>
              </w:rPr>
              <w:t xml:space="preserve">88,8%</w:t>
            </w:r>
          </w:p>
        </w:tc>
        <w:tc>
          <w:tcPr>
            <w:tcW w:w="3604" w:type="dxa"/>
            <w:vAlign w:val="center"/>
          </w:tcPr>
          <w:p>
            <w:pPr>
              <w:pStyle w:val="Normal"/>
              <w:spacing w:before="20" w:after="20"/>
              <w:jc w:val="center"/>
            </w:pPr>
            <w:r>
              <w:rPr>
                <w:rFonts w:cs="Times;Sylfaen" w:ascii="Times;Sylfaen" w:hAnsi="Times;Sylfaen"/>
                <w:sz w:val="20"/>
                <w:szCs w:val="20"/>
              </w:rPr>
              <w:t xml:space="preserve">63,0%</w:t>
            </w:r>
          </w:p>
        </w:tc>
      </w:tr>
      <w:tr>
        <w:trPr>
          <w:cantSplit/>
        </w:trPr>
        <w:tc>
          <w:tcPr>
            <w:tcW w:w="1500" w:type="dxa"/>
            <w:vAlign w:val="center"/>
          </w:tcPr>
          <w:p>
            <w:pPr>
              <w:pStyle w:val="Normal"/>
              <w:spacing w:before="20" w:after="20"/>
              <w:jc w:val="left"/>
            </w:pPr>
            <w:r>
              <w:rPr>
                <w:rFonts w:cs="Times;Sylfaen" w:ascii="Times;Sylfaen" w:hAnsi="Times;Sylfaen"/>
                <w:sz w:val="20"/>
                <w:szCs w:val="20"/>
              </w:rPr>
              <w:t xml:space="preserve">Web</w:t>
            </w:r>
          </w:p>
        </w:tc>
        <w:tc>
          <w:tcPr>
            <w:tcW w:w="1250" w:type="dxa"/>
            <w:vAlign w:val="center"/>
          </w:tcPr>
          <w:p>
            <w:pPr>
              <w:pStyle w:val="Normal"/>
              <w:spacing w:before="20" w:after="20"/>
              <w:jc w:val="center"/>
            </w:pPr>
            <w:r>
              <w:rPr>
                <w:rFonts w:cs="Times;Sylfaen" w:ascii="Times;Sylfaen" w:hAnsi="Times;Sylfaen"/>
                <w:sz w:val="20"/>
                <w:szCs w:val="20"/>
              </w:rPr>
              <w:t xml:space="preserve">465</w:t>
            </w:r>
          </w:p>
        </w:tc>
        <w:tc>
          <w:tcPr>
            <w:tcW w:w="1050" w:type="dxa"/>
            <w:vAlign w:val="center"/>
          </w:tcPr>
          <w:p>
            <w:pPr>
              <w:pStyle w:val="Normal"/>
              <w:spacing w:before="20" w:after="20"/>
              <w:jc w:val="center"/>
            </w:pPr>
            <w:r>
              <w:rPr>
                <w:rFonts w:cs="Times;Sylfaen" w:ascii="Times;Sylfaen" w:hAnsi="Times;Sylfaen"/>
                <w:sz w:val="20"/>
                <w:szCs w:val="20"/>
              </w:rPr>
              <w:t xml:space="preserve">67,4%</w:t>
            </w:r>
          </w:p>
        </w:tc>
        <w:tc>
          <w:tcPr>
            <w:tcW w:w="1000" w:type="dxa"/>
            <w:vAlign w:val="center"/>
          </w:tcPr>
          <w:p>
            <w:pPr>
              <w:pStyle w:val="Normal"/>
              <w:spacing w:before="20" w:after="20"/>
              <w:jc w:val="center"/>
            </w:pPr>
            <w:r>
              <w:rPr>
                <w:rFonts w:cs="Times;Sylfaen" w:ascii="Times;Sylfaen" w:hAnsi="Times;Sylfaen"/>
                <w:sz w:val="20"/>
                <w:szCs w:val="20"/>
              </w:rPr>
              <w:t xml:space="preserve">35,1%</w:t>
            </w:r>
          </w:p>
        </w:tc>
        <w:tc>
          <w:tcPr>
            <w:tcW w:w="950" w:type="dxa"/>
            <w:vAlign w:val="center"/>
          </w:tcPr>
          <w:p>
            <w:pPr>
              <w:pStyle w:val="Normal"/>
              <w:spacing w:before="20" w:after="20"/>
              <w:jc w:val="center"/>
            </w:pPr>
            <w:r>
              <w:rPr>
                <w:rFonts w:cs="Times;Sylfaen" w:ascii="Times;Sylfaen" w:hAnsi="Times;Sylfaen"/>
                <w:sz w:val="20"/>
                <w:szCs w:val="20"/>
              </w:rPr>
              <w:t xml:space="preserve">46,2%</w:t>
            </w:r>
          </w:p>
        </w:tc>
        <w:tc>
          <w:tcPr>
            <w:tcW w:w="3604" w:type="dxa"/>
            <w:vAlign w:val="center"/>
          </w:tcPr>
          <w:p>
            <w:pPr>
              <w:pStyle w:val="Normal"/>
              <w:spacing w:before="20" w:after="20"/>
              <w:jc w:val="center"/>
            </w:pPr>
            <w:r>
              <w:rPr>
                <w:rFonts w:cs="Times;Sylfaen" w:ascii="Times;Sylfaen" w:hAnsi="Times;Sylfaen"/>
                <w:sz w:val="20"/>
                <w:szCs w:val="20"/>
              </w:rPr>
              <w:t xml:space="preserve">29,4% (51,8% vistas como algum ataque)</w:t>
            </w:r>
          </w:p>
        </w:tc>
      </w:tr>
      <w:tr>
        <w:trPr>
          <w:cantSplit/>
        </w:trPr>
        <w:tc>
          <w:tcPr>
            <w:tcW w:w="1500" w:type="dxa"/>
            <w:vAlign w:val="center"/>
          </w:tcPr>
          <w:p>
            <w:pPr>
              <w:pStyle w:val="Normal"/>
              <w:spacing w:before="20" w:after="20"/>
              <w:jc w:val="left"/>
            </w:pPr>
            <w:r>
              <w:rPr>
                <w:rFonts w:cs="Times;Sylfaen" w:ascii="Times;Sylfaen" w:hAnsi="Times;Sylfaen"/>
                <w:sz w:val="20"/>
                <w:szCs w:val="20"/>
              </w:rPr>
              <w:t xml:space="preserve">BruteForce</w:t>
            </w:r>
          </w:p>
        </w:tc>
        <w:tc>
          <w:tcPr>
            <w:tcW w:w="1250" w:type="dxa"/>
            <w:vAlign w:val="center"/>
          </w:tcPr>
          <w:p>
            <w:pPr>
              <w:pStyle w:val="Normal"/>
              <w:spacing w:before="20" w:after="20"/>
              <w:jc w:val="center"/>
            </w:pPr>
            <w:r>
              <w:rPr>
                <w:rFonts w:cs="Times;Sylfaen" w:ascii="Times;Sylfaen" w:hAnsi="Times;Sylfaen"/>
                <w:sz w:val="20"/>
                <w:szCs w:val="20"/>
              </w:rPr>
              <w:t xml:space="preserve">273</w:t>
            </w:r>
          </w:p>
        </w:tc>
        <w:tc>
          <w:tcPr>
            <w:tcW w:w="1050" w:type="dxa"/>
            <w:vAlign w:val="center"/>
          </w:tcPr>
          <w:p>
            <w:pPr>
              <w:pStyle w:val="Normal"/>
              <w:spacing w:before="20" w:after="20"/>
              <w:jc w:val="center"/>
            </w:pPr>
            <w:r>
              <w:rPr>
                <w:rFonts w:cs="Times;Sylfaen" w:ascii="Times;Sylfaen" w:hAnsi="Times;Sylfaen"/>
                <w:sz w:val="20"/>
                <w:szCs w:val="20"/>
              </w:rPr>
              <w:t xml:space="preserve">98,6%</w:t>
            </w:r>
          </w:p>
        </w:tc>
        <w:tc>
          <w:tcPr>
            <w:tcW w:w="1000" w:type="dxa"/>
            <w:vAlign w:val="center"/>
          </w:tcPr>
          <w:p>
            <w:pPr>
              <w:pStyle w:val="Normal"/>
              <w:spacing w:before="20" w:after="20"/>
              <w:jc w:val="center"/>
            </w:pPr>
            <w:r>
              <w:rPr>
                <w:rFonts w:cs="Times;Sylfaen" w:ascii="Times;Sylfaen" w:hAnsi="Times;Sylfaen"/>
                <w:sz w:val="20"/>
                <w:szCs w:val="20"/>
              </w:rPr>
              <w:t xml:space="preserve">34,4%</w:t>
            </w:r>
          </w:p>
        </w:tc>
        <w:tc>
          <w:tcPr>
            <w:tcW w:w="950" w:type="dxa"/>
            <w:vAlign w:val="center"/>
          </w:tcPr>
          <w:p>
            <w:pPr>
              <w:pStyle w:val="Normal"/>
              <w:spacing w:before="20" w:after="20"/>
              <w:jc w:val="center"/>
            </w:pPr>
            <w:r>
              <w:rPr>
                <w:rFonts w:cs="Times;Sylfaen" w:ascii="Times;Sylfaen" w:hAnsi="Times;Sylfaen"/>
                <w:sz w:val="20"/>
                <w:szCs w:val="20"/>
              </w:rPr>
              <w:t xml:space="preserve">51,0%</w:t>
            </w:r>
          </w:p>
        </w:tc>
        <w:tc>
          <w:tcPr>
            <w:tcW w:w="3604" w:type="dxa"/>
            <w:vAlign w:val="center"/>
          </w:tcPr>
          <w:p>
            <w:pPr>
              <w:pStyle w:val="Normal"/>
              <w:spacing w:before="20" w:after="20"/>
              <w:jc w:val="center"/>
            </w:pPr>
            <w:r>
              <w:rPr>
                <w:rFonts w:cs="Times;Sylfaen" w:ascii="Times;Sylfaen" w:hAnsi="Times;Sylfaen"/>
                <w:sz w:val="20"/>
                <w:szCs w:val="20"/>
              </w:rPr>
              <w:t xml:space="preserve">0,0% (um pcap só; 56,9% vistas como algum ataque)</w:t>
            </w:r>
          </w:p>
        </w:tc>
      </w:tr>
      <w:tr>
        <w:trPr>
          <w:cantSplit/>
        </w:trPr>
        <w:tc>
          <w:tcPr>
            <w:tcW w:w="1500" w:type="dxa"/>
            <w:vAlign w:val="center"/>
          </w:tcPr>
          <w:p>
            <w:pPr>
              <w:pStyle w:val="Normal"/>
              <w:spacing w:before="20" w:after="20"/>
              <w:jc w:val="left"/>
            </w:pPr>
            <w:r>
              <w:rPr>
                <w:rFonts w:cs="Times;Sylfaen" w:ascii="Times;Sylfaen" w:hAnsi="Times;Sylfaen"/>
                <w:sz w:val="20"/>
                <w:szCs w:val="20"/>
              </w:rPr>
              <w:t xml:space="preserve">Benign</w:t>
            </w:r>
          </w:p>
        </w:tc>
        <w:tc>
          <w:tcPr>
            <w:tcW w:w="1250" w:type="dxa"/>
            <w:vAlign w:val="center"/>
          </w:tcPr>
          <w:p>
            <w:pPr>
              <w:pStyle w:val="Normal"/>
              <w:spacing w:before="20" w:after="20"/>
              <w:jc w:val="center"/>
            </w:pPr>
            <w:r>
              <w:rPr>
                <w:rFonts w:cs="Times;Sylfaen" w:ascii="Times;Sylfaen" w:hAnsi="Times;Sylfaen"/>
                <w:sz w:val="20"/>
                <w:szCs w:val="20"/>
              </w:rPr>
              <w:t xml:space="preserve">16.008</w:t>
            </w:r>
          </w:p>
        </w:tc>
        <w:tc>
          <w:tcPr>
            <w:tcW w:w="1050" w:type="dxa"/>
            <w:vAlign w:val="center"/>
          </w:tcPr>
          <w:p>
            <w:pPr>
              <w:pStyle w:val="Normal"/>
              <w:spacing w:before="20" w:after="20"/>
              <w:jc w:val="center"/>
            </w:pPr>
            <w:r>
              <w:rPr>
                <w:rFonts w:cs="Times;Sylfaen" w:ascii="Times;Sylfaen" w:hAnsi="Times;Sylfaen"/>
                <w:sz w:val="20"/>
                <w:szCs w:val="20"/>
              </w:rPr>
              <w:t xml:space="preserve">63,3%</w:t>
            </w:r>
          </w:p>
        </w:tc>
        <w:tc>
          <w:tcPr>
            <w:tcW w:w="1000" w:type="dxa"/>
            <w:vAlign w:val="center"/>
          </w:tcPr>
          <w:p>
            <w:pPr>
              <w:pStyle w:val="Normal"/>
              <w:spacing w:before="20" w:after="20"/>
              <w:jc w:val="center"/>
            </w:pPr>
            <w:r>
              <w:rPr>
                <w:rFonts w:cs="Times;Sylfaen" w:ascii="Times;Sylfaen" w:hAnsi="Times;Sylfaen"/>
                <w:sz w:val="20"/>
                <w:szCs w:val="20"/>
              </w:rPr>
              <w:t xml:space="preserve">99,1%</w:t>
            </w:r>
          </w:p>
        </w:tc>
        <w:tc>
          <w:tcPr>
            <w:tcW w:w="950" w:type="dxa"/>
            <w:vAlign w:val="center"/>
          </w:tcPr>
          <w:p>
            <w:pPr>
              <w:pStyle w:val="Normal"/>
              <w:spacing w:before="20" w:after="20"/>
              <w:jc w:val="center"/>
            </w:pPr>
            <w:r>
              <w:rPr>
                <w:rFonts w:cs="Times;Sylfaen" w:ascii="Times;Sylfaen" w:hAnsi="Times;Sylfaen"/>
                <w:sz w:val="20"/>
                <w:szCs w:val="20"/>
              </w:rPr>
              <w:t xml:space="preserve">77,3%</w:t>
            </w:r>
          </w:p>
        </w:tc>
        <w:tc>
          <w:tcPr>
            <w:tcW w:w="3604" w:type="dxa"/>
            <w:vAlign w:val="center"/>
          </w:tcPr>
          <w:p>
            <w:pPr>
              <w:pStyle w:val="Normal"/>
              <w:spacing w:before="20" w:after="20"/>
              <w:jc w:val="center"/>
            </w:pPr>
            <w:r>
              <w:rPr>
                <w:rFonts w:cs="Times;Sylfaen" w:ascii="Times;Sylfaen" w:hAnsi="Times;Sylfaen"/>
                <w:sz w:val="20"/>
                <w:szCs w:val="20"/>
              </w:rPr>
              <w:t xml:space="preserve">Tabela 2</w:t>
            </w:r>
          </w:p>
        </w:tc>
      </w:tr>
    </w:tbl>
    <w:p>
      <w:pPr>
        <w:pStyle w:val="Normal"/>
        <w:keepNext w:val="true"/>
        <w:spacing w:before="240" w:after="120"/>
        <w:jc w:val="both"/>
      </w:pPr>
      <w:r>
        <w:rPr>
          <w:rFonts w:cs="Times;Sylfaen" w:ascii="Times;Sylfaen" w:hAnsi="Times;Sylfaen"/>
          <w:b/>
          <w:bCs/>
          <w:sz w:val="20"/>
          <w:szCs w:val="20"/>
        </w:rPr>
        <w:t xml:space="preserve">Tabela 2.</w:t>
      </w:r>
      <w:r>
        <w:rPr>
          <w:rFonts w:cs="Times;Sylfaen" w:ascii="Times;Sylfaen" w:hAnsi="Times;Sylfaen"/>
          <w:sz w:val="20"/>
          <w:szCs w:val="20"/>
        </w:rPr>
        <w:t xml:space="preserve"> Benigno classificado como ataque com cada pcap benigno fora do treino, um por vez, no ponto de operação escolhido na validação de cada rotação, na média das sementes 42, 1 e 2, e os alarmes com 3 janelas seguidas. A hora é a soma da duração das janelas do pcap.</w:t>
      </w:r>
    </w:p>
    <w:tbl>
      <w:tblPr>
        <w:tblW w:w="9354" w:type="dxa"/>
        <w:jc w:val="center"/>
        <w:tblBorders>
          <w:top w:val="single" w:sz="8" w:space="0" w:color="000000"/>
          <w:bottom w:val="single" w:sz="8" w:space="0" w:color="000000"/>
        </w:tblBorders>
        <w:tblLayout w:type="fixed"/>
        <w:tblCellMar>
          <w:left w:w="57" w:type="dxa"/>
          <w:right w:w="57" w:type="dxa"/>
        </w:tblCellMar>
        <w:tblLook w:val="0000"/>
      </w:tblPr>
      <w:tblGrid>
        <w:gridCol w:w="1750"/>
        <w:gridCol w:w="900"/>
        <w:gridCol w:w="2150"/>
        <w:gridCol w:w="1000"/>
        <w:gridCol w:w="900"/>
        <w:gridCol w:w="1050"/>
        <w:gridCol w:w="1604"/>
      </w:tblGrid>
      <w:tr>
        <w:trPr>
          <w:cantSplit/>
          <w:tblHeader/>
        </w:trPr>
        <w:tc>
          <w:tcPr>
            <w:tcW w:w="1750" w:type="dxa"/>
            <w:tcBorders>
              <w:bottom w:val="single" w:sz="8" w:space="0" w:color="000000"/>
            </w:tcBorders>
            <w:vAlign w:val="center"/>
          </w:tcPr>
          <w:p>
            <w:pPr>
              <w:pStyle w:val="Normal"/>
              <w:spacing w:before="20" w:after="20"/>
              <w:jc w:val="left"/>
            </w:pPr>
            <w:r>
              <w:rPr>
                <w:rFonts w:cs="Times;Sylfaen" w:ascii="Times;Sylfaen" w:hAnsi="Times;Sylfaen"/>
                <w:b/>
                <w:bCs/>
                <w:sz w:val="20"/>
                <w:szCs w:val="20"/>
              </w:rPr>
              <w:t xml:space="preserve">Pcap fora do treino</w:t>
            </w:r>
          </w:p>
        </w:tc>
        <w:tc>
          <w:tcPr>
            <w:tcW w:w="900" w:type="dxa"/>
            <w:tcBorders>
              <w:bottom w:val="single" w:sz="8" w:space="0" w:color="000000"/>
            </w:tcBorders>
            <w:vAlign w:val="center"/>
          </w:tcPr>
          <w:p>
            <w:pPr>
              <w:pStyle w:val="Normal"/>
              <w:spacing w:before="20" w:after="20"/>
              <w:jc w:val="center"/>
            </w:pPr>
            <w:r>
              <w:rPr>
                <w:rFonts w:cs="Times;Sylfaen" w:ascii="Times;Sylfaen" w:hAnsi="Times;Sylfaen"/>
                <w:b/>
                <w:bCs/>
                <w:sz w:val="20"/>
                <w:szCs w:val="20"/>
              </w:rPr>
              <w:t xml:space="preserve">Janelas</w:t>
            </w:r>
          </w:p>
        </w:tc>
        <w:tc>
          <w:tcPr>
            <w:tcW w:w="2150" w:type="dxa"/>
            <w:tcBorders>
              <w:bottom w:val="single" w:sz="8" w:space="0" w:color="000000"/>
            </w:tcBorders>
            <w:vAlign w:val="center"/>
          </w:tcPr>
          <w:p>
            <w:pPr>
              <w:pStyle w:val="Normal"/>
              <w:spacing w:before="20" w:after="20"/>
              <w:jc w:val="center"/>
            </w:pPr>
            <w:r>
              <w:rPr>
                <w:rFonts w:cs="Times;Sylfaen" w:ascii="Times;Sylfaen" w:hAnsi="Times;Sylfaen"/>
                <w:b/>
                <w:bCs/>
                <w:sz w:val="20"/>
                <w:szCs w:val="20"/>
              </w:rPr>
              <w:t xml:space="preserve">Regra escolhida</w:t>
            </w:r>
          </w:p>
        </w:tc>
        <w:tc>
          <w:tcPr>
            <w:tcW w:w="1000" w:type="dxa"/>
            <w:tcBorders>
              <w:bottom w:val="single" w:sz="8" w:space="0" w:color="000000"/>
            </w:tcBorders>
            <w:vAlign w:val="center"/>
          </w:tcPr>
          <w:p>
            <w:pPr>
              <w:pStyle w:val="Normal"/>
              <w:spacing w:before="20" w:after="20"/>
              <w:jc w:val="center"/>
            </w:pPr>
            <w:r>
              <w:rPr>
                <w:rFonts w:cs="Times;Sylfaen" w:ascii="Times;Sylfaen" w:hAnsi="Times;Sylfaen"/>
                <w:b/>
                <w:bCs/>
                <w:sz w:val="20"/>
                <w:szCs w:val="20"/>
              </w:rPr>
              <w:t xml:space="preserve">Como ataque</w:t>
            </w:r>
          </w:p>
        </w:tc>
        <w:tc>
          <w:tcPr>
            <w:tcW w:w="900" w:type="dxa"/>
            <w:tcBorders>
              <w:bottom w:val="single" w:sz="8" w:space="0" w:color="000000"/>
            </w:tcBorders>
            <w:vAlign w:val="center"/>
          </w:tcPr>
          <w:p>
            <w:pPr>
              <w:pStyle w:val="Normal"/>
              <w:spacing w:before="20" w:after="20"/>
              <w:jc w:val="center"/>
            </w:pPr>
            <w:r>
              <w:rPr>
                <w:rFonts w:cs="Times;Sylfaen" w:ascii="Times;Sylfaen" w:hAnsi="Times;Sylfaen"/>
                <w:b/>
                <w:bCs/>
                <w:sz w:val="20"/>
                <w:szCs w:val="20"/>
              </w:rPr>
              <w:t xml:space="preserve">Alarmes</w:t>
            </w:r>
          </w:p>
        </w:tc>
        <w:tc>
          <w:tcPr>
            <w:tcW w:w="1050" w:type="dxa"/>
            <w:tcBorders>
              <w:bottom w:val="single" w:sz="8" w:space="0" w:color="000000"/>
            </w:tcBorders>
            <w:vAlign w:val="center"/>
          </w:tcPr>
          <w:p>
            <w:pPr>
              <w:pStyle w:val="Normal"/>
              <w:spacing w:before="20" w:after="20"/>
              <w:jc w:val="center"/>
            </w:pPr>
            <w:r>
              <w:rPr>
                <w:rFonts w:cs="Times;Sylfaen" w:ascii="Times;Sylfaen" w:hAnsi="Times;Sylfaen"/>
                <w:b/>
                <w:bCs/>
                <w:sz w:val="20"/>
                <w:szCs w:val="20"/>
              </w:rPr>
              <w:t xml:space="preserve">Alarmes por hora</w:t>
            </w:r>
          </w:p>
        </w:tc>
        <w:tc>
          <w:tcPr>
            <w:tcW w:w="1604" w:type="dxa"/>
            <w:tcBorders>
              <w:bottom w:val="single" w:sz="8" w:space="0" w:color="000000"/>
            </w:tcBorders>
            <w:vAlign w:val="center"/>
          </w:tcPr>
          <w:p>
            <w:pPr>
              <w:pStyle w:val="Normal"/>
              <w:spacing w:before="20" w:after="20"/>
              <w:jc w:val="center"/>
            </w:pPr>
            <w:r>
              <w:rPr>
                <w:rFonts w:cs="Times;Sylfaen" w:ascii="Times;Sylfaen" w:hAnsi="Times;Sylfaen"/>
                <w:b/>
                <w:bCs/>
                <w:sz w:val="20"/>
                <w:szCs w:val="20"/>
              </w:rPr>
              <w:t xml:space="preserve">Como ataque, modelo de 10/10</w:t>
            </w:r>
          </w:p>
        </w:tc>
      </w:tr>
      <w:tr>
        <w:trPr>
          <w:cantSplit/>
        </w:trPr>
        <w:tc>
          <w:tcPr>
            <w:tcW w:w="1750" w:type="dxa"/>
            <w:vAlign w:val="center"/>
          </w:tcPr>
          <w:p>
            <w:pPr>
              <w:pStyle w:val="Normal"/>
              <w:spacing w:before="20" w:after="20"/>
              <w:jc w:val="left"/>
            </w:pPr>
            <w:r>
              <w:rPr>
                <w:rFonts w:cs="Times;Sylfaen" w:ascii="Times;Sylfaen" w:hAnsi="Times;Sylfaen"/>
                <w:sz w:val="20"/>
                <w:szCs w:val="20"/>
              </w:rPr>
              <w:t xml:space="preserve">BenignTraffic2.pcap</w:t>
            </w:r>
          </w:p>
        </w:tc>
        <w:tc>
          <w:tcPr>
            <w:tcW w:w="900" w:type="dxa"/>
            <w:vAlign w:val="center"/>
          </w:tcPr>
          <w:p>
            <w:pPr>
              <w:pStyle w:val="Normal"/>
              <w:spacing w:before="20" w:after="20"/>
              <w:jc w:val="center"/>
            </w:pPr>
            <w:r>
              <w:rPr>
                <w:rFonts w:cs="Times;Sylfaen" w:ascii="Times;Sylfaen" w:hAnsi="Times;Sylfaen"/>
                <w:sz w:val="20"/>
                <w:szCs w:val="20"/>
              </w:rPr>
              <w:t xml:space="preserve">31.032</w:t>
            </w:r>
          </w:p>
        </w:tc>
        <w:tc>
          <w:tcPr>
            <w:tcW w:w="2150" w:type="dxa"/>
            <w:vAlign w:val="center"/>
          </w:tcPr>
          <w:p>
            <w:pPr>
              <w:pStyle w:val="Normal"/>
              <w:spacing w:before="20" w:after="20"/>
              <w:jc w:val="center"/>
            </w:pPr>
            <w:r>
              <w:rPr>
                <w:rFonts w:cs="Times;Sylfaen" w:ascii="Times;Sylfaen" w:hAnsi="Times;Sylfaen"/>
                <w:sz w:val="20"/>
                <w:szCs w:val="20"/>
              </w:rPr>
              <w:t xml:space="preserve">argmax</w:t>
            </w:r>
          </w:p>
        </w:tc>
        <w:tc>
          <w:tcPr>
            <w:tcW w:w="1000" w:type="dxa"/>
            <w:vAlign w:val="center"/>
          </w:tcPr>
          <w:p>
            <w:pPr>
              <w:pStyle w:val="Normal"/>
              <w:spacing w:before="20" w:after="20"/>
              <w:jc w:val="center"/>
            </w:pPr>
            <w:r>
              <w:rPr>
                <w:rFonts w:cs="Times;Sylfaen" w:ascii="Times;Sylfaen" w:hAnsi="Times;Sylfaen"/>
                <w:sz w:val="20"/>
                <w:szCs w:val="20"/>
              </w:rPr>
              <w:t xml:space="preserve">0,9%</w:t>
            </w:r>
          </w:p>
        </w:tc>
        <w:tc>
          <w:tcPr>
            <w:tcW w:w="900" w:type="dxa"/>
            <w:vAlign w:val="center"/>
          </w:tcPr>
          <w:p>
            <w:pPr>
              <w:pStyle w:val="Normal"/>
              <w:spacing w:before="20" w:after="20"/>
              <w:jc w:val="center"/>
            </w:pPr>
            <w:r>
              <w:rPr>
                <w:rFonts w:cs="Times;Sylfaen" w:ascii="Times;Sylfaen" w:hAnsi="Times;Sylfaen"/>
                <w:sz w:val="20"/>
                <w:szCs w:val="20"/>
              </w:rPr>
              <w:t xml:space="preserve">4,3</w:t>
            </w:r>
          </w:p>
        </w:tc>
        <w:tc>
          <w:tcPr>
            <w:tcW w:w="1050" w:type="dxa"/>
            <w:vAlign w:val="center"/>
          </w:tcPr>
          <w:p>
            <w:pPr>
              <w:pStyle w:val="Normal"/>
              <w:spacing w:before="20" w:after="20"/>
              <w:jc w:val="center"/>
            </w:pPr>
            <w:r>
              <w:rPr>
                <w:rFonts w:cs="Times;Sylfaen" w:ascii="Times;Sylfaen" w:hAnsi="Times;Sylfaen"/>
                <w:sz w:val="20"/>
                <w:szCs w:val="20"/>
              </w:rPr>
              <w:t xml:space="preserve">0,5</w:t>
            </w:r>
          </w:p>
        </w:tc>
        <w:tc>
          <w:tcPr>
            <w:tcW w:w="1604" w:type="dxa"/>
            <w:vAlign w:val="center"/>
          </w:tcPr>
          <w:p>
            <w:pPr>
              <w:pStyle w:val="Normal"/>
              <w:spacing w:before="20" w:after="20"/>
              <w:jc w:val="center"/>
            </w:pPr>
            <w:r>
              <w:rPr>
                <w:rFonts w:cs="Times;Sylfaen" w:ascii="Times;Sylfaen" w:hAnsi="Times;Sylfaen"/>
                <w:sz w:val="20"/>
                <w:szCs w:val="20"/>
              </w:rPr>
              <w:t xml:space="preserve">1,1%</w:t>
            </w:r>
          </w:p>
        </w:tc>
      </w:tr>
      <w:tr>
        <w:trPr>
          <w:cantSplit/>
        </w:trPr>
        <w:tc>
          <w:tcPr>
            <w:tcW w:w="1750" w:type="dxa"/>
            <w:vAlign w:val="center"/>
          </w:tcPr>
          <w:p>
            <w:pPr>
              <w:pStyle w:val="Normal"/>
              <w:spacing w:before="20" w:after="20"/>
              <w:jc w:val="left"/>
            </w:pPr>
            <w:r>
              <w:rPr>
                <w:rFonts w:cs="Times;Sylfaen" w:ascii="Times;Sylfaen" w:hAnsi="Times;Sylfaen"/>
                <w:sz w:val="20"/>
                <w:szCs w:val="20"/>
              </w:rPr>
              <w:t xml:space="preserve">BenignTraffic.pcap</w:t>
            </w:r>
          </w:p>
        </w:tc>
        <w:tc>
          <w:tcPr>
            <w:tcW w:w="900" w:type="dxa"/>
            <w:vAlign w:val="center"/>
          </w:tcPr>
          <w:p>
            <w:pPr>
              <w:pStyle w:val="Normal"/>
              <w:spacing w:before="20" w:after="20"/>
              <w:jc w:val="center"/>
            </w:pPr>
            <w:r>
              <w:rPr>
                <w:rFonts w:cs="Times;Sylfaen" w:ascii="Times;Sylfaen" w:hAnsi="Times;Sylfaen"/>
                <w:sz w:val="20"/>
                <w:szCs w:val="20"/>
              </w:rPr>
              <w:t xml:space="preserve">36.228</w:t>
            </w:r>
          </w:p>
        </w:tc>
        <w:tc>
          <w:tcPr>
            <w:tcW w:w="2150" w:type="dxa"/>
            <w:vAlign w:val="center"/>
          </w:tcPr>
          <w:p>
            <w:pPr>
              <w:pStyle w:val="Normal"/>
              <w:spacing w:before="20" w:after="20"/>
              <w:jc w:val="center"/>
            </w:pPr>
            <w:r>
              <w:rPr>
                <w:rFonts w:cs="Times;Sylfaen" w:ascii="Times;Sylfaen" w:hAnsi="Times;Sylfaen"/>
                <w:sz w:val="20"/>
                <w:szCs w:val="20"/>
              </w:rPr>
              <w:t xml:space="preserve">limiar, t de 0,52 a 0,53</w:t>
            </w:r>
          </w:p>
        </w:tc>
        <w:tc>
          <w:tcPr>
            <w:tcW w:w="1000" w:type="dxa"/>
            <w:vAlign w:val="center"/>
          </w:tcPr>
          <w:p>
            <w:pPr>
              <w:pStyle w:val="Normal"/>
              <w:spacing w:before="20" w:after="20"/>
              <w:jc w:val="center"/>
            </w:pPr>
            <w:r>
              <w:rPr>
                <w:rFonts w:cs="Times;Sylfaen" w:ascii="Times;Sylfaen" w:hAnsi="Times;Sylfaen"/>
                <w:sz w:val="20"/>
                <w:szCs w:val="20"/>
              </w:rPr>
              <w:t xml:space="preserve">6,0%</w:t>
            </w:r>
          </w:p>
        </w:tc>
        <w:tc>
          <w:tcPr>
            <w:tcW w:w="900" w:type="dxa"/>
            <w:vAlign w:val="center"/>
          </w:tcPr>
          <w:p>
            <w:pPr>
              <w:pStyle w:val="Normal"/>
              <w:spacing w:before="20" w:after="20"/>
              <w:jc w:val="center"/>
            </w:pPr>
            <w:r>
              <w:rPr>
                <w:rFonts w:cs="Times;Sylfaen" w:ascii="Times;Sylfaen" w:hAnsi="Times;Sylfaen"/>
                <w:sz w:val="20"/>
                <w:szCs w:val="20"/>
              </w:rPr>
              <w:t xml:space="preserve">124,0</w:t>
            </w:r>
          </w:p>
        </w:tc>
        <w:tc>
          <w:tcPr>
            <w:tcW w:w="1050" w:type="dxa"/>
            <w:vAlign w:val="center"/>
          </w:tcPr>
          <w:p>
            <w:pPr>
              <w:pStyle w:val="Normal"/>
              <w:spacing w:before="20" w:after="20"/>
              <w:jc w:val="center"/>
            </w:pPr>
            <w:r>
              <w:rPr>
                <w:rFonts w:cs="Times;Sylfaen" w:ascii="Times;Sylfaen" w:hAnsi="Times;Sylfaen"/>
                <w:sz w:val="20"/>
                <w:szCs w:val="20"/>
              </w:rPr>
              <w:t xml:space="preserve">13,5</w:t>
            </w:r>
          </w:p>
        </w:tc>
        <w:tc>
          <w:tcPr>
            <w:tcW w:w="1604" w:type="dxa"/>
            <w:vAlign w:val="center"/>
          </w:tcPr>
          <w:p>
            <w:pPr>
              <w:pStyle w:val="Normal"/>
              <w:spacing w:before="20" w:after="20"/>
              <w:jc w:val="center"/>
            </w:pPr>
            <w:r>
              <w:rPr>
                <w:rFonts w:cs="Times;Sylfaen" w:ascii="Times;Sylfaen" w:hAnsi="Times;Sylfaen"/>
                <w:sz w:val="20"/>
                <w:szCs w:val="20"/>
              </w:rPr>
              <w:t xml:space="preserve">36,1%</w:t>
            </w:r>
          </w:p>
        </w:tc>
      </w:tr>
      <w:tr>
        <w:trPr>
          <w:cantSplit/>
        </w:trPr>
        <w:tc>
          <w:tcPr>
            <w:tcW w:w="1750" w:type="dxa"/>
            <w:vAlign w:val="center"/>
          </w:tcPr>
          <w:p>
            <w:pPr>
              <w:pStyle w:val="Normal"/>
              <w:spacing w:before="20" w:after="20"/>
              <w:jc w:val="left"/>
            </w:pPr>
            <w:r>
              <w:rPr>
                <w:rFonts w:cs="Times;Sylfaen" w:ascii="Times;Sylfaen" w:hAnsi="Times;Sylfaen"/>
                <w:sz w:val="20"/>
                <w:szCs w:val="20"/>
              </w:rPr>
              <w:t xml:space="preserve">BenignTraffic1.pcap</w:t>
            </w:r>
          </w:p>
        </w:tc>
        <w:tc>
          <w:tcPr>
            <w:tcW w:w="900" w:type="dxa"/>
            <w:vAlign w:val="center"/>
          </w:tcPr>
          <w:p>
            <w:pPr>
              <w:pStyle w:val="Normal"/>
              <w:spacing w:before="20" w:after="20"/>
              <w:jc w:val="center"/>
            </w:pPr>
            <w:r>
              <w:rPr>
                <w:rFonts w:cs="Times;Sylfaen" w:ascii="Times;Sylfaen" w:hAnsi="Times;Sylfaen"/>
                <w:sz w:val="20"/>
                <w:szCs w:val="20"/>
              </w:rPr>
              <w:t xml:space="preserve">29.549</w:t>
            </w:r>
          </w:p>
        </w:tc>
        <w:tc>
          <w:tcPr>
            <w:tcW w:w="2150" w:type="dxa"/>
            <w:vAlign w:val="center"/>
          </w:tcPr>
          <w:p>
            <w:pPr>
              <w:pStyle w:val="Normal"/>
              <w:spacing w:before="20" w:after="20"/>
              <w:jc w:val="center"/>
            </w:pPr>
            <w:r>
              <w:rPr>
                <w:rFonts w:cs="Times;Sylfaen" w:ascii="Times;Sylfaen" w:hAnsi="Times;Sylfaen"/>
                <w:sz w:val="20"/>
                <w:szCs w:val="20"/>
              </w:rPr>
              <w:t xml:space="preserve">argmax</w:t>
            </w:r>
          </w:p>
        </w:tc>
        <w:tc>
          <w:tcPr>
            <w:tcW w:w="1000" w:type="dxa"/>
            <w:vAlign w:val="center"/>
          </w:tcPr>
          <w:p>
            <w:pPr>
              <w:pStyle w:val="Normal"/>
              <w:spacing w:before="20" w:after="20"/>
              <w:jc w:val="center"/>
            </w:pPr>
            <w:r>
              <w:rPr>
                <w:rFonts w:cs="Times;Sylfaen" w:ascii="Times;Sylfaen" w:hAnsi="Times;Sylfaen"/>
                <w:sz w:val="20"/>
                <w:szCs w:val="20"/>
              </w:rPr>
              <w:t xml:space="preserve">0,8%</w:t>
            </w:r>
          </w:p>
        </w:tc>
        <w:tc>
          <w:tcPr>
            <w:tcW w:w="900" w:type="dxa"/>
            <w:vAlign w:val="center"/>
          </w:tcPr>
          <w:p>
            <w:pPr>
              <w:pStyle w:val="Normal"/>
              <w:spacing w:before="20" w:after="20"/>
              <w:jc w:val="center"/>
            </w:pPr>
            <w:r>
              <w:rPr>
                <w:rFonts w:cs="Times;Sylfaen" w:ascii="Times;Sylfaen" w:hAnsi="Times;Sylfaen"/>
                <w:sz w:val="20"/>
                <w:szCs w:val="20"/>
              </w:rPr>
              <w:t xml:space="preserve">6,0</w:t>
            </w:r>
          </w:p>
        </w:tc>
        <w:tc>
          <w:tcPr>
            <w:tcW w:w="1050" w:type="dxa"/>
            <w:vAlign w:val="center"/>
          </w:tcPr>
          <w:p>
            <w:pPr>
              <w:pStyle w:val="Normal"/>
              <w:spacing w:before="20" w:after="20"/>
              <w:jc w:val="center"/>
            </w:pPr>
            <w:r>
              <w:rPr>
                <w:rFonts w:cs="Times;Sylfaen" w:ascii="Times;Sylfaen" w:hAnsi="Times;Sylfaen"/>
                <w:sz w:val="20"/>
                <w:szCs w:val="20"/>
              </w:rPr>
              <w:t xml:space="preserve">0,8</w:t>
            </w:r>
          </w:p>
        </w:tc>
        <w:tc>
          <w:tcPr>
            <w:tcW w:w="1604" w:type="dxa"/>
            <w:vAlign w:val="center"/>
          </w:tcPr>
          <w:p>
            <w:pPr>
              <w:pStyle w:val="Normal"/>
              <w:spacing w:before="20" w:after="20"/>
              <w:jc w:val="center"/>
            </w:pPr>
            <w:r>
              <w:rPr>
                <w:rFonts w:cs="Times;Sylfaen" w:ascii="Times;Sylfaen" w:hAnsi="Times;Sylfaen"/>
                <w:sz w:val="20"/>
                <w:szCs w:val="20"/>
              </w:rPr>
              <w:t xml:space="preserve">1,0%</w:t>
            </w:r>
          </w:p>
        </w:tc>
      </w:tr>
    </w:tbl>
    <w:p>
      <w:pPr>
        <w:pStyle w:val="Normal"/>
        <w:tabs>
          <w:tab w:val="clear" w:pos="708"/>
          <w:tab w:val="left" w:pos="720" w:leader="none"/>
        </w:tabs>
        <w:spacing w:before="120" w:after="0"/>
        <w:ind w:firstLine="708" w:end="0"/>
        <w:jc w:val="both"/>
      </w:pPr>
      <w:r>
        <w:rPr>
          <w:rFonts w:cs="Times;Sylfaen" w:ascii="Times;Sylfaen" w:hAnsi="Times;Sylfaen"/>
        </w:rPr>
        <w:t xml:space="preserve">No corte por tempo, DDoS+DoS e Mirai passam de 98% de recall e de precisão. Recon (55,0%), Web (35,1%) e BruteForce (34,4%) ficam bem abaixo. O que Recon e Web perdem vai sobretudo para Benign (Figura 3), e BruteForce perde 72 janelas para Recon e 62 para Benign, o que explica a precisão de 63,3% da categoria benigna. O macro-F1 é de 75,6% (de 75,4% a 75,7% entre as sementes), e 0,85% das janelas benignas de teste viram ataque. Com o melhor limiar (t = 0,61), que perdeu na validação, o teste teria 1,0% do benigno como ataque, e o recall de Recon e o de Spoofing cairiam 4,6 e 6,6 pontos (o intervalo de 95% da diferença não inclui zero). Com o pcap inteiro fora do treino, o recall cai em todas as categorias com mais de um pcap: Recon fica em 24,9% (0,5% no VulnerabilityScan.pcap), Spoofing em 63,0% (40,3% no DNS_Spoofing.pcap), Web em 29,4%, Mirai em 55,3% (0% no Mirai-udpplain.pcap) e DDoS+DoS em 74,2% (39,8% no DDoS-SlowLoris.pcap). BruteForce tem um pcap só: sem ele, a categoria some do treino. O alarme falso depende do pcap benigno que fica de fora, de 0,8% a 6,0% das janelas, e com 3 janelas seguidas o pior pcap dá 13,5 alarmes por hora; nessa rotação, a validação escolheu o limiar, e com o argmax seriam 5,4% das janelas. O fundo da parte de teste classificado como ataque é de 13,3%. Dos 33 pcaps de ataque com trecho de teste, 32 alarmam com a regra das 3 janelas: o Recon-PingSweep.pcap, com 18 janelas de atacante no trecho, não alarma, e o BrowserHijacking.pcap não alarma em uma das três sementes.</w:t>
      </w:r>
    </w:p>
    <w:p>
      <w:pPr>
        <w:pStyle w:val="Normal"/>
        <w:tabs>
          <w:tab w:val="clear" w:pos="708"/>
          <w:tab w:val="left" w:pos="720" w:leader="none"/>
        </w:tabs>
        <w:spacing w:before="120" w:after="0"/>
        <w:ind w:firstLine="708" w:end="0"/>
        <w:jc w:val="both"/>
      </w:pPr>
      <w:r>
        <w:rPr>
          <w:rFonts w:cs="Times;Sylfaen" w:ascii="Times;Sylfaen" w:hAnsi="Times;Sylfaen"/>
        </w:rPr>
        <w:t xml:space="preserve">Em relação ao modelo de 10/10, cada um no seu ponto de operação, o modelo do sistema troca recall por alarme falso: o recall de Recon vai de 82,1% para 55,0% e o de Spoofing, de 99,4% para 79,9%, enquanto o alarme falso no BenignTraffic.pcap fora do treino vai de 36,1% para 6,0% e o fundo classificado como ataque, de 65,9% para 13,3%.</w:t>
      </w:r>
    </w:p>
    <w:p>
      <w:pPr>
        <w:pStyle w:val="Normal"/>
        <w:tabs>
          <w:tab w:val="clear" w:pos="708"/>
          <w:tab w:val="left" w:pos="720" w:leader="none"/>
        </w:tabs>
        <w:spacing w:before="120" w:after="0"/>
        <w:ind w:firstLine="708" w:end="0"/>
        <w:jc w:val="both"/>
      </w:pPr>
      <w:r>
        <w:rPr>
          <w:rFonts w:cs="Times;Sylfaen" w:ascii="Times;Sylfaen" w:hAnsi="Times;Sylfaen"/>
          <w:highlight w:val="yellow"/>
        </w:rPr>
        <w:t xml:space="preserve">[FIGURA 3: matriz de confusão do modelo do sistema no ponto de operação, que na validação foi o argmax, na parte de teste do corte por tempo, semente 42. Legenda: cada linha soma 100% das janelas de teste da categoria real. A linha Benign vem de um único pcap fora do treino, o BenignTraffic2.pcap; com os outros dois fora do treino, o alarme falso vai a 0,8% e a 6,0% (Tabela 2). Com o pcap inteiro fora do treino, o recall é menor que o da diagonal em todas as categorias com mais de um pcap, e bem menor em Recon, Spoofing e Mirai (Tabela 1); o Spoofing depende ainda de um artefato da captura (seção 4.2).]</w:t>
      </w:r>
    </w:p>
    <w:p>
      <w:pPr>
        <w:pStyle w:val="Normal"/>
        <w:tabs>
          <w:tab w:val="clear" w:pos="708"/>
          <w:tab w:val="left" w:pos="720" w:leader="none"/>
        </w:tabs>
        <w:spacing w:before="120" w:after="0"/>
        <w:ind w:firstLine="708" w:end="0"/>
        <w:jc w:val="both"/>
      </w:pPr>
      <w:r>
        <w:rPr>
          <w:rFonts w:cs="Times;Sylfaen" w:ascii="Times;Sylfaen" w:hAnsi="Times;Sylfaen"/>
          <w:highlight w:val="yellow"/>
        </w:rPr>
        <w:t xml:space="preserve">[PENDENTE: métricas dos agentes (qualidade da recomendação, custo em tokens, tempo entre detecção e remediação) nos cenários DDoS, port scan e brute force, e comparação entre as configurações local, nuvem e híbrida.]</w:t>
      </w:r>
    </w:p>
    <w:p>
      <w:pPr>
        <w:pStyle w:val="Normal"/>
        <w:keepNext w:val="true"/>
        <w:tabs>
          <w:tab w:val="clear" w:pos="708"/>
          <w:tab w:val="left" w:pos="720" w:leader="none"/>
        </w:tabs>
        <w:spacing w:before="200" w:after="0"/>
        <w:outlineLvl w:val="1"/>
      </w:pPr>
      <w:r>
        <w:rPr>
          <w:rFonts w:cs="Times;Sylfaen" w:ascii="Times;Sylfaen" w:hAnsi="Times;Sylfaen"/>
          <w:b/>
          <w:bCs/>
          <w:sz w:val="24"/>
          <w:szCs w:val="24"/>
        </w:rPr>
        <w:t xml:space="preserve">4.2 Limitações</w:t>
      </w:r>
    </w:p>
    <w:p>
      <w:pPr>
        <w:pStyle w:val="PargrafodaLista"/>
        <w:numPr>
          <w:ilvl w:val="0"/>
          <w:numId w:val="2"/>
        </w:numPr>
        <w:spacing w:before="120" w:after="0"/>
        <w:ind w:hanging="357" w:start="1066" w:end="0"/>
        <w:contextualSpacing/>
        <w:jc w:val="both"/>
      </w:pPr>
      <w:r>
        <w:rPr>
          <w:rFonts w:cs="Times;Sylfaen" w:ascii="Times;Sylfaen" w:hAnsi="Times;Sylfaen"/>
          <w:b/>
          <w:bCs/>
        </w:rPr>
        <w:t xml:space="preserve">Atalho da janela no dataset oficial:</w:t>
      </w:r>
      <w:r>
        <w:rPr>
          <w:rFonts w:cs="Times;Sylfaen" w:ascii="Times;Sylfaen" w:hAnsi="Times;Sylfaen"/>
        </w:rPr>
        <w:t xml:space="preserve"> o modelo treinado no MERGED_CSV aprende o tamanho da janela, e não o comportamento do tráfego (seção 3.3; Figura 4). A regeração em janela única resolve isso ao custo de treinar só com os pcaps disponíveis, e os resultados valem para a janela de 100.</w:t>
      </w:r>
    </w:p>
    <w:p>
      <w:pPr>
        <w:pStyle w:val="PargrafodaLista"/>
        <w:numPr>
          <w:ilvl w:val="0"/>
          <w:numId w:val="2"/>
        </w:numPr>
        <w:spacing w:before="120" w:after="0"/>
        <w:ind w:hanging="357" w:start="1066" w:end="0"/>
        <w:contextualSpacing/>
        <w:jc w:val="both"/>
      </w:pPr>
      <w:r>
        <w:rPr>
          <w:rFonts w:cs="Times;Sylfaen" w:ascii="Times;Sylfaen" w:hAnsi="Times;Sylfaen"/>
          <w:b/>
          <w:bCs/>
        </w:rPr>
        <w:t xml:space="preserve">Tráfego de fundo no treino:</w:t>
      </w:r>
      <w:r>
        <w:rPr>
          <w:rFonts w:cs="Times;Sylfaen" w:ascii="Times;Sylfaen" w:hAnsi="Times;Sylfaen"/>
        </w:rPr>
        <w:t xml:space="preserve"> entre 3,3% e 66,9% das janelas de 100 dos pcaps de varredura, força bruta, Web e spoofing não contêm nenhum quadro do atacante (na janela de 10, entre 33% e 87%; Figura 5). O treino do sistema põe as da parte de treino como benignas, e parte delas pode conter efeito do ataque: o modelo aprende a chamar de benigno o que se parece com elas, e o recall de Recon e o de Spoofing caem (seção 4.1). O fundo da parte de teste não tem rótulo e fica fora do teste; o modelo classifica 13,3% dele como ataque, no ponto de operação, uma estimativa do alarme durante um ataque, e não um erro medido.</w:t>
      </w:r>
    </w:p>
    <w:p>
      <w:pPr>
        <w:pStyle w:val="PargrafodaLista"/>
        <w:numPr>
          <w:ilvl w:val="0"/>
          <w:numId w:val="2"/>
        </w:numPr>
        <w:spacing w:before="120" w:after="0"/>
        <w:ind w:hanging="357" w:start="1066" w:end="0"/>
        <w:contextualSpacing/>
        <w:jc w:val="both"/>
      </w:pPr>
      <w:r>
        <w:rPr>
          <w:rFonts w:cs="Times;Sylfaen" w:ascii="Times;Sylfaen" w:hAnsi="Times;Sylfaen"/>
          <w:b/>
          <w:bCs/>
        </w:rPr>
        <w:t xml:space="preserve">A regra que adotou o fundo no treino:</w:t>
      </w:r>
      <w:r>
        <w:rPr>
          <w:rFonts w:cs="Times;Sylfaen" w:ascii="Times;Sylfaen" w:hAnsi="Times;Sylfaen"/>
        </w:rPr>
        <w:t xml:space="preserve"> a condição sobre o Recon-PortScan.pcap foi atendida pela média, com queda de 3,53 pontos no trecho de teste do pcap, mas o intervalo de 95% da queda vai de 1,77 a 5,29 pontos e não exclui uma queda acima do limite de 5. No pcap inteiro, a queda é de 6,26 pontos, e por ele a condição falharia.</w:t>
      </w:r>
    </w:p>
    <w:p>
      <w:pPr>
        <w:pStyle w:val="PargrafodaLista"/>
        <w:numPr>
          <w:ilvl w:val="0"/>
          <w:numId w:val="2"/>
        </w:numPr>
        <w:spacing w:before="120" w:after="0"/>
        <w:ind w:hanging="357" w:start="1066" w:end="0"/>
        <w:contextualSpacing/>
        <w:jc w:val="both"/>
      </w:pPr>
      <w:r>
        <w:rPr>
          <w:rFonts w:cs="Times;Sylfaen" w:ascii="Times;Sylfaen" w:hAnsi="Times;Sylfaen"/>
          <w:b/>
          <w:bCs/>
        </w:rPr>
        <w:t xml:space="preserve">Web e BruteForce:</w:t>
      </w:r>
      <w:r>
        <w:rPr>
          <w:rFonts w:cs="Times;Sylfaen" w:ascii="Times;Sylfaen" w:hAnsi="Times;Sylfaen"/>
        </w:rPr>
        <w:t xml:space="preserve"> recall de 35,1% e de 34,4% no corte por tempo, no ponto de operação, confundidos com Recon e com tráfego benigno. Os intervalos são largos: no modelo de 10/10, por blocos, de 19,2% a 52,0% em BruteForce, que tem um tamanho efetivo de 15 janelas de teste. Com o fundo no treino, essas categorias são menos reconhecidas como ataque numa captura nova: com o pcap fora do treino, Web visto como algum ataque cai de 77,1% para 51,8% e BruteForce, de 76,4% para 56,9%, em relação ao modelo de 10/10 (o intervalo de 95% da diferença não inclui zero), embora o recall de Web na categoria certa não mude. Os pcaps dessas classes são curtos, e o grupo não tem captura própria.</w:t>
      </w:r>
    </w:p>
    <w:p>
      <w:pPr>
        <w:pStyle w:val="PargrafodaLista"/>
        <w:numPr>
          <w:ilvl w:val="0"/>
          <w:numId w:val="2"/>
        </w:numPr>
        <w:spacing w:before="120" w:after="0"/>
        <w:ind w:hanging="357" w:start="1066" w:end="0"/>
        <w:contextualSpacing/>
        <w:jc w:val="both"/>
      </w:pPr>
      <w:r>
        <w:rPr>
          <w:rFonts w:cs="Times;Sylfaen" w:ascii="Times;Sylfaen" w:hAnsi="Times;Sylfaen"/>
          <w:b/>
          <w:bCs/>
        </w:rPr>
        <w:t xml:space="preserve">Outra captura da mesma categoria:</w:t>
      </w:r>
      <w:r>
        <w:rPr>
          <w:rFonts w:cs="Times;Sylfaen" w:ascii="Times;Sylfaen" w:hAnsi="Times;Sylfaen"/>
        </w:rPr>
        <w:t xml:space="preserve"> com o pcap inteiro fora do treino, o recall de Recon fica em 24,9%, o de Spoofing em 63,0%, o de Mirai em 55,3% e o de Web em 29,4% (Tabela 1). Cada pcap de Recon e de Web é uma técnica diferente, e tirar o pcap tira também a técnica do treino. BruteForce tem um pcap só.</w:t>
      </w:r>
    </w:p>
    <w:p>
      <w:pPr>
        <w:pStyle w:val="PargrafodaLista"/>
        <w:numPr>
          <w:ilvl w:val="0"/>
          <w:numId w:val="2"/>
        </w:numPr>
        <w:spacing w:before="120" w:after="0"/>
        <w:ind w:hanging="357" w:start="1066" w:end="0"/>
        <w:contextualSpacing/>
        <w:jc w:val="both"/>
      </w:pPr>
      <w:r>
        <w:rPr>
          <w:rFonts w:cs="Times;Sylfaen" w:ascii="Times;Sylfaen" w:hAnsi="Times;Sylfaen"/>
          <w:b/>
          <w:bCs/>
        </w:rPr>
        <w:t xml:space="preserve">Uma rede diferente da do dataset:</w:t>
      </w:r>
      <w:r>
        <w:rPr>
          <w:rFonts w:cs="Times;Sylfaen" w:ascii="Times;Sylfaen" w:hAnsi="Times;Sylfaen"/>
        </w:rPr>
        <w:t xml:space="preserve"> o classificador foi treinado e testado só com o tráfego do laboratório do CICIoT2023, com os mesmos dispositivos, os mesmos sete atacantes e o mesmo tráfego normal; mesmo as medidas com o pcap inteiro fora do treino vêm dessa rede. O desempenho numa rede real, com outros dispositivos e outro tráfego normal, não foi medido, e o recall e o alarme falso podem ser outros. O TTL e o tamanho dos quadros, que pesam nas decisões do modelo, dependem dos dispositivos e de como o tráfego é capturado (itens abaixo).</w:t>
      </w:r>
    </w:p>
    <w:p>
      <w:pPr>
        <w:pStyle w:val="PargrafodaLista"/>
        <w:numPr>
          <w:ilvl w:val="0"/>
          <w:numId w:val="2"/>
        </w:numPr>
        <w:spacing w:before="120" w:after="0"/>
        <w:ind w:hanging="357" w:start="1066" w:end="0"/>
        <w:contextualSpacing/>
        <w:jc w:val="both"/>
      </w:pPr>
      <w:r>
        <w:rPr>
          <w:rFonts w:cs="Times;Sylfaen" w:ascii="Times;Sylfaen" w:hAnsi="Times;Sylfaen"/>
          <w:b/>
          <w:bCs/>
        </w:rPr>
        <w:t xml:space="preserve">Tráfego que não é de IoT:</w:t>
      </w:r>
      <w:r>
        <w:rPr>
          <w:rFonts w:cs="Times;Sylfaen" w:ascii="Times;Sylfaen" w:hAnsi="Times;Sylfaen"/>
        </w:rPr>
        <w:t xml:space="preserve"> o tráfego benigno do treino é só de dispositivos IoT. No teste de captura de 25/10 (seção 3.1), o tráfego normal de um notebook deu 8 das 23 janelas como Spoofing e abriu um incidente de Spoofing, com confiança de 0,54. Computadores e celulares têm outro tráfego normal, e o sistema foi pensado para vigiar a rede dos aparelhos IoT.</w:t>
      </w:r>
    </w:p>
    <w:p>
      <w:pPr>
        <w:pStyle w:val="PargrafodaLista"/>
        <w:numPr>
          <w:ilvl w:val="0"/>
          <w:numId w:val="2"/>
        </w:numPr>
        <w:spacing w:before="120" w:after="0"/>
        <w:ind w:hanging="357" w:start="1066" w:end="0"/>
        <w:contextualSpacing/>
        <w:jc w:val="both"/>
      </w:pPr>
      <w:r>
        <w:rPr>
          <w:rFonts w:cs="Times;Sylfaen" w:ascii="Times;Sylfaen" w:hAnsi="Times;Sylfaen"/>
          <w:b/>
          <w:bCs/>
        </w:rPr>
        <w:t xml:space="preserve">IPv6:</w:t>
      </w:r>
      <w:r>
        <w:rPr>
          <w:rFonts w:cs="Times;Sylfaen" w:ascii="Times;Sylfaen" w:hAnsi="Times;Sylfaen"/>
        </w:rPr>
        <w:t xml:space="preserve"> o extrator só mede quadros IPv4 e ARP, como o código dos autores, e ignora o IPv6. No mesmo teste, 2.674 dos 5.000 quadros (53%) eram IPv6. Um ataque feito só por IPv6 não é visto.</w:t>
      </w:r>
    </w:p>
    <w:p>
      <w:pPr>
        <w:pStyle w:val="PargrafodaLista"/>
        <w:numPr>
          <w:ilvl w:val="0"/>
          <w:numId w:val="2"/>
        </w:numPr>
        <w:spacing w:before="120" w:after="0"/>
        <w:ind w:hanging="357" w:start="1066" w:end="0"/>
        <w:contextualSpacing/>
        <w:jc w:val="both"/>
      </w:pPr>
      <w:r>
        <w:rPr>
          <w:rFonts w:cs="Times;Sylfaen" w:ascii="Times;Sylfaen" w:hAnsi="Times;Sylfaen"/>
          <w:b/>
          <w:bCs/>
        </w:rPr>
        <w:t xml:space="preserve">Tráfego que não cruza o gateway:</w:t>
      </w:r>
      <w:r>
        <w:rPr>
          <w:rFonts w:cs="Times;Sylfaen" w:ascii="Times;Sylfaen" w:hAnsi="Times;Sylfaen"/>
        </w:rPr>
        <w:t xml:space="preserve"> o sistema só vê o que passa pelo ponto de captura. Numa rede em que o gateway não é o ponto de acesso, nem separa a rede IoT das outras, o ataque de um aparelho contra outro da mesma rede não chega a ele. Sensores em Zigbee ou Bluetooth, fora da rede IP, também ficam de fora.</w:t>
      </w:r>
    </w:p>
    <w:p>
      <w:pPr>
        <w:pStyle w:val="PargrafodaLista"/>
        <w:numPr>
          <w:ilvl w:val="0"/>
          <w:numId w:val="2"/>
        </w:numPr>
        <w:spacing w:before="120" w:after="0"/>
        <w:ind w:hanging="357" w:start="1066" w:end="0"/>
        <w:contextualSpacing/>
        <w:jc w:val="both"/>
      </w:pPr>
      <w:r>
        <w:rPr>
          <w:rFonts w:cs="Times;Sylfaen" w:ascii="Times;Sylfaen" w:hAnsi="Times;Sylfaen"/>
          <w:b/>
          <w:bCs/>
        </w:rPr>
        <w:t xml:space="preserve">DDoS vindo da internet:</w:t>
      </w:r>
      <w:r>
        <w:rPr>
          <w:rFonts w:cs="Times;Sylfaen" w:ascii="Times;Sylfaen" w:hAnsi="Times;Sylfaen"/>
        </w:rPr>
        <w:t xml:space="preserve"> um flood volumétrico de fora lota o link da operadora antes de chegar ao gateway. Bloquear as origens no gateway não libera o link; isso pede ação do provedor.</w:t>
      </w:r>
    </w:p>
    <w:p>
      <w:pPr>
        <w:pStyle w:val="PargrafodaLista"/>
        <w:numPr>
          <w:ilvl w:val="0"/>
          <w:numId w:val="2"/>
        </w:numPr>
        <w:spacing w:before="120" w:after="0"/>
        <w:ind w:hanging="357" w:start="1066" w:end="0"/>
        <w:contextualSpacing/>
        <w:jc w:val="both"/>
      </w:pPr>
      <w:r>
        <w:rPr>
          <w:rFonts w:cs="Times;Sylfaen" w:ascii="Times;Sylfaen" w:hAnsi="Times;Sylfaen"/>
          <w:b/>
          <w:bCs/>
        </w:rPr>
        <w:t xml:space="preserve">Alarme falso conforme o pcap benigno:</w:t>
      </w:r>
      <w:r>
        <w:rPr>
          <w:rFonts w:cs="Times;Sylfaen" w:ascii="Times;Sylfaen" w:hAnsi="Times;Sylfaen"/>
        </w:rPr>
        <w:t xml:space="preserve"> com cada pcap benigno fora do treino, a fração classificada como ataque vai de 0,8% a 6,0% no ponto de operação (Tabela 2). A regra foi escolhida com no máximo 1% de alarme falso na validação, que vem dos outros dois pcaps benignos, e o pcap de fora pode passar disso, como passa o BenignTraffic.pcap.</w:t>
      </w:r>
    </w:p>
    <w:p>
      <w:pPr>
        <w:pStyle w:val="PargrafodaLista"/>
        <w:numPr>
          <w:ilvl w:val="0"/>
          <w:numId w:val="2"/>
        </w:numPr>
        <w:spacing w:before="120" w:after="0"/>
        <w:ind w:hanging="357" w:start="1066" w:end="0"/>
        <w:contextualSpacing/>
        <w:jc w:val="both"/>
      </w:pPr>
      <w:r>
        <w:rPr>
          <w:rFonts w:cs="Times;Sylfaen" w:ascii="Times;Sylfaen" w:hAnsi="Times;Sylfaen"/>
          <w:b/>
          <w:bCs/>
        </w:rPr>
        <w:t xml:space="preserve">Artefato de captura:</w:t>
      </w:r>
      <w:r>
        <w:rPr>
          <w:rFonts w:cs="Times;Sylfaen" w:ascii="Times;Sylfaen" w:hAnsi="Times;Sylfaen"/>
        </w:rPr>
        <w:t xml:space="preserve"> os pcaps não foram gravados todos do mesmo jeito. 84% das janelas de Spoofing têm quadro menor que 60 bytes, sem o preenchimento do Ethernet, e 88% das janelas benignas têm quadro maior que 1.514 bytes, que só existe com segmentação feita pela placa da máquina que capturou; numa rede real, os tamanhos seriam outros. O TTL também pesa: é a feature que mais derruba o recall do tráfego benigno quando permutada, e as janelas benignas com TTL médio até 64 viram ataque em 9,3% dos casos, contra 1,4% acima de 90. Medir o quadro como no fio foi testado e não adotado, porque piora as medidas com o pcap fora do treino sem melhorar o alarme falso (seção 3.3), e o artefato fica declarado como limitação. Os números do TTL são do modelo de 10/10.</w:t>
      </w:r>
    </w:p>
    <w:p>
      <w:pPr>
        <w:pStyle w:val="PargrafodaLista"/>
        <w:numPr>
          <w:ilvl w:val="0"/>
          <w:numId w:val="2"/>
        </w:numPr>
        <w:spacing w:before="120" w:after="0"/>
        <w:ind w:hanging="357" w:start="1066" w:end="0"/>
        <w:contextualSpacing/>
        <w:jc w:val="both"/>
      </w:pPr>
      <w:r>
        <w:rPr>
          <w:rFonts w:cs="Times;Sylfaen" w:ascii="Times;Sylfaen" w:hAnsi="Times;Sylfaen"/>
          <w:b/>
          <w:bCs/>
        </w:rPr>
        <w:t xml:space="preserve">Cenários da PoC:</w:t>
      </w:r>
      <w:r>
        <w:rPr>
          <w:rFonts w:cs="Times;Sylfaen" w:ascii="Times;Sylfaen" w:hAnsi="Times;Sylfaen"/>
        </w:rPr>
        <w:t xml:space="preserve"> DDoS, port scan e brute force. O cenário de exfiltração foi retirado com o orientador: o CICIoT2023 não tem essa classe, e os datasets de referência também não a cobrem com dados rotulados suficientes. O dataset secundário foi dispensado pelo mesmo motivo; o trabalho usa só o CICIoT2023.</w:t>
      </w:r>
    </w:p>
    <w:p>
      <w:pPr>
        <w:pStyle w:val="PargrafodaLista"/>
        <w:numPr>
          <w:ilvl w:val="0"/>
          <w:numId w:val="2"/>
        </w:numPr>
        <w:spacing w:before="120" w:after="0"/>
        <w:ind w:hanging="357" w:start="1066" w:end="0"/>
        <w:contextualSpacing/>
        <w:jc w:val="both"/>
      </w:pPr>
      <w:r>
        <w:rPr>
          <w:rFonts w:cs="Times;Sylfaen" w:ascii="Times;Sylfaen" w:hAnsi="Times;Sylfaen"/>
          <w:b/>
          <w:bCs/>
        </w:rPr>
        <w:t xml:space="preserve">Teste por arquivo inteiro:</w:t>
      </w:r>
      <w:r>
        <w:rPr>
          <w:rFonts w:cs="Times;Sylfaen" w:ascii="Times;Sylfaen" w:hAnsi="Times;Sylfaen"/>
        </w:rPr>
        <w:t xml:space="preserve"> só BenignTraffic, DDoS-SYN_Flood e DoS-SYN_Flood têm mais de um arquivo, e o último fica inteiro no teste. Os sete arquivos desses rótulos estão entre os 20 pcaps com cerca de 2.048.000.000 bytes, o tamanho em que o tcpdump -C 2048 corta o arquivo: são partes da mesma gravação, e não capturas independentes. Nas demais classes a divisão é por tempo dentro do mesmo pcap, o que tende a superestimar o resultado.</w:t>
      </w:r>
    </w:p>
    <w:p>
      <w:pPr>
        <w:pStyle w:val="PargrafodaLista"/>
        <w:numPr>
          <w:ilvl w:val="0"/>
          <w:numId w:val="2"/>
        </w:numPr>
        <w:spacing w:before="120" w:after="0"/>
        <w:ind w:hanging="357" w:start="1066" w:end="0"/>
        <w:contextualSpacing/>
        <w:jc w:val="both"/>
      </w:pPr>
      <w:r>
        <w:rPr>
          <w:rFonts w:cs="Times;Sylfaen" w:ascii="Times;Sylfaen" w:hAnsi="Times;Sylfaen"/>
          <w:b/>
          <w:bCs/>
        </w:rPr>
        <w:t xml:space="preserve">Separação entre DDoS e DoS:</w:t>
      </w:r>
      <w:r>
        <w:rPr>
          <w:rFonts w:cs="Times;Sylfaen" w:ascii="Times;Sylfaen" w:hAnsi="Times;Sylfaen"/>
        </w:rPr>
        <w:t xml:space="preserve"> por janela, as faixas de IPs de origem das duas categorias se cruzam, e a contagem inclui os IPs da vítima e do tráfego de fundo. No nível do incidente, a regra pela parcela da maior origem acerta 19 de 20 incidentes dos pcaps de DoS e 34 de 63 dos de DDoS: ela tende a dizer DoS.</w:t>
      </w:r>
    </w:p>
    <w:p>
      <w:pPr>
        <w:pStyle w:val="PargrafodaLista"/>
        <w:numPr>
          <w:ilvl w:val="0"/>
          <w:numId w:val="2"/>
        </w:numPr>
        <w:spacing w:before="120" w:after="0"/>
        <w:ind w:hanging="357" w:start="1066" w:end="0"/>
        <w:contextualSpacing/>
        <w:jc w:val="both"/>
      </w:pPr>
      <w:r>
        <w:rPr>
          <w:rFonts w:cs="Times;Sylfaen" w:ascii="Times;Sylfaen" w:hAnsi="Times;Sylfaen"/>
          <w:b/>
          <w:bCs/>
        </w:rPr>
        <w:t xml:space="preserve">Quem atacou:</w:t>
      </w:r>
      <w:r>
        <w:rPr>
          <w:rFonts w:cs="Times;Sylfaen" w:ascii="Times;Sylfaen" w:hAnsi="Times;Sylfaen"/>
        </w:rPr>
        <w:t xml:space="preserve"> o atacante do incidente é escolhido pela presença dos endereços nas janelas do incidente contra o tráfego benigno; nos pcaps de ataque, a primeira origem listada é um atacante em 119 de 231 incidentes, e nunca no spoofing, em que o quadro ARP só traz o IP anunciado, e não o do atacante. Uma origem errada é contida pela política de risco: bloquear uma origem da rede local é de risco alto e só acontece com a aprovação de uma pessoa.</w:t>
      </w:r>
    </w:p>
    <w:p>
      <w:pPr>
        <w:pStyle w:val="PargrafodaLista"/>
        <w:numPr>
          <w:ilvl w:val="0"/>
          <w:numId w:val="2"/>
        </w:numPr>
        <w:spacing w:before="120" w:after="0"/>
        <w:ind w:hanging="357" w:start="1066" w:end="0"/>
        <w:contextualSpacing/>
        <w:jc w:val="both"/>
      </w:pPr>
      <w:r>
        <w:rPr>
          <w:rFonts w:cs="Times;Sylfaen" w:ascii="Times;Sylfaen" w:hAnsi="Times;Sylfaen"/>
          <w:b/>
          <w:bCs/>
        </w:rPr>
        <w:t xml:space="preserve">O artefato de captura na implantação:</w:t>
      </w:r>
      <w:r>
        <w:rPr>
          <w:rFonts w:cs="Times;Sylfaen" w:ascii="Times;Sylfaen" w:hAnsi="Times;Sylfaen"/>
        </w:rPr>
        <w:t xml:space="preserve"> com os quadros como passam no fio, completados até 60 bytes e limitados a 1.514, o modelo do sistema dá 26 alarmes nas 8 horas do BenignTraffic2.pcap, contra 4 com os quadros como o dataset gravou. Uma implantação que capture como o fio precisaria retreinar o modelo com os quadros normalizados.</w:t>
      </w:r>
    </w:p>
    <w:p>
      <w:pPr>
        <w:pStyle w:val="PargrafodaLista"/>
        <w:numPr>
          <w:ilvl w:val="0"/>
          <w:numId w:val="2"/>
        </w:numPr>
        <w:spacing w:before="120" w:after="0"/>
        <w:ind w:hanging="357" w:start="1066" w:end="0"/>
        <w:contextualSpacing/>
        <w:jc w:val="both"/>
      </w:pPr>
      <w:r>
        <w:rPr>
          <w:rFonts w:cs="Times;Sylfaen" w:ascii="Times;Sylfaen" w:hAnsi="Times;Sylfaen"/>
          <w:b/>
          <w:bCs/>
        </w:rPr>
        <w:t xml:space="preserve">O atacante também gera tráfego comum:</w:t>
      </w:r>
      <w:r>
        <w:rPr>
          <w:rFonts w:cs="Times;Sylfaen" w:ascii="Times;Sylfaen" w:hAnsi="Times;Sylfaen"/>
        </w:rPr>
        <w:t xml:space="preserve"> 27,1% das janelas de 100 dos pcaps benignos têm ao menos um quadro de um MAC atacante, e entram no treino como benignas.</w:t>
      </w:r>
    </w:p>
    <w:p>
      <w:pPr>
        <w:pStyle w:val="PargrafodaLista"/>
        <w:numPr>
          <w:ilvl w:val="0"/>
          <w:numId w:val="2"/>
        </w:numPr>
        <w:spacing w:before="120" w:after="0"/>
        <w:ind w:hanging="357" w:start="1066" w:end="0"/>
        <w:contextualSpacing/>
        <w:jc w:val="both"/>
      </w:pPr>
      <w:r>
        <w:rPr>
          <w:rFonts w:cs="Times;Sylfaen" w:ascii="Times;Sylfaen" w:hAnsi="Times;Sylfaen"/>
          <w:b/>
          <w:bCs/>
        </w:rPr>
        <w:t xml:space="preserve">Ambiente simulado e efeito fixo:</w:t>
      </w:r>
      <w:r>
        <w:rPr>
          <w:rFonts w:cs="Times;Sylfaen" w:ascii="Times;Sylfaen" w:hAnsi="Times;Sylfaen"/>
        </w:rPr>
        <w:t xml:space="preserve"> o servidor MCP da PoC atende incidentes de pcaps reproduzidos, e não de uma captura ao vivo, e aplicar uma ação é só gravar o evento no log, sem rede em que ela aja. A verificação do efeito responde sempre que o ataque cessou. Os experimentos medem se os agentes escolhem uma ação aceitável no alvo certo e em quanto tempo ela é executada, e não se ela faria o ataque parar; o caso em que o agente de decisão propõe outra ação porque a primeira não resolveu não é exercitado. </w:t>
      </w:r>
      <w:r>
        <w:rPr>
          <w:rFonts w:cs="Times;Sylfaen" w:ascii="Times;Sylfaen" w:hAnsi="Times;Sylfaen"/>
          <w:highlight w:val="yellow"/>
        </w:rPr>
        <w:t xml:space="preserve">[Se houver tempo: o efeito de bloquear_ip medido no próprio pcap, tirando os pacotes da origem bloqueada a partir do bloqueio.]</w:t>
      </w:r>
    </w:p>
    <w:p>
      <w:pPr>
        <w:pStyle w:val="PargrafodaLista"/>
        <w:numPr>
          <w:ilvl w:val="0"/>
          <w:numId w:val="2"/>
        </w:numPr>
        <w:spacing w:before="120" w:after="0"/>
        <w:ind w:hanging="357" w:start="1066" w:end="0"/>
        <w:contextualSpacing/>
        <w:jc w:val="both"/>
      </w:pPr>
      <w:r>
        <w:rPr>
          <w:rFonts w:cs="Times;Sylfaen" w:ascii="Times;Sylfaen" w:hAnsi="Times;Sylfaen"/>
          <w:b/>
          <w:bCs/>
        </w:rPr>
        <w:t xml:space="preserve">Aprovação nos experimentos:</w:t>
      </w:r>
      <w:r>
        <w:rPr>
          <w:rFonts w:cs="Times;Sylfaen" w:ascii="Times;Sylfaen" w:hAnsi="Times;Sylfaen"/>
        </w:rPr>
        <w:t xml:space="preserve"> as ações de risco alto são aprovadas por uma regra fixa (seção 3.6), e o tempo até a remediação não inclui o de uma pessoa decidir, que numa operação real pode passar de minutos.</w:t>
      </w:r>
    </w:p>
    <w:p>
      <w:pPr>
        <w:pStyle w:val="PargrafodaLista"/>
        <w:numPr>
          <w:ilvl w:val="0"/>
          <w:numId w:val="2"/>
        </w:numPr>
        <w:spacing w:before="120" w:after="0"/>
        <w:ind w:hanging="357" w:start="1066" w:end="0"/>
        <w:contextualSpacing/>
        <w:jc w:val="both"/>
      </w:pPr>
      <w:r>
        <w:rPr>
          <w:rFonts w:cs="Times;Sylfaen" w:ascii="Times;Sylfaen" w:hAnsi="Times;Sylfaen"/>
          <w:b/>
          <w:bCs/>
        </w:rPr>
        <w:t xml:space="preserve">Teto por hora e rota de menor capacidade:</w:t>
      </w:r>
      <w:r>
        <w:rPr>
          <w:rFonts w:cs="Times;Sylfaen" w:ascii="Times;Sylfaen" w:hAnsi="Times;Sylfaen"/>
        </w:rPr>
        <w:t xml:space="preserve"> a regra por tempo dos incidentes (seção 3.5) não foi implementada nem medida, e tem uma brecha. Um atacante pode gastar a cota da nuvem com ruído, rajadas que bastam para abrir incidentes, para que o ataque real caia na rota local ou, passado o segundo teto, só na saída do classificador. O estrago é limitado porque a política de risco, a troca de endereços por rótulos e a aprovação humana estão no servidor e valem nas duas rotas: um modelo mais fraco pode recomendar pior, mas não executa ação de risco alto sem aprovação. A comparação entre as configurações (seção 4.1) mede quanto se perde na rota local.</w:t>
      </w:r>
    </w:p>
    <w:p>
      <w:pPr>
        <w:pStyle w:val="PargrafodaLista"/>
        <w:numPr>
          <w:ilvl w:val="0"/>
          <w:numId w:val="2"/>
        </w:numPr>
        <w:spacing w:before="120" w:after="0"/>
        <w:ind w:hanging="357" w:start="1066" w:end="0"/>
        <w:contextualSpacing/>
        <w:jc w:val="both"/>
      </w:pPr>
      <w:r>
        <w:rPr>
          <w:rFonts w:cs="Times;Sylfaen" w:ascii="Times;Sylfaen" w:hAnsi="Times;Sylfaen"/>
          <w:b/>
          <w:bCs/>
        </w:rPr>
        <w:t xml:space="preserve">Incidentes falsos de confiança alta:</w:t>
      </w:r>
      <w:r>
        <w:rPr>
          <w:rFonts w:cs="Times;Sylfaen" w:ascii="Times;Sylfaen" w:hAnsi="Times;Sylfaen"/>
        </w:rPr>
        <w:t xml:space="preserve"> o limiar de 0,6 da triagem não pega os incidentes falsos em que o classificador está seguro do erro. 25 dos 57 falsos da avaliação dos 38 pcaps têm confiança de 0,8 ou mais, quase todos de um pcap de ataque com a categoria errada e com milhares de janelas, e nenhum limiar de confiança os separa dos verdadeiros sem marcar boa parte dos ataques. Neles, a resposta proposta parte da categoria errada, e só a aprovação humana segura o erro, apenas nas ações de risco alto.</w:t>
      </w:r>
    </w:p>
    <w:p>
      <w:pPr>
        <w:pStyle w:val="PargrafodaLista"/>
        <w:numPr>
          <w:ilvl w:val="0"/>
          <w:numId w:val="2"/>
        </w:numPr>
        <w:spacing w:before="120" w:after="0"/>
        <w:ind w:hanging="357" w:start="1066" w:end="0"/>
        <w:contextualSpacing/>
        <w:jc w:val="both"/>
      </w:pPr>
      <w:r>
        <w:rPr>
          <w:rFonts w:cs="Times;Sylfaen" w:ascii="Times;Sylfaen" w:hAnsi="Times;Sylfaen"/>
          <w:b/>
          <w:bCs/>
        </w:rPr>
        <w:t xml:space="preserve">O que pode ficar fora do calendário</w:t>
      </w:r>
      <w:r>
        <w:rPr>
          <w:rFonts w:cs="Times;Sylfaen" w:ascii="Times;Sylfaen" w:hAnsi="Times;Sylfaen"/>
        </w:rPr>
        <w:t xml:space="preserve"> </w:t>
      </w:r>
      <w:r>
        <w:rPr>
          <w:rFonts w:cs="Times;Sylfaen" w:ascii="Times;Sylfaen" w:hAnsi="Times;Sylfaen"/>
          <w:highlight w:val="yellow"/>
        </w:rPr>
        <w:t xml:space="preserve">[CONFERIR na revisão final]</w:t>
      </w:r>
      <w:r>
        <w:rPr>
          <w:rFonts w:cs="Times;Sylfaen" w:ascii="Times;Sylfaen" w:hAnsi="Times;Sylfaen"/>
        </w:rPr>
        <w:t xml:space="preserve">: se não couberem antes da submissão, o teste de tool poisoning (seção 3.6) e a ligação dos agentes à interface ficam de fora, e a aprovação na PoC é feita pelo comando de terminal.</w:t>
      </w:r>
    </w:p>
    <w:p>
      <w:pPr>
        <w:pStyle w:val="PargrafodaLista"/>
        <w:numPr>
          <w:ilvl w:val="0"/>
          <w:numId w:val="2"/>
        </w:numPr>
        <w:spacing w:before="120" w:after="0"/>
        <w:ind w:hanging="357" w:start="1066" w:end="0"/>
        <w:contextualSpacing/>
        <w:jc w:val="both"/>
      </w:pPr>
      <w:r>
        <w:rPr>
          <w:rFonts w:cs="Times;Sylfaen" w:ascii="Times;Sylfaen" w:hAnsi="Times;Sylfaen"/>
          <w:b/>
          <w:bCs/>
        </w:rPr>
        <w:t xml:space="preserve">Modelo local:</w:t>
      </w:r>
      <w:r>
        <w:rPr>
          <w:rFonts w:cs="Times;Sylfaen" w:ascii="Times;Sylfaen" w:hAnsi="Times;Sylfaen"/>
        </w:rPr>
        <w:t xml:space="preserve"> os agentes de triagem e execução rodam num Qwen de 27 bilhões de parâmetros, mais fraco que o de fronteira; a comparação entre as configurações mede esse custo. É uma variante sem censura cujo nome exato a equipe não conhece, servida por um servidor de inferência compatível com a API da OpenAI, com hardware e quantização desconhecidos. Isso pesa na reprodutibilidade: quem repetir o trabalho com o Qwen normal, o publicado para o Ollama, deve esperar o comportamento que ele teve na comparação, em que entrou em laço em metade das triagens. Mesmo com temperatura 0 e semente fixa, o texto das respostas varia entre repetições, e cada caso dos experimentos é repetido. Um modelo desse tamanho pede placa de vídeo ou bastante memória, além do que o gateway precisa para a captura, o classificador e o servidor MCP (seção 3.5). Para o público-alvo, uma casa ou um pequeno negócio, esse hardware é caro. A saída é a configuração híbrida com um modelo local menor, de qualidade não medida neste trabalho, ou um serviço contratado que rode o modelo para vários clientes; nesse caso o dado sai da rede atendida, mas vai para quem foi contratado, e não para um provedor de IA.</w:t>
      </w:r>
    </w:p>
    <w:p>
      <w:pPr>
        <w:pStyle w:val="Normal"/>
        <w:tabs>
          <w:tab w:val="clear" w:pos="708"/>
          <w:tab w:val="left" w:pos="720" w:leader="none"/>
        </w:tabs>
        <w:spacing w:before="120" w:after="0"/>
        <w:ind w:firstLine="708" w:end="0"/>
        <w:jc w:val="both"/>
      </w:pPr>
      <w:r>
        <w:rPr>
          <w:rFonts w:cs="Times;Sylfaen" w:ascii="Times;Sylfaen" w:hAnsi="Times;Sylfaen"/>
          <w:highlight w:val="yellow"/>
        </w:rPr>
        <w:t xml:space="preserve">[FIGURA 4: teste da janela. FIGURA 5: janelas sem atacante.]</w:t>
      </w:r>
    </w:p>
    <w:p>
      <w:pPr>
        <w:pStyle w:val="Normal"/>
        <w:keepNext w:val="true"/>
        <w:tabs>
          <w:tab w:val="clear" w:pos="708"/>
          <w:tab w:val="left" w:pos="720" w:leader="none"/>
        </w:tabs>
        <w:spacing w:before="240" w:after="0"/>
        <w:outlineLvl w:val="0"/>
      </w:pPr>
      <w:r>
        <w:rPr>
          <w:rFonts w:cs="Times;Sylfaen" w:ascii="Times;Sylfaen" w:hAnsi="Times;Sylfaen"/>
          <w:b/>
          <w:bCs/>
          <w:sz w:val="28"/>
          <w:szCs w:val="28"/>
        </w:rPr>
        <w:t xml:space="preserve">5. Conclusão</w:t>
      </w:r>
    </w:p>
    <w:p>
      <w:pPr>
        <w:pStyle w:val="Normal"/>
        <w:tabs>
          <w:tab w:val="clear" w:pos="708"/>
          <w:tab w:val="left" w:pos="720" w:leader="none"/>
        </w:tabs>
        <w:spacing w:before="120" w:after="0"/>
        <w:ind w:firstLine="708" w:end="0"/>
        <w:jc w:val="both"/>
      </w:pPr>
      <w:r>
        <w:rPr>
          <w:rFonts w:cs="Times;Sylfaen" w:ascii="Times;Sylfaen" w:hAnsi="Times;Sylfaen"/>
          <w:highlight w:val="yellow"/>
        </w:rPr>
        <w:t xml:space="preserve">[PENDENTE: escrever por último: retomar problema e objetivos, responder à pergunta de pesquisa com os resultados, contribuições, limitações (seção 4.2) e trabalhos futuros, como captura ao vivo, dataset próprio e a ação de revogação de credenciais.]</w:t>
      </w:r>
    </w:p>
    <w:p>
      <w:pPr>
        <w:pStyle w:val="Normal"/>
        <w:keepNext w:val="true"/>
        <w:tabs>
          <w:tab w:val="clear" w:pos="708"/>
          <w:tab w:val="left" w:pos="720" w:leader="none"/>
        </w:tabs>
        <w:spacing w:before="240" w:after="0"/>
        <w:outlineLvl w:val="0"/>
      </w:pPr>
      <w:r>
        <w:rPr>
          <w:rFonts w:cs="Times;Sylfaen" w:ascii="Times;Sylfaen" w:hAnsi="Times;Sylfaen"/>
          <w:b/>
          <w:bCs/>
          <w:sz w:val="28"/>
          <w:szCs w:val="28"/>
        </w:rPr>
        <w:t xml:space="preserve">6. Referências bibliográficas</w:t>
      </w:r>
    </w:p>
    <w:p>
      <w:pPr>
        <w:pStyle w:val="Normal"/>
        <w:tabs>
          <w:tab w:val="clear" w:pos="708"/>
          <w:tab w:val="left" w:pos="720" w:leader="none"/>
        </w:tabs>
        <w:spacing w:before="120" w:after="0"/>
        <w:jc w:val="left"/>
      </w:pPr>
      <w:r>
        <w:rPr>
          <w:rFonts w:cs="Times;Sylfaen" w:ascii="Times;Sylfaen" w:hAnsi="Times;Sylfaen"/>
        </w:rPr>
        <w:t xml:space="preserve">CANADIAN INSTITUTE FOR CYBERSECURITY. </w:t>
      </w:r>
      <w:r>
        <w:rPr>
          <w:rFonts w:cs="Times;Sylfaen" w:ascii="Times;Sylfaen" w:hAnsi="Times;Sylfaen"/>
          <w:b/>
          <w:bCs/>
        </w:rPr>
        <w:t xml:space="preserve">CIC IoT Dataset 2023</w:t>
      </w:r>
      <w:r>
        <w:rPr>
          <w:rFonts w:cs="Times;Sylfaen" w:ascii="Times;Sylfaen" w:hAnsi="Times;Sylfaen"/>
        </w:rPr>
        <w:t xml:space="preserve">. Fredericton: University of New Brunswick, 2023. Disponível em: https://cicresearch.ca/IOTDataset/CIC_IOT_Dataset2023/. Acesso em: 11 out. 2026.</w:t>
      </w:r>
    </w:p>
    <w:p>
      <w:pPr>
        <w:pStyle w:val="Normal"/>
        <w:tabs>
          <w:tab w:val="clear" w:pos="708"/>
          <w:tab w:val="left" w:pos="720" w:leader="none"/>
        </w:tabs>
        <w:spacing w:before="120" w:after="0"/>
        <w:jc w:val="left"/>
      </w:pPr>
      <w:r>
        <w:rPr>
          <w:rFonts w:cs="Times;Sylfaen" w:ascii="Times;Sylfaen" w:hAnsi="Times;Sylfaen"/>
        </w:rPr>
        <w:t xml:space="preserve">DARKTRACE. </w:t>
      </w:r>
      <w:r>
        <w:rPr>
          <w:rFonts w:cs="Times;Sylfaen" w:ascii="Times;Sylfaen" w:hAnsi="Times;Sylfaen"/>
          <w:b/>
          <w:bCs/>
        </w:rPr>
        <w:t xml:space="preserve">Darktrace leading the future of network detection and response with recognition from KuppingerCole</w:t>
      </w:r>
      <w:r>
        <w:rPr>
          <w:rFonts w:cs="Times;Sylfaen" w:ascii="Times;Sylfaen" w:hAnsi="Times;Sylfaen"/>
        </w:rPr>
        <w:t xml:space="preserve">. 2024. Disponível em: https://www.darktrace.com/blog/darktrace-leading-the-future-of-network-detection-and-response-with-recognition-from-kuppingercole. Acesso em: 11 out. 2026. </w:t>
      </w:r>
      <w:r>
        <w:rPr>
          <w:rFonts w:cs="Times;Sylfaen" w:ascii="Times;Sylfaen" w:hAnsi="Times;Sylfaen"/>
          <w:highlight w:val="yellow"/>
        </w:rPr>
        <w:t xml:space="preserve">[CONFERIR ano]</w:t>
      </w:r>
    </w:p>
    <w:p>
      <w:pPr>
        <w:pStyle w:val="Normal"/>
        <w:tabs>
          <w:tab w:val="clear" w:pos="708"/>
          <w:tab w:val="left" w:pos="720" w:leader="none"/>
        </w:tabs>
        <w:spacing w:before="120" w:after="0"/>
        <w:jc w:val="left"/>
      </w:pPr>
      <w:r>
        <w:rPr>
          <w:rFonts w:cs="Times;Sylfaen" w:ascii="Times;Sylfaen" w:hAnsi="Times;Sylfaen"/>
        </w:rPr>
        <w:t xml:space="preserve">DOMÉNECH, J. et al. Evaluating and enhancing intrusion detection systems in IoMT: the importance of domain-specific datasets. </w:t>
      </w:r>
      <w:r>
        <w:rPr>
          <w:rFonts w:cs="Times;Sylfaen" w:ascii="Times;Sylfaen" w:hAnsi="Times;Sylfaen"/>
          <w:b/>
          <w:bCs/>
        </w:rPr>
        <w:t xml:space="preserve">Internet of Things</w:t>
      </w:r>
      <w:r>
        <w:rPr>
          <w:rFonts w:cs="Times;Sylfaen" w:ascii="Times;Sylfaen" w:hAnsi="Times;Sylfaen"/>
        </w:rPr>
        <w:t xml:space="preserve">, 2025. Disponível em: https://www.sciencedirect.com/science/article/pii/S2542660525001453. Acesso em: 11 out. 2026. </w:t>
      </w:r>
      <w:r>
        <w:rPr>
          <w:rFonts w:cs="Times;Sylfaen" w:ascii="Times;Sylfaen" w:hAnsi="Times;Sylfaen"/>
          <w:highlight w:val="yellow"/>
        </w:rPr>
        <w:t xml:space="preserve">[CONFERIR autores, volume e número do artigo]</w:t>
      </w:r>
    </w:p>
    <w:p>
      <w:pPr>
        <w:pStyle w:val="Normal"/>
        <w:tabs>
          <w:tab w:val="clear" w:pos="708"/>
          <w:tab w:val="left" w:pos="720" w:leader="none"/>
        </w:tabs>
        <w:spacing w:before="120" w:after="0"/>
        <w:jc w:val="left"/>
      </w:pPr>
      <w:r>
        <w:rPr>
          <w:rFonts w:cs="Times;Sylfaen" w:ascii="Times;Sylfaen" w:hAnsi="Times;Sylfaen"/>
        </w:rPr>
        <w:t xml:space="preserve">ENGELEN, G.; RIMMER, V.; JOOSEN, W. Troubleshooting an intrusion detection dataset: the CICIDS2017 case study. In: IEEE SECURITY AND PRIVACY WORKSHOPS (SPW), 2021, San Francisco. </w:t>
      </w:r>
      <w:r>
        <w:rPr>
          <w:rFonts w:cs="Times;Sylfaen" w:ascii="Times;Sylfaen" w:hAnsi="Times;Sylfaen"/>
          <w:b/>
          <w:bCs/>
        </w:rPr>
        <w:t xml:space="preserve">Proceedings</w:t>
      </w:r>
      <w:r>
        <w:rPr>
          <w:rFonts w:cs="Times;Sylfaen" w:ascii="Times;Sylfaen" w:hAnsi="Times;Sylfaen"/>
        </w:rPr>
        <w:t xml:space="preserve"> [...]. [S. l.]: IEEE, 2021. p. 7-12. DOI: 10.1109/SPW53761.2021.00009.</w:t>
      </w:r>
    </w:p>
    <w:p>
      <w:pPr>
        <w:pStyle w:val="Normal"/>
        <w:tabs>
          <w:tab w:val="clear" w:pos="708"/>
          <w:tab w:val="left" w:pos="720" w:leader="none"/>
        </w:tabs>
        <w:spacing w:before="120" w:after="0"/>
        <w:jc w:val="left"/>
      </w:pPr>
      <w:r>
        <w:rPr>
          <w:rFonts w:cs="Times;Sylfaen" w:ascii="Times;Sylfaen" w:hAnsi="Times;Sylfaen"/>
        </w:rPr>
        <w:t xml:space="preserve">KELLY, D.; GLAVIN, F. G.; BARRETT, E. </w:t>
      </w:r>
      <w:r>
        <w:rPr>
          <w:rFonts w:cs="Times;Sylfaen" w:ascii="Times;Sylfaen" w:hAnsi="Times;Sylfaen"/>
          <w:b/>
          <w:bCs/>
        </w:rPr>
        <w:t xml:space="preserve">Denial of Wallet</w:t>
      </w:r>
      <w:r>
        <w:rPr>
          <w:rFonts w:cs="Times;Sylfaen" w:ascii="Times;Sylfaen" w:hAnsi="Times;Sylfaen"/>
        </w:rPr>
        <w:t xml:space="preserve">: defining a looming threat to serverless computing. arXiv, 2021. Disponível em: https://arxiv.org/abs/2104.08031. Acesso em: 11 out. 2026.</w:t>
      </w:r>
    </w:p>
    <w:p>
      <w:pPr>
        <w:pStyle w:val="Normal"/>
        <w:tabs>
          <w:tab w:val="clear" w:pos="708"/>
          <w:tab w:val="left" w:pos="720" w:leader="none"/>
        </w:tabs>
        <w:spacing w:before="120" w:after="0"/>
        <w:jc w:val="left"/>
      </w:pPr>
      <w:r>
        <w:rPr>
          <w:rFonts w:cs="Times;Sylfaen" w:ascii="Times;Sylfaen" w:hAnsi="Times;Sylfaen"/>
        </w:rPr>
        <w:t xml:space="preserve">LIU, L.; ENGELEN, G.; LYNAR, T.; ESSAM, D.; JOOSEN, W. Error prevalence in NIDS datasets: a case study on CIC-IDS-2017 and CSE-CIC-IDS-2018. In: IEEE CONFERENCE ON COMMUNICATIONS AND NETWORK SECURITY (CNS), 2022, Austin. </w:t>
      </w:r>
      <w:r>
        <w:rPr>
          <w:rFonts w:cs="Times;Sylfaen" w:ascii="Times;Sylfaen" w:hAnsi="Times;Sylfaen"/>
          <w:b/>
          <w:bCs/>
        </w:rPr>
        <w:t xml:space="preserve">Proceedings</w:t>
      </w:r>
      <w:r>
        <w:rPr>
          <w:rFonts w:cs="Times;Sylfaen" w:ascii="Times;Sylfaen" w:hAnsi="Times;Sylfaen"/>
        </w:rPr>
        <w:t xml:space="preserve"> [...]. [S. l.]: IEEE, 2022. p. 254-263. DOI: 10.1109/CNS56114.2022.9947235.</w:t>
      </w:r>
    </w:p>
    <w:p>
      <w:pPr>
        <w:pStyle w:val="Normal"/>
        <w:tabs>
          <w:tab w:val="clear" w:pos="708"/>
          <w:tab w:val="left" w:pos="720" w:leader="none"/>
        </w:tabs>
        <w:spacing w:before="120" w:after="0"/>
        <w:jc w:val="left"/>
      </w:pPr>
      <w:r>
        <w:rPr>
          <w:rFonts w:cs="Times;Sylfaen" w:ascii="Times;Sylfaen" w:hAnsi="Times;Sylfaen"/>
        </w:rPr>
        <w:t xml:space="preserve">NETO, E. C. P.; DADKHAH, S.; FERREIRA, R.; ZOHOURIAN, A.; LU, R.; GHORBANI, A. A. CICIoT2023: a real-time dataset and benchmark for large-scale attacks in IoT environment. </w:t>
      </w:r>
      <w:r>
        <w:rPr>
          <w:rFonts w:cs="Times;Sylfaen" w:ascii="Times;Sylfaen" w:hAnsi="Times;Sylfaen"/>
          <w:b/>
          <w:bCs/>
        </w:rPr>
        <w:t xml:space="preserve">Sensors</w:t>
      </w:r>
      <w:r>
        <w:rPr>
          <w:rFonts w:cs="Times;Sylfaen" w:ascii="Times;Sylfaen" w:hAnsi="Times;Sylfaen"/>
        </w:rPr>
        <w:t xml:space="preserve">, v. 23, n. 13, 5941, 2023. DOI: 10.3390/s23135941.</w:t>
      </w:r>
    </w:p>
    <w:p>
      <w:pPr>
        <w:pStyle w:val="Normal"/>
        <w:tabs>
          <w:tab w:val="clear" w:pos="708"/>
          <w:tab w:val="left" w:pos="720" w:leader="none"/>
        </w:tabs>
        <w:spacing w:before="120" w:after="0"/>
        <w:jc w:val="left"/>
      </w:pPr>
      <w:r>
        <w:rPr>
          <w:rFonts w:cs="Times;Sylfaen" w:ascii="Times;Sylfaen" w:hAnsi="Times;Sylfaen"/>
        </w:rPr>
        <w:t xml:space="preserve">NETSKOPE. </w:t>
      </w:r>
      <w:r>
        <w:rPr>
          <w:rFonts w:cs="Times;Sylfaen" w:ascii="Times;Sylfaen" w:hAnsi="Times;Sylfaen"/>
          <w:b/>
          <w:bCs/>
        </w:rPr>
        <w:t xml:space="preserve">Netskope introduces SkopeAI</w:t>
      </w:r>
      <w:r>
        <w:rPr>
          <w:rFonts w:cs="Times;Sylfaen" w:ascii="Times;Sylfaen" w:hAnsi="Times;Sylfaen"/>
        </w:rPr>
        <w:t xml:space="preserve">: revolutionary AI-driven security for the future of data protection and cyber threat defense. 25 jul. 2023. Disponível em: https://www.netskope.com/fr/press-releases/netskope-introduces-skopeai-revolutionary-ai-driven-security-for-the-future-of-data-protection-and-cyber-threat-defense. Acesso em: 11 out. 2026.</w:t>
      </w:r>
    </w:p>
    <w:p>
      <w:pPr>
        <w:pStyle w:val="Normal"/>
        <w:tabs>
          <w:tab w:val="clear" w:pos="708"/>
          <w:tab w:val="left" w:pos="720" w:leader="none"/>
        </w:tabs>
        <w:spacing w:before="120" w:after="0"/>
        <w:jc w:val="left"/>
      </w:pPr>
      <w:r>
        <w:rPr>
          <w:rFonts w:cs="Times;Sylfaen" w:ascii="Times;Sylfaen" w:hAnsi="Times;Sylfaen"/>
        </w:rPr>
        <w:t xml:space="preserve">OLIVEIRA, B. S.; GREGORIN, M. Q.; ROLING, J. V.; GUIMARÃES, P. H. C. </w:t>
      </w:r>
      <w:r>
        <w:rPr>
          <w:rFonts w:cs="Times;Sylfaen" w:ascii="Times;Sylfaen" w:hAnsi="Times;Sylfaen"/>
          <w:b/>
          <w:bCs/>
        </w:rPr>
        <w:t xml:space="preserve">SentryIoT</w:t>
      </w:r>
      <w:r>
        <w:rPr>
          <w:rFonts w:cs="Times;Sylfaen" w:ascii="Times;Sylfaen" w:hAnsi="Times;Sylfaen"/>
        </w:rPr>
        <w:t xml:space="preserve">: MultiAgent NIDR. [S. l.]: GitHub, 2026. Repositório de código. Disponível em: https://github.com/stermiix/SentryIoT. Acesso em: 11 out. 2026.</w:t>
      </w:r>
    </w:p>
    <w:p>
      <w:pPr>
        <w:pStyle w:val="Normal"/>
        <w:tabs>
          <w:tab w:val="clear" w:pos="708"/>
          <w:tab w:val="left" w:pos="720" w:leader="none"/>
        </w:tabs>
        <w:spacing w:before="120" w:after="0"/>
        <w:jc w:val="left"/>
      </w:pPr>
      <w:r>
        <w:rPr>
          <w:rFonts w:cs="Times;Sylfaen" w:ascii="Times;Sylfaen" w:hAnsi="Times;Sylfaen"/>
        </w:rPr>
        <w:t xml:space="preserve">VECTRA AI. </w:t>
      </w:r>
      <w:r>
        <w:rPr>
          <w:rFonts w:cs="Times;Sylfaen" w:ascii="Times;Sylfaen" w:hAnsi="Times;Sylfaen"/>
          <w:b/>
          <w:bCs/>
        </w:rPr>
        <w:t xml:space="preserve">Vectra advances security AI to deliver Attack Signal Intelligence</w:t>
      </w:r>
      <w:r>
        <w:rPr>
          <w:rFonts w:cs="Times;Sylfaen" w:ascii="Times;Sylfaen" w:hAnsi="Times;Sylfaen"/>
        </w:rPr>
        <w:t xml:space="preserve">. Dark Reading, 12 out. 2022. Disponível em: https://www.darkreading.com/operations/vectra-advances-security-ai-to-deliver-attack-signal-intelligence-empowering-security-teams-to-investigate-and-respond-to-attacks-in-real-time. Acesso em: 11 out. 2026.</w:t>
      </w:r>
    </w:p>
    <w:p>
      <w:pPr>
        <w:pStyle w:val="Normal"/>
        <w:tabs>
          <w:tab w:val="clear" w:pos="708"/>
          <w:tab w:val="left" w:pos="720" w:leader="none"/>
        </w:tabs>
        <w:spacing w:before="120" w:after="0"/>
        <w:jc w:val="left"/>
      </w:pPr>
      <w:r>
        <w:rPr>
          <w:rFonts w:cs="Times;Sylfaen" w:ascii="Times;Sylfaen" w:hAnsi="Times;Sylfaen"/>
          <w:highlight w:val="yellow"/>
        </w:rPr>
        <w:t xml:space="preserve">[PENDENTE: acrescentar as referências do TCC I que continuarem citadas (por exemplo, FERRAG et al., 2024).]</w:t>
      </w:r>
    </w:p>
    <w:sectPr>
      <w:type w:val="continuous"/>
      <w:pgSz w:w="11906" w:h="16838"/>
      <w:pgMar w:left="1418" w:right="1134" w:gutter="0" w:header="709" w:top="1843" w:footer="0" w:bottom="124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windows-1252"/>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Helvetica">
    <w:altName w:val="Arial"/>
    <w:charset w:val="00" w:characterSet="windows-1252"/>
    <w:family w:val="swiss"/>
    <w:pitch w:val="variable"/>
  </w:font>
  <w:font w:name="Helvetica-Black">
    <w:altName w:val="Times New Roman"/>
    <w:charset w:val="00" w:characterSet="windows-1252"/>
    <w:family w:val="swiss"/>
    <w:pitch w:val="variable"/>
  </w:font>
  <w:font w:name="Arial Narrow">
    <w:charset w:val="00" w:characterSet="windows-1252"/>
    <w:family w:val="swiss"/>
    <w:pitch w:val="variable"/>
  </w:font>
  <w:font w:name="Times">
    <w:altName w:val="Times New Roman"/>
    <w:charset w:val="00" w:characterSet="windows-1252"/>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Arial" w:hAnsi="Arial" w:cs="Arial"/>
        <w:b/>
        <w:bCs/>
        <w:sz w:val="20"/>
      </w:rPr>
    </w:pPr>
    <w:r>
      <w:rPr>
        <w:rFonts w:cs="Arial" w:ascii="Arial" w:hAnsi="Arial"/>
        <w:b/>
        <w:bCs/>
        <w:sz w:val="16"/>
        <w:szCs w:val="16"/>
      </w:rPr>
      <w:drawing>
        <wp:inline distT="0" distB="0" distL="0" distR="0">
          <wp:extent cx="2527935" cy="55435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3" t="-15" r="-3" b="-15"/>
                  <a:stretch>
                    <a:fillRect/>
                  </a:stretch>
                </pic:blipFill>
                <pic:spPr bwMode="auto">
                  <a:xfrm>
                    <a:off x="0" y="0"/>
                    <a:ext cx="2527935" cy="554355"/>
                  </a:xfrm>
                  <a:prstGeom prst="rect">
                    <a:avLst/>
                  </a:prstGeom>
                </pic:spPr>
              </pic:pic>
            </a:graphicData>
          </a:graphic>
        </wp:inline>
      </w:drawing>
      <mc:AlternateContent>
        <mc:Choice Requires="wps">
          <w:drawing>
            <wp:anchor behindDoc="1" distT="0" distB="0" distL="114935" distR="114935" simplePos="0" locked="0" layoutInCell="1" allowOverlap="1" relativeHeight="11">
              <wp:simplePos x="0" y="0"/>
              <wp:positionH relativeFrom="column">
                <wp:posOffset>21590</wp:posOffset>
              </wp:positionH>
              <wp:positionV relativeFrom="paragraph">
                <wp:posOffset>563245</wp:posOffset>
              </wp:positionV>
              <wp:extent cx="5920105" cy="1270"/>
              <wp:effectExtent l="635" t="6350" r="635" b="6350"/>
              <wp:wrapNone/>
              <wp:docPr id="2" name=""/>
              <a:graphic xmlns:a="http://schemas.openxmlformats.org/drawingml/2006/main">
                <a:graphicData uri="http://schemas.microsoft.com/office/word/2010/wordprocessingShape">
                  <wps:wsp>
                    <wps:cNvCnPr/>
                    <wps:spPr>
                      <a:xfrm>
                        <a:off x="0" y="0"/>
                        <a:ext cx="5920560" cy="1440"/>
                      </a:xfrm>
                      <a:prstGeom prst="straightConnector1">
                        <a:avLst/>
                      </a:prstGeom>
                      <a:ln w="12600">
                        <a:solidFill>
                          <a:srgbClr val="ff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7pt;margin-top:44.35pt;width:466.15pt;height:0.05pt" type="_x0000_t32">
              <v:stroke color="red" weight="12600" joinstyle="miter" endcap="flat"/>
              <v:fill o:detectmouseclick="t" on="false"/>
              <w10:wrap type="none"/>
            </v:shape>
          </w:pict>
        </mc:Fallback>
      </mc:AlternateContent>
    </w:r>
  </w:p>
  <w:p>
    <w:pPr>
      <w:pStyle w:val="Header"/>
      <w:rPr>
        <w:rFonts w:ascii="Arial" w:hAnsi="Arial" w:cs="Arial"/>
        <w:b/>
        <w:bCs/>
        <w:sz w:val="20"/>
      </w:rPr>
    </w:pPr>
    <w:r>
      <w:rPr>
        <w:rFonts w:cs="Arial" w:ascii="Arial" w:hAnsi="Arial"/>
        <w:b/>
        <w:bCs/>
        <w:sz w:val="20"/>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717"/>
        </w:tabs>
        <w:ind w:start="717" w:hanging="360"/>
      </w:pPr>
      <w:rPr>
        <w:rFonts w:ascii="Wingdings" w:hAnsi="Wingdings" w:cs="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pt-BR" w:bidi="ar-SA" w:eastAsia="zh-CN"/>
    </w:rPr>
  </w:style>
  <w:style w:type="paragraph" w:styleId="Heading1">
    <w:name w:val="Heading 1"/>
    <w:basedOn w:val="Normal"/>
    <w:next w:val="Normal"/>
    <w:qFormat/>
    <w:pPr>
      <w:keepNext w:val="true"/>
      <w:numPr>
        <w:ilvl w:val="0"/>
        <w:numId w:val="1"/>
      </w:numPr>
      <w:spacing w:lineRule="auto" w:line="276" w:before="240" w:after="60"/>
      <w:outlineLvl w:val="0"/>
    </w:pPr>
    <w:rPr>
      <w:rFonts w:ascii="Cambria" w:hAnsi="Cambria" w:cs="Cambria"/>
      <w:b/>
      <w:bCs/>
      <w:kern w:val="2"/>
      <w:sz w:val="32"/>
      <w:szCs w:val="32"/>
    </w:rPr>
  </w:style>
  <w:style w:type="paragraph" w:styleId="Heading2">
    <w:name w:val="Heading 2"/>
    <w:basedOn w:val="Normal"/>
    <w:next w:val="Normal"/>
    <w:qFormat/>
    <w:pPr>
      <w:keepNext w:val="true"/>
      <w:numPr>
        <w:ilvl w:val="1"/>
        <w:numId w:val="1"/>
      </w:numPr>
      <w:jc w:val="both"/>
      <w:outlineLvl w:val="1"/>
    </w:pPr>
    <w:rPr>
      <w:rFonts w:ascii="Arial" w:hAnsi="Arial" w:cs="Arial"/>
      <w:b/>
      <w:sz w:val="28"/>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cs="Cambria"/>
      <w:b/>
      <w:bCs/>
      <w:sz w:val="26"/>
      <w:szCs w:val="26"/>
    </w:rPr>
  </w:style>
  <w:style w:type="paragraph" w:styleId="Heading5">
    <w:name w:val="Heading 5"/>
    <w:basedOn w:val="Normal"/>
    <w:next w:val="Normal"/>
    <w:qFormat/>
    <w:pPr>
      <w:numPr>
        <w:ilvl w:val="4"/>
        <w:numId w:val="1"/>
      </w:numPr>
      <w:spacing w:before="240" w:after="60"/>
      <w:outlineLvl w:val="4"/>
    </w:pPr>
    <w:rPr>
      <w:rFonts w:ascii="Calibri" w:hAnsi="Calibri" w:cs="Calibri"/>
      <w:b/>
      <w:bCs/>
      <w:i/>
      <w:iCs/>
      <w:sz w:val="26"/>
      <w:szCs w:val="26"/>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style>
  <w:style w:type="character" w:styleId="WW8Num3z0">
    <w:name w:val="WW8Num3z0"/>
    <w:qFormat/>
    <w:rPr>
      <w:b w:val="false"/>
    </w:rPr>
  </w:style>
  <w:style w:type="character" w:styleId="WW8Num4z0">
    <w:name w:val="WW8Num4z0"/>
    <w:qFormat/>
    <w:rPr/>
  </w:style>
  <w:style w:type="character" w:styleId="WW8Num6z0">
    <w:name w:val="WW8Num6z0"/>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9z0">
    <w:name w:val="WW8Num9z0"/>
    <w:qFormat/>
    <w:rPr>
      <w:b/>
      <w:i w:val="false"/>
    </w:rPr>
  </w:style>
  <w:style w:type="character" w:styleId="WW8Num11z0">
    <w:name w:val="WW8Num11z0"/>
    <w:qFormat/>
    <w:rPr/>
  </w:style>
  <w:style w:type="character" w:styleId="WW8Num11z1">
    <w:name w:val="WW8Num11z1"/>
    <w:qFormat/>
    <w:rPr>
      <w:rFonts w:cs="Arial"/>
    </w:rPr>
  </w:style>
  <w:style w:type="character" w:styleId="WW8Num12z0">
    <w:name w:val="WW8Num12z0"/>
    <w:qFormat/>
    <w:rPr>
      <w:b/>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b/>
    </w:rPr>
  </w:style>
  <w:style w:type="character" w:styleId="WW8Num15z0">
    <w:name w:val="WW8Num15z0"/>
    <w:qFormat/>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b/>
    </w:rPr>
  </w:style>
  <w:style w:type="character" w:styleId="WW8Num19z0">
    <w:name w:val="WW8Num19z0"/>
    <w:qFormat/>
    <w:rPr/>
  </w:style>
  <w:style w:type="character" w:styleId="WW8Num20z0">
    <w:name w:val="WW8Num20z0"/>
    <w:qFormat/>
    <w:rPr/>
  </w:style>
  <w:style w:type="character" w:styleId="WW8Num21z0">
    <w:name w:val="WW8Num21z0"/>
    <w:qFormat/>
    <w:rPr>
      <w:b/>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style>
  <w:style w:type="character" w:styleId="WW8Num28z0">
    <w:name w:val="WW8Num28z0"/>
    <w:qFormat/>
    <w:rPr/>
  </w:style>
  <w:style w:type="character" w:styleId="WW8Num29z0">
    <w:name w:val="WW8Num29z0"/>
    <w:qFormat/>
    <w:rPr>
      <w:rFonts w:ascii="Calibri" w:hAnsi="Calibri" w:cs="Arial"/>
    </w:rPr>
  </w:style>
  <w:style w:type="character" w:styleId="WW8Num30z0">
    <w:name w:val="WW8Num30z0"/>
    <w:qFormat/>
    <w:rPr/>
  </w:style>
  <w:style w:type="character" w:styleId="WW8Num31z0">
    <w:name w:val="WW8Num31z0"/>
    <w:qFormat/>
    <w:rPr/>
  </w:style>
  <w:style w:type="character" w:styleId="WW8Num33z0">
    <w:name w:val="WW8Num33z0"/>
    <w:qFormat/>
    <w:rPr>
      <w:b/>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Fontepargpadro">
    <w:name w:val="Fonte parág. padrão"/>
    <w:qFormat/>
    <w:rPr/>
  </w:style>
  <w:style w:type="character" w:styleId="Ttulo2Char">
    <w:name w:val="Título 2 Char"/>
    <w:qFormat/>
    <w:rPr>
      <w:rFonts w:ascii="Arial" w:hAnsi="Arial" w:cs="Arial"/>
      <w:b/>
      <w:sz w:val="28"/>
      <w:lang w:val="pt-BR"/>
    </w:rPr>
  </w:style>
  <w:style w:type="character" w:styleId="CorpodetextoChar">
    <w:name w:val="Corpo de texto Char"/>
    <w:qFormat/>
    <w:rPr>
      <w:sz w:val="24"/>
      <w:szCs w:val="24"/>
      <w:lang w:val="pt-BR"/>
    </w:rPr>
  </w:style>
  <w:style w:type="character" w:styleId="Hyperlink">
    <w:name w:val="Hyperlink"/>
    <w:rPr>
      <w:color w:val="0000FF"/>
      <w:u w:val="single"/>
    </w:rPr>
  </w:style>
  <w:style w:type="character" w:styleId="RodapChar">
    <w:name w:val="Rodapé Char"/>
    <w:qFormat/>
    <w:rPr>
      <w:sz w:val="24"/>
      <w:szCs w:val="24"/>
    </w:rPr>
  </w:style>
  <w:style w:type="character" w:styleId="TextosemFormataoChar">
    <w:name w:val="Texto sem Formatação Char"/>
    <w:qFormat/>
    <w:rPr>
      <w:rFonts w:ascii="Calibri" w:hAnsi="Calibri" w:eastAsia="Calibri" w:cs="Calibri"/>
      <w:sz w:val="22"/>
      <w:szCs w:val="21"/>
    </w:rPr>
  </w:style>
  <w:style w:type="character" w:styleId="RecuodecorpodetextoChar">
    <w:name w:val="Recuo de corpo de texto Char"/>
    <w:qFormat/>
    <w:rPr>
      <w:rFonts w:ascii="Arial" w:hAnsi="Arial" w:cs="Arial"/>
      <w:b/>
      <w:sz w:val="28"/>
    </w:rPr>
  </w:style>
  <w:style w:type="character" w:styleId="Ttulo3Char">
    <w:name w:val="Título 3 Char"/>
    <w:qFormat/>
    <w:rPr>
      <w:rFonts w:ascii="Cambria" w:hAnsi="Cambria" w:eastAsia="Times New Roman" w:cs="Times New Roman"/>
      <w:b/>
      <w:bCs/>
      <w:sz w:val="26"/>
      <w:szCs w:val="26"/>
    </w:rPr>
  </w:style>
  <w:style w:type="character" w:styleId="TtuloChar">
    <w:name w:val="Título Char"/>
    <w:qFormat/>
    <w:rPr>
      <w:rFonts w:ascii="Arial" w:hAnsi="Arial" w:cs="Arial"/>
      <w:sz w:val="28"/>
      <w:lang w:val="en-US"/>
    </w:rPr>
  </w:style>
  <w:style w:type="character" w:styleId="CabealhoChar">
    <w:name w:val="Cabeçalho Char"/>
    <w:qFormat/>
    <w:rPr>
      <w:sz w:val="24"/>
      <w:szCs w:val="24"/>
    </w:rPr>
  </w:style>
  <w:style w:type="character" w:styleId="Ttulo1Char">
    <w:name w:val="Título 1 Char"/>
    <w:qFormat/>
    <w:rPr>
      <w:rFonts w:ascii="Cambria" w:hAnsi="Cambria" w:cs="Cambria"/>
      <w:b/>
      <w:bCs/>
      <w:kern w:val="2"/>
      <w:sz w:val="32"/>
      <w:szCs w:val="32"/>
    </w:rPr>
  </w:style>
  <w:style w:type="character" w:styleId="Ttulo5Char">
    <w:name w:val="Título 5 Char"/>
    <w:qFormat/>
    <w:rPr>
      <w:rFonts w:ascii="Calibri" w:hAnsi="Calibri" w:eastAsia="Times New Roman" w:cs="Times New Roman"/>
      <w:b/>
      <w:bCs/>
      <w:i/>
      <w:iCs/>
      <w:sz w:val="26"/>
      <w:szCs w:val="26"/>
    </w:rPr>
  </w:style>
  <w:style w:type="character" w:styleId="Recuodecorpodetexto2Char">
    <w:name w:val="Recuo de corpo de texto 2 Char"/>
    <w:qFormat/>
    <w:rPr>
      <w:sz w:val="24"/>
      <w:szCs w:val="24"/>
    </w:rPr>
  </w:style>
  <w:style w:type="character" w:styleId="Strong">
    <w:name w:val="Strong"/>
    <w:qFormat/>
    <w:rPr>
      <w:b/>
      <w:bCs/>
    </w:rPr>
  </w:style>
  <w:style w:type="character" w:styleId="EditalChar">
    <w:name w:val="Edital Char"/>
    <w:qFormat/>
    <w:rPr>
      <w:rFonts w:ascii="Arial" w:hAnsi="Arial" w:cs="Arial"/>
      <w:szCs w:val="24"/>
    </w:rPr>
  </w:style>
  <w:style w:type="character" w:styleId="FollowedHyperlink">
    <w:name w:val="FollowedHyperlink"/>
    <w:rPr>
      <w:color w:val="800080"/>
      <w:u w:val="single"/>
    </w:rPr>
  </w:style>
  <w:style w:type="character" w:styleId="TextodenotaderodapChar">
    <w:name w:val="Texto de nota de rodapé Char"/>
    <w:qFormat/>
    <w:rPr>
      <w:rFonts w:ascii="Arial" w:hAnsi="Arial" w:cs="Arial"/>
    </w:rPr>
  </w:style>
  <w:style w:type="character" w:styleId="FootnoteCharacters">
    <w:name w:val="Footnote Characters"/>
    <w:qFormat/>
    <w:rPr>
      <w:vertAlign w:val="superscript"/>
    </w:rPr>
  </w:style>
  <w:style w:type="character" w:styleId="apple-converted-space">
    <w:name w:val="apple-converted-space"/>
    <w:qFormat/>
    <w:rPr/>
  </w:style>
  <w:style w:type="character" w:styleId="Refdecomentrio">
    <w:name w:val="Ref. de comentário"/>
    <w:qFormat/>
    <w:rPr>
      <w:sz w:val="16"/>
      <w:szCs w:val="16"/>
    </w:rPr>
  </w:style>
  <w:style w:type="character" w:styleId="TextodecomentrioChar">
    <w:name w:val="Texto de comentário Char"/>
    <w:basedOn w:val="Fontepargpadro"/>
    <w:qFormat/>
    <w:rPr/>
  </w:style>
  <w:style w:type="character" w:styleId="AssuntodocomentrioChar">
    <w:name w:val="Assunto do comentário Char"/>
    <w:qFormat/>
    <w:rPr>
      <w:b/>
      <w:bCs/>
    </w:rPr>
  </w:style>
  <w:style w:type="character" w:styleId="Emphasis">
    <w:name w:val="Emphasis"/>
    <w:qFormat/>
    <w:rPr>
      <w:rFonts w:cs="Times New Roman"/>
      <w:i/>
      <w:iCs/>
    </w:rPr>
  </w:style>
  <w:style w:type="character" w:styleId="TextodebaloChar">
    <w:name w:val="Texto de balão Char"/>
    <w:qFormat/>
    <w:rPr>
      <w:rFonts w:ascii="Tahoma" w:hAnsi="Tahoma" w:cs="Tahoma"/>
      <w:sz w:val="16"/>
      <w:szCs w:val="16"/>
    </w:rPr>
  </w:style>
  <w:style w:type="character" w:styleId="PageNumber">
    <w:name w:val="Page Number"/>
    <w:rPr/>
  </w:style>
  <w:style w:type="paragraph" w:styleId="Heading">
    <w:name w:val="Heading"/>
    <w:basedOn w:val="Normal"/>
    <w:next w:val="BodyText"/>
    <w:qFormat/>
    <w:pPr>
      <w:jc w:val="center"/>
    </w:pPr>
    <w:rPr>
      <w:rFonts w:ascii="Arial" w:hAnsi="Arial" w:cs="Arial"/>
      <w:sz w:val="28"/>
      <w:szCs w:val="20"/>
      <w:lang w:val="en-US"/>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Textodebalo">
    <w:name w:val="Texto de balão"/>
    <w:basedOn w:val="Normal"/>
    <w:qFormat/>
    <w:pPr/>
    <w:rPr>
      <w:rFonts w:ascii="Tahoma" w:hAnsi="Tahoma" w:cs="Tahoma"/>
      <w:sz w:val="16"/>
      <w:szCs w:val="16"/>
    </w:rPr>
  </w:style>
  <w:style w:type="paragraph" w:styleId="BodyTextIndent">
    <w:name w:val="Body Text Indent"/>
    <w:basedOn w:val="Normal"/>
    <w:pPr>
      <w:ind w:firstLine="720" w:start="0" w:end="0"/>
      <w:jc w:val="both"/>
    </w:pPr>
    <w:rPr>
      <w:rFonts w:ascii="Arial" w:hAnsi="Arial" w:cs="Arial"/>
      <w:b/>
      <w:sz w:val="28"/>
      <w:szCs w:val="20"/>
    </w:rPr>
  </w:style>
  <w:style w:type="paragraph" w:styleId="TextosemFormatao">
    <w:name w:val="Texto sem Formatação"/>
    <w:basedOn w:val="Normal"/>
    <w:qFormat/>
    <w:pPr/>
    <w:rPr>
      <w:rFonts w:ascii="Calibri" w:hAnsi="Calibri" w:eastAsia="Calibri" w:cs="Calibri"/>
      <w:sz w:val="22"/>
      <w:szCs w:val="21"/>
    </w:rPr>
  </w:style>
  <w:style w:type="paragraph" w:styleId="Recuodecorpodetexto2">
    <w:name w:val="Recuo de corpo de texto 2"/>
    <w:basedOn w:val="Normal"/>
    <w:qFormat/>
    <w:pPr>
      <w:spacing w:lineRule="auto" w:line="480" w:before="0" w:after="120"/>
      <w:ind w:hanging="0" w:start="283" w:end="0"/>
    </w:pPr>
    <w:rPr/>
  </w:style>
  <w:style w:type="paragraph" w:styleId="texto">
    <w:name w:val="texto"/>
    <w:qFormat/>
    <w:pPr>
      <w:widowControl/>
      <w:autoSpaceDE w:val="false"/>
      <w:bidi w:val="0"/>
      <w:spacing w:lineRule="atLeast" w:line="360"/>
      <w:ind w:firstLine="567" w:start="0" w:end="0"/>
      <w:jc w:val="both"/>
    </w:pPr>
    <w:rPr>
      <w:rFonts w:ascii="Helvetica" w:hAnsi="Helvetica" w:eastAsia="Times New Roman" w:cs="Helvetica"/>
      <w:color w:val="000000"/>
      <w:sz w:val="18"/>
      <w:szCs w:val="18"/>
      <w:lang w:val="pt-BR" w:bidi="ar-SA" w:eastAsia="zh-CN"/>
    </w:rPr>
  </w:style>
  <w:style w:type="paragraph" w:styleId="Facuttulo">
    <w:name w:val="Facu_título"/>
    <w:basedOn w:val="Normal"/>
    <w:qFormat/>
    <w:pPr>
      <w:autoSpaceDE w:val="false"/>
      <w:spacing w:before="240" w:after="60"/>
      <w:jc w:val="both"/>
    </w:pPr>
    <w:rPr>
      <w:rFonts w:ascii="Helvetica-Black;Times New Roman" w:hAnsi="Helvetica-Black;Times New Roman" w:cs="Helvetica-Black;Times New Roman"/>
      <w:caps/>
      <w:color w:val="FF0000"/>
      <w:sz w:val="20"/>
      <w:szCs w:val="20"/>
    </w:rPr>
  </w:style>
  <w:style w:type="paragraph" w:styleId="Faculdade1">
    <w:name w:val="Faculdade 1"/>
    <w:basedOn w:val="Normal"/>
    <w:qFormat/>
    <w:pPr>
      <w:pageBreakBefore/>
      <w:autoSpaceDE w:val="false"/>
      <w:spacing w:before="0" w:after="240"/>
    </w:pPr>
    <w:rPr>
      <w:rFonts w:ascii="Helvetica" w:hAnsi="Helvetica" w:cs="Helvetica"/>
      <w:b/>
      <w:color w:val="FF0000"/>
      <w:sz w:val="28"/>
      <w:szCs w:val="28"/>
    </w:rPr>
  </w:style>
  <w:style w:type="paragraph" w:styleId="Faculdade2">
    <w:name w:val="Faculdade 2"/>
    <w:basedOn w:val="Facuttulo"/>
    <w:qFormat/>
    <w:pPr>
      <w:spacing w:before="240" w:after="120"/>
    </w:pPr>
    <w:rPr>
      <w:sz w:val="22"/>
      <w:szCs w:val="22"/>
    </w:rPr>
  </w:style>
  <w:style w:type="paragraph" w:styleId="Cronograma">
    <w:name w:val="Cronograma"/>
    <w:basedOn w:val="Normal"/>
    <w:qFormat/>
    <w:pPr>
      <w:spacing w:lineRule="atLeast" w:line="260" w:before="60" w:after="0"/>
      <w:jc w:val="both"/>
    </w:pPr>
    <w:rPr>
      <w:rFonts w:ascii="Helvetica" w:hAnsi="Helvetica" w:cs="Helvetica"/>
      <w:sz w:val="18"/>
      <w:szCs w:val="18"/>
    </w:rPr>
  </w:style>
  <w:style w:type="paragraph" w:styleId="Edital">
    <w:name w:val="Edital"/>
    <w:qFormat/>
    <w:pPr>
      <w:widowControl/>
      <w:bidi w:val="0"/>
      <w:spacing w:before="0" w:after="120"/>
      <w:jc w:val="both"/>
    </w:pPr>
    <w:rPr>
      <w:rFonts w:ascii="Arial" w:hAnsi="Arial" w:eastAsia="Times New Roman" w:cs="Arial"/>
      <w:color w:val="auto"/>
      <w:sz w:val="20"/>
      <w:szCs w:val="24"/>
      <w:lang w:val="pt-BR" w:bidi="ar-SA" w:eastAsia="zh-CN"/>
    </w:rPr>
  </w:style>
  <w:style w:type="paragraph" w:styleId="Edital111">
    <w:name w:val="Edital 1.1.1"/>
    <w:basedOn w:val="Edital"/>
    <w:qFormat/>
    <w:pPr>
      <w:spacing w:before="0" w:after="60"/>
      <w:ind w:hanging="0" w:start="357" w:end="0"/>
    </w:pPr>
    <w:rPr/>
  </w:style>
  <w:style w:type="paragraph" w:styleId="GradeMdia1-nfase21">
    <w:name w:val="Grade Média 1 - Ênfase 21"/>
    <w:basedOn w:val="Normal"/>
    <w:qFormat/>
    <w:pPr>
      <w:spacing w:before="0" w:after="0"/>
      <w:ind w:hanging="0" w:start="720" w:end="0"/>
      <w:contextualSpacing/>
    </w:pPr>
    <w:rPr/>
  </w:style>
  <w:style w:type="paragraph" w:styleId="FootnoteText">
    <w:name w:val="Footnote Text"/>
    <w:basedOn w:val="Normal"/>
    <w:pPr>
      <w:spacing w:before="120" w:after="120"/>
      <w:jc w:val="both"/>
    </w:pPr>
    <w:rPr>
      <w:rFonts w:ascii="Arial" w:hAnsi="Arial" w:cs="Arial"/>
      <w:sz w:val="20"/>
      <w:szCs w:val="20"/>
    </w:rPr>
  </w:style>
  <w:style w:type="paragraph" w:styleId="Legenda">
    <w:name w:val="Legenda"/>
    <w:basedOn w:val="Normal"/>
    <w:next w:val="Normal"/>
    <w:qFormat/>
    <w:pPr>
      <w:spacing w:before="120" w:after="120"/>
      <w:jc w:val="both"/>
    </w:pPr>
    <w:rPr>
      <w:rFonts w:ascii="Arial" w:hAnsi="Arial" w:cs="Arial"/>
      <w:b/>
      <w:bCs/>
      <w:sz w:val="20"/>
      <w:szCs w:val="20"/>
    </w:rPr>
  </w:style>
  <w:style w:type="paragraph" w:styleId="SombreamentoMdio1-nfase11">
    <w:name w:val="Sombreamento Médio 1 - Ênfase 11"/>
    <w:qFormat/>
    <w:pPr>
      <w:widowControl/>
      <w:bidi w:val="0"/>
      <w:jc w:val="both"/>
    </w:pPr>
    <w:rPr>
      <w:rFonts w:ascii="Arial" w:hAnsi="Arial" w:eastAsia="Times New Roman" w:cs="Arial"/>
      <w:color w:val="auto"/>
      <w:sz w:val="24"/>
      <w:szCs w:val="28"/>
      <w:lang w:val="pt-BR" w:bidi="ar-SA" w:eastAsia="zh-CN"/>
    </w:rPr>
  </w:style>
  <w:style w:type="paragraph" w:styleId="ListaColorida-nfase11">
    <w:name w:val="Lista Colorida - Ênfase 11"/>
    <w:basedOn w:val="Normal"/>
    <w:qFormat/>
    <w:pPr>
      <w:spacing w:before="120" w:after="120"/>
      <w:ind w:hanging="0" w:start="720" w:end="0"/>
      <w:contextualSpacing/>
      <w:jc w:val="both"/>
    </w:pPr>
    <w:rPr>
      <w:rFonts w:eastAsia="Calibri"/>
    </w:rPr>
  </w:style>
  <w:style w:type="paragraph" w:styleId="GradeMdia21">
    <w:name w:val="Grade Média 21"/>
    <w:qFormat/>
    <w:pPr>
      <w:widowControl/>
      <w:bidi w:val="0"/>
      <w:jc w:val="both"/>
    </w:pPr>
    <w:rPr>
      <w:rFonts w:ascii="Arial" w:hAnsi="Arial" w:eastAsia="Times New Roman" w:cs="Arial"/>
      <w:color w:val="auto"/>
      <w:sz w:val="24"/>
      <w:szCs w:val="28"/>
      <w:lang w:val="pt-BR" w:bidi="ar-SA" w:eastAsia="zh-CN"/>
    </w:rPr>
  </w:style>
  <w:style w:type="paragraph" w:styleId="PargrafodaLista">
    <w:name w:val="Parágrafo da Lista"/>
    <w:basedOn w:val="Normal"/>
    <w:qFormat/>
    <w:pPr>
      <w:spacing w:before="0" w:after="0"/>
      <w:ind w:hanging="0" w:start="720" w:end="0"/>
      <w:contextualSpacing/>
    </w:pPr>
    <w:rPr/>
  </w:style>
  <w:style w:type="paragraph" w:styleId="Textodecomentrio">
    <w:name w:val="Texto de comentário"/>
    <w:basedOn w:val="Normal"/>
    <w:qFormat/>
    <w:pPr/>
    <w:rPr>
      <w:sz w:val="20"/>
      <w:szCs w:val="20"/>
    </w:rPr>
  </w:style>
  <w:style w:type="paragraph" w:styleId="Assuntodocomentrio">
    <w:name w:val="Assunto do comentário"/>
    <w:basedOn w:val="Textodecomentrio"/>
    <w:next w:val="Textodecomentrio"/>
    <w:qFormat/>
    <w:pPr/>
    <w:rPr>
      <w:b/>
      <w:bCs/>
    </w:rPr>
  </w:style>
  <w:style w:type="paragraph" w:styleId="SemEspaamento1">
    <w:name w:val="Sem Espaçamento1"/>
    <w:qFormat/>
    <w:pPr>
      <w:widowControl/>
      <w:bidi w:val="0"/>
    </w:pPr>
    <w:rPr>
      <w:rFonts w:ascii="Calibri" w:hAnsi="Calibri" w:eastAsia="Times New Roman" w:cs="Calibri"/>
      <w:color w:val="auto"/>
      <w:sz w:val="22"/>
      <w:szCs w:val="22"/>
      <w:lang w:val="pt-BR" w:bidi="ar-SA" w:eastAsia="zh-CN"/>
    </w:rPr>
  </w:style>
  <w:style w:type="paragraph" w:styleId="PargrafodaLista1">
    <w:name w:val="Parágrafo da Lista1"/>
    <w:basedOn w:val="Normal"/>
    <w:qFormat/>
    <w:pPr>
      <w:spacing w:before="0" w:after="120"/>
      <w:ind w:hanging="0" w:start="720" w:end="0"/>
      <w:contextualSpacing/>
    </w:pPr>
    <w:rPr>
      <w:rFonts w:ascii="Arial" w:hAnsi="Arial" w:eastAsia="Calibri" w:cs="Arial"/>
      <w:szCs w:val="20"/>
    </w:rPr>
  </w:style>
  <w:style w:type="paragraph" w:styleId="NormalWeb">
    <w:name w:val="Normal (Web)"/>
    <w:basedOn w:val="Normal"/>
    <w:qFormat/>
    <w:pPr>
      <w:spacing w:before="280" w:after="280"/>
    </w:pPr>
    <w:rPr/>
  </w:style>
  <w:style w:type="paragraph" w:styleId="yiv1098222021msonormal">
    <w:name w:val="yiv1098222021msonormal"/>
    <w:basedOn w:val="Normal"/>
    <w:qFormat/>
    <w:pPr>
      <w:spacing w:before="280" w:after="280"/>
    </w:pPr>
    <w:rPr/>
  </w:style>
  <w:style w:type="paragraph" w:styleId="Corpo">
    <w:name w:val="Corpo"/>
    <w:basedOn w:val="NormalWeb"/>
    <w:qFormat/>
    <w:pPr>
      <w:spacing w:lineRule="exact" w:line="320"/>
      <w:jc w:val="both"/>
    </w:pPr>
    <w:rPr>
      <w:rFonts w:ascii="Arial Narrow" w:hAnsi="Arial Narrow" w:cs="Arial"/>
      <w:bCs/>
    </w:rPr>
  </w:style>
  <w:style w:type="paragraph" w:styleId="BUL">
    <w:name w:val="BUL"/>
    <w:basedOn w:val="Normal"/>
    <w:qFormat/>
    <w:pPr>
      <w:numPr>
        <w:ilvl w:val="0"/>
        <w:numId w:val="3"/>
      </w:numPr>
      <w:spacing w:lineRule="exact" w:line="320" w:before="280" w:after="280"/>
      <w:jc w:val="both"/>
    </w:pPr>
    <w:rPr>
      <w:rFonts w:ascii="Arial Narrow" w:hAnsi="Arial Narrow" w:cs="Arial"/>
      <w:color w:val="000000"/>
    </w:rPr>
  </w:style>
  <w:style w:type="paragraph" w:styleId="Ttulo-boletim">
    <w:name w:val="Título-boletim"/>
    <w:basedOn w:val="Normal"/>
    <w:qFormat/>
    <w:pPr>
      <w:spacing w:before="120" w:after="120"/>
      <w:jc w:val="center"/>
    </w:pPr>
    <w:rPr>
      <w:b/>
      <w:color w:val="FF0000"/>
      <w:szCs w:val="28"/>
    </w:rPr>
  </w:style>
  <w:style w:type="paragraph" w:styleId="Ttulo-titulo">
    <w:name w:val="Título-titulo"/>
    <w:basedOn w:val="Normal"/>
    <w:qFormat/>
    <w:pPr>
      <w:jc w:val="center"/>
    </w:pPr>
    <w:rPr>
      <w:b/>
      <w:szCs w:val="28"/>
    </w:rPr>
  </w:style>
  <w:style w:type="paragraph" w:styleId="EstiloTtulo-titulo16pt">
    <w:name w:val="Estilo Título-titulo + 16 pt"/>
    <w:basedOn w:val="Ttulo-titulo"/>
    <w:qFormat/>
    <w:pPr/>
    <w:rPr>
      <w:bCs/>
    </w:rPr>
  </w:style>
  <w:style w:type="paragraph" w:styleId="Estilocorpo-boletim16ptNegritoCentralizado">
    <w:name w:val="Estilo corpo-boletim + 16 pt Negrito Centralizado"/>
    <w:basedOn w:val="Normal"/>
    <w:qFormat/>
    <w:pPr>
      <w:spacing w:lineRule="auto" w:line="480"/>
      <w:jc w:val="center"/>
    </w:pPr>
    <w:rPr>
      <w:b/>
      <w:bCs/>
      <w:szCs w:val="20"/>
    </w:rPr>
  </w:style>
  <w:style w:type="paragraph" w:styleId="subtitulo">
    <w:name w:val="sub titulo"/>
    <w:basedOn w:val="texto"/>
    <w:qFormat/>
    <w:pPr>
      <w:spacing w:lineRule="atLeast" w:line="280"/>
      <w:ind w:hanging="0" w:start="0" w:end="0"/>
    </w:pPr>
    <w:rPr>
      <w:rFonts w:ascii="Helvetica-Black;Times New Roman" w:hAnsi="Helvetica-Black;Times New Roman" w:cs="Helvetica-Black;Times New Roman"/>
      <w:caps/>
      <w:color w:val="FF0000"/>
      <w:sz w:val="20"/>
      <w:szCs w:val="20"/>
    </w:rPr>
  </w:style>
  <w:style w:type="paragraph" w:styleId="textoedital">
    <w:name w:val="texto edital"/>
    <w:qFormat/>
    <w:pPr>
      <w:widowControl/>
      <w:bidi w:val="0"/>
      <w:jc w:val="both"/>
    </w:pPr>
    <w:rPr>
      <w:rFonts w:ascii="Helvetica" w:hAnsi="Helvetica" w:eastAsia="Times New Roman" w:cs="Helvetica"/>
      <w:color w:val="000000"/>
      <w:sz w:val="20"/>
      <w:szCs w:val="20"/>
      <w:lang w:val="pt-BR" w:bidi="ar-SA" w:eastAsia="zh-CN"/>
    </w:rPr>
  </w:style>
  <w:style w:type="paragraph" w:styleId="tabelinhas">
    <w:name w:val="tabelinhas"/>
    <w:basedOn w:val="texto"/>
    <w:qFormat/>
    <w:pPr>
      <w:pBdr>
        <w:bottom w:val="single" w:sz="6" w:space="0" w:color="000000"/>
      </w:pBdr>
      <w:spacing w:lineRule="atLeast" w:line="320"/>
      <w:ind w:hanging="0" w:start="0" w:end="0"/>
      <w:jc w:val="start"/>
    </w:pPr>
    <w:rPr>
      <w:color w:val="000000"/>
      <w:sz w:val="16"/>
      <w:szCs w:val="16"/>
    </w:rPr>
  </w:style>
  <w:style w:type="paragraph" w:styleId="Faculdadetexto">
    <w:name w:val="Faculdade texto"/>
    <w:basedOn w:val="Normal"/>
    <w:qFormat/>
    <w:pPr>
      <w:spacing w:before="0" w:after="120"/>
      <w:ind w:firstLine="567" w:start="0" w:end="0"/>
      <w:jc w:val="both"/>
    </w:pPr>
    <w:rPr>
      <w:rFonts w:ascii="Helvetica" w:hAnsi="Helvetica" w:cs="Arial"/>
      <w:sz w:val="18"/>
      <w:szCs w:val="18"/>
    </w:rPr>
  </w:style>
  <w:style w:type="paragraph" w:styleId="align-left">
    <w:name w:val="align-left"/>
    <w:basedOn w:val="Normal"/>
    <w:qFormat/>
    <w:pPr>
      <w:spacing w:before="280" w:after="280"/>
    </w:pPr>
    <w:rPr>
      <w:lang w:val="en-US" w:eastAsia="zh-CN"/>
    </w:rPr>
  </w:style>
  <w:style w:type="paragraph" w:styleId="faculdadetexto1">
    <w:name w:val="faculdadetexto"/>
    <w:basedOn w:val="Normal"/>
    <w:qFormat/>
    <w:pPr/>
    <w:rPr/>
  </w:style>
  <w:style w:type="paragraph" w:styleId="SemEspaamento">
    <w:name w:val="Sem Espaçamento"/>
    <w:qFormat/>
    <w:pPr>
      <w:widowControl/>
      <w:bidi w:val="0"/>
    </w:pPr>
    <w:rPr>
      <w:rFonts w:ascii="Times New Roman" w:hAnsi="Times New Roman" w:eastAsia="Times New Roman" w:cs="Times New Roman"/>
      <w:color w:val="auto"/>
      <w:sz w:val="24"/>
      <w:szCs w:val="24"/>
      <w:lang w:val="pt-BR" w:bidi="ar-SA" w:eastAsia="zh-CN"/>
    </w:rPr>
  </w:style>
  <w:style w:type="paragraph" w:styleId="Default">
    <w:name w:val="Default"/>
    <w:qFormat/>
    <w:pPr>
      <w:widowControl/>
      <w:autoSpaceDE w:val="false"/>
      <w:bidi w:val="0"/>
    </w:pPr>
    <w:rPr>
      <w:rFonts w:ascii="Arial" w:hAnsi="Arial" w:eastAsia="Times New Roman" w:cs="Arial"/>
      <w:color w:val="000000"/>
      <w:sz w:val="24"/>
      <w:szCs w:val="24"/>
      <w:lang w:val="pt-BR" w:bidi="ar-SA" w:eastAsia="zh-CN"/>
    </w:rPr>
  </w:style>
  <w:style w:type="paragraph" w:styleId="Reviso">
    <w:name w:val="Revisão"/>
    <w:qFormat/>
    <w:pPr>
      <w:widowControl/>
      <w:bidi w:val="0"/>
    </w:pPr>
    <w:rPr>
      <w:rFonts w:ascii="Times New Roman" w:hAnsi="Times New Roman" w:eastAsia="Times New Roman" w:cs="Times New Roman"/>
      <w:color w:val="auto"/>
      <w:sz w:val="24"/>
      <w:szCs w:val="24"/>
      <w:lang w:val="pt-BR"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yperlink" Target="https://www.intelrealsense.com/depth-camera-d435i" TargetMode="External"/><Relationship Id="rId4" Type="http://schemas.openxmlformats.org/officeDocument/2006/relationships/hyperlink" Target="https://agrosmart.com.br/blog/imagens-de-satelite-agricultura-beneficios"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2025-08-14T17:45:00Z</dcterms:created>
  <dc:creator>Milton P. Filho</dc:creator>
  <dc:description/>
  <cp:keywords/>
  <dc:language>en-US</dc:language>
  <cp:lastModifiedBy>Matheus Queiroz Gregorin</cp:lastModifiedBy>
  <cp:lastPrinted>2021-03-03T09:12:00Z</cp:lastPrinted>
  <dcterms:modified xsi:type="dcterms:W3CDTF">2026-08-15T12:37:00Z</dcterms:modified>
  <cp:revision>5</cp:revision>
  <dc:subject/>
  <dc:title>Edital Vestibular SP Alphaville</dc:title>
</cp:coreProperties>
</file>