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Cambria" w:hAnsi="Cambria" w:cs="Arial"/>
        </w:rPr>
      </w:pPr>
      <w:r>
        <w:rPr>
          <w:rFonts w:cs="Arial" w:ascii="Cambria" w:hAnsi="Cambria"/>
        </w:rPr>
      </w:r>
    </w:p>
    <w:p>
      <w:pPr>
        <w:pStyle w:val="Normal"/>
        <w:jc w:val="both"/>
        <w:rPr>
          <w:rFonts w:ascii="Cambria" w:hAnsi="Cambria" w:cs="Arial"/>
        </w:rPr>
      </w:pPr>
      <w:r>
        <w:rPr>
          <w:rFonts w:cs="Arial" w:ascii="Cambria" w:hAnsi="Cambria"/>
        </w:rPr>
      </w:r>
    </w:p>
    <w:p>
      <w:pPr>
        <w:pStyle w:val="Normal"/>
        <w:rPr>
          <w:rFonts w:ascii="Cambria" w:hAnsi="Cambria" w:cs="Arial"/>
        </w:rPr>
      </w:pPr>
      <w:r>
        <w:rPr>
          <w:rFonts w:cs="Arial" w:ascii="Cambria" w:hAnsi="Cambria"/>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t>Detecção de Ataques em IoT com IA Preditiva via MCP</w:t>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spacing w:before="240" w:after="0"/>
        <w:jc w:val="center"/>
        <w:rPr>
          <w:rFonts w:ascii="Times;Sylfaen" w:hAnsi="Times;Sylfaen" w:cs="Arial"/>
          <w:sz w:val="32"/>
          <w:szCs w:val="32"/>
        </w:rPr>
      </w:pPr>
      <w:r>
        <w:rPr>
          <w:rFonts w:cs="Arial" w:ascii="Times;Sylfaen" w:hAnsi="Times;Sylfaen"/>
          <w:sz w:val="32"/>
          <w:szCs w:val="32"/>
        </w:rPr>
      </w:r>
    </w:p>
    <w:p>
      <w:pPr>
        <w:pStyle w:val="Normal"/>
        <w:tabs>
          <w:tab w:val="clear" w:pos="708"/>
          <w:tab w:val="left" w:pos="720" w:leader="none"/>
        </w:tabs>
        <w:jc w:val="center"/>
        <w:rPr>
          <w:rFonts w:ascii="Times;Sylfaen" w:hAnsi="Times;Sylfaen" w:cs="Times;Sylfaen"/>
          <w:bCs/>
          <w:vertAlign w:val="superscript"/>
        </w:rPr>
      </w:pPr>
      <w:r>
        <w:rPr>
          <w:rFonts w:cs="Times;Sylfaen" w:ascii="Times;Sylfaen" w:hAnsi="Times;Sylfaen"/>
          <w:bCs/>
        </w:rPr>
        <w:t xml:space="preserve">Bernardo Souza Oliveira </w:t>
      </w:r>
      <w:r>
        <w:rPr>
          <w:rFonts w:cs="Times;Sylfaen" w:ascii="Times;Sylfaen" w:hAnsi="Times;Sylfaen"/>
          <w:bCs/>
          <w:vertAlign w:val="superscript"/>
        </w:rPr>
        <w:t xml:space="preserve">1 </w:t>
      </w:r>
      <w:r>
        <w:rPr>
          <w:rFonts w:cs="Times;Sylfaen" w:ascii="Times;Sylfaen" w:hAnsi="Times;Sylfaen"/>
          <w:bCs/>
        </w:rPr>
        <w:tab/>
        <w:t xml:space="preserve">Matheus Queiroz Gregorin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José Victor Roling </w:t>
      </w:r>
      <w:r>
        <w:rPr>
          <w:rFonts w:cs="Times;Sylfaen" w:ascii="Times;Sylfaen" w:hAnsi="Times;Sylfaen"/>
          <w:bCs/>
          <w:vertAlign w:val="superscript"/>
        </w:rPr>
        <w:t>1</w:t>
      </w:r>
      <w:r>
        <w:rPr>
          <w:rFonts w:cs="Times;Sylfaen" w:ascii="Times;Sylfaen" w:hAnsi="Times;Sylfaen"/>
          <w:bCs/>
        </w:rPr>
        <w:t xml:space="preserve"> </w:t>
        <w:tab/>
        <w:t xml:space="preserve">Pedro Henrique Cagnoni Guimarães </w:t>
      </w:r>
      <w:r>
        <w:rPr>
          <w:rFonts w:cs="Times;Sylfaen" w:ascii="Times;Sylfaen" w:hAnsi="Times;Sylfaen"/>
          <w:bCs/>
          <w:vertAlign w:val="superscript"/>
        </w:rPr>
        <w:t>1</w:t>
      </w:r>
    </w:p>
    <w:p>
      <w:pPr>
        <w:pStyle w:val="Normal"/>
        <w:tabs>
          <w:tab w:val="clear" w:pos="708"/>
          <w:tab w:val="left" w:pos="720" w:leader="none"/>
        </w:tabs>
        <w:jc w:val="center"/>
        <w:rPr>
          <w:rFonts w:ascii="Times;Sylfaen" w:hAnsi="Times;Sylfaen" w:cs="Times;Sylfaen"/>
          <w:bCs/>
        </w:rPr>
      </w:pPr>
      <w:r>
        <w:rPr>
          <w:rFonts w:cs="Times;Sylfaen" w:ascii="Times;Sylfaen" w:hAnsi="Times;Sylfaen"/>
          <w:bCs/>
        </w:rPr>
        <w:t xml:space="preserve">Rodrigo Cardoso Silva </w:t>
      </w:r>
      <w:r>
        <w:rPr>
          <w:rFonts w:cs="Times;Sylfaen" w:ascii="Times;Sylfaen" w:hAnsi="Times;Sylfaen"/>
          <w:bCs/>
          <w:vertAlign w:val="superscript"/>
        </w:rPr>
        <w:t>1</w:t>
      </w:r>
    </w:p>
    <w:p>
      <w:pPr>
        <w:pStyle w:val="Normal"/>
        <w:tabs>
          <w:tab w:val="clear" w:pos="708"/>
          <w:tab w:val="left" w:pos="720" w:leader="none"/>
        </w:tabs>
        <w:spacing w:before="240" w:after="0"/>
        <w:jc w:val="center"/>
        <w:rPr/>
      </w:pPr>
      <w:r>
        <w:rPr>
          <w:rFonts w:cs="Times;Sylfaen" w:ascii="Times;Sylfaen" w:hAnsi="Times;Sylfaen"/>
          <w:szCs w:val="20"/>
          <w:vertAlign w:val="superscript"/>
        </w:rPr>
        <w:t>1</w:t>
      </w:r>
      <w:r>
        <w:rPr>
          <w:rFonts w:cs="Times;Sylfaen" w:ascii="Times;Sylfaen" w:hAnsi="Times;Sylfaen"/>
          <w:szCs w:val="20"/>
        </w:rPr>
        <w:t>Faculdade de Computação e Informática (FCI)</w:t>
        <w:br/>
        <w:t>Universidade Presbiteriana Mackenzie – São Paulo, SP – Brasil</w:t>
      </w:r>
    </w:p>
    <w:p>
      <w:pPr>
        <w:pStyle w:val="Normal"/>
        <w:tabs>
          <w:tab w:val="clear" w:pos="708"/>
          <w:tab w:val="left" w:pos="720" w:leader="none"/>
        </w:tabs>
        <w:spacing w:before="120" w:after="120"/>
        <w:jc w:val="center"/>
        <w:rPr>
          <w:rFonts w:ascii="Courier New" w:hAnsi="Courier New" w:cs="Courier New"/>
          <w:sz w:val="20"/>
          <w:szCs w:val="20"/>
        </w:rPr>
      </w:pPr>
      <w:r>
        <w:rPr>
          <w:rFonts w:cs="Courier New" w:ascii="Courier New" w:hAnsi="Courier New"/>
          <w:sz w:val="20"/>
          <w:szCs w:val="20"/>
        </w:rPr>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e-mails @mackenzista.com.br dos quatro alunos]</w:t>
      </w:r>
    </w:p>
    <w:p>
      <w:pPr>
        <w:pStyle w:val="Normal"/>
        <w:tabs>
          <w:tab w:val="clear" w:pos="708"/>
          <w:tab w:val="left" w:pos="720" w:leader="none"/>
        </w:tabs>
        <w:spacing w:before="120" w:after="0"/>
        <w:jc w:val="center"/>
      </w:pPr>
      <w:r>
        <w:rPr>
          <w:rFonts w:cs="Times;Sylfaen" w:ascii="Times;Sylfaen" w:hAnsi="Times;Sylfaen"/>
          <w:highlight w:val="yellow"/>
        </w:rPr>
        <w:t xml:space="preserve">[PENDENTE: e-mail do Prof. Rodrigo @mackenzie.br]</w:t>
      </w:r>
    </w:p>
    <w:p>
      <w:pPr>
        <w:pStyle w:val="Normal"/>
        <w:tabs>
          <w:tab w:val="clear" w:pos="708"/>
          <w:tab w:val="left" w:pos="720" w:leader="none"/>
        </w:tabs>
        <w:spacing w:before="240" w:after="120"/>
        <w:jc w:val="center"/>
        <w:rPr/>
      </w:pPr>
      <w:r>
        <w:rPr/>
        <w:t>2026</w:t>
      </w:r>
    </w:p>
    <w:p>
      <w:pPr>
        <w:sectPr>
          <w:headerReference w:type="default" r:id="rId2"/>
          <w:type w:val="nextPage"/>
          <w:pgSz w:w="11906" w:h="16838"/>
          <w:pgMar w:left="1418" w:right="1134" w:gutter="0" w:header="709" w:top="1843" w:footer="0" w:bottom="1247"/>
          <w:pgNumType w:fmt="decimal"/>
          <w:formProt w:val="false"/>
          <w:textDirection w:val="lrTb"/>
          <w:docGrid w:type="default" w:linePitch="360" w:charSpace="0"/>
        </w:sectPr>
      </w:pPr>
    </w:p>
    <w:p>
      <w:pPr>
        <w:pStyle w:val="Normal"/>
        <w:tabs>
          <w:tab w:val="clear" w:pos="708"/>
          <w:tab w:val="left" w:pos="720" w:leader="none"/>
        </w:tabs>
        <w:spacing w:before="240" w:after="120"/>
        <w:jc w:val="center"/>
        <w:rPr>
          <w:rFonts w:ascii="Times;Sylfaen" w:hAnsi="Times;Sylfaen" w:cs="Times;Sylfaen"/>
          <w:i/>
          <w:i/>
          <w:iCs/>
        </w:rPr>
      </w:pPr>
      <w:r>
        <w:rPr>
          <w:rFonts w:cs="Times;Sylfaen" w:ascii="Times;Sylfaen" w:hAnsi="Times;Sylfaen"/>
          <w:i/>
          <w:iCs/>
        </w:rPr>
      </w:r>
    </w:p>
    <w:p>
      <w:pPr>
        <w:pStyle w:val="Normal"/>
        <w:tabs>
          <w:tab w:val="clear" w:pos="708"/>
          <w:tab w:val="left" w:pos="720" w:leader="none"/>
        </w:tabs>
        <w:ind w:start="454" w:end="454"/>
        <w:jc w:val="center"/>
        <w:rPr>
          <w:rFonts w:ascii="Times;Sylfaen" w:hAnsi="Times;Sylfaen" w:cs="Times;Sylfaen"/>
          <w:sz w:val="28"/>
          <w:szCs w:val="28"/>
        </w:rPr>
      </w:pPr>
      <w:r>
        <w:rPr>
          <w:rFonts w:cs="Times;Sylfaen" w:ascii="Times;Sylfaen" w:hAnsi="Times;Sylfaen"/>
          <w:sz w:val="28"/>
          <w:szCs w:val="28"/>
        </w:rPr>
        <w:t>Resumo</w:t>
      </w:r>
    </w:p>
    <w:p>
      <w:pPr>
        <w:pStyle w:val="Normal"/>
        <w:tabs>
          <w:tab w:val="clear" w:pos="708"/>
          <w:tab w:val="left" w:pos="720" w:leader="none"/>
        </w:tabs>
        <w:ind w:start="454" w:end="454"/>
        <w:jc w:val="center"/>
        <w:rPr>
          <w:rFonts w:ascii="Times;Sylfaen" w:hAnsi="Times;Sylfaen" w:cs="Times;Sylfaen"/>
          <w:sz w:val="20"/>
          <w:szCs w:val="20"/>
        </w:rPr>
      </w:pPr>
      <w:r>
        <w:rPr>
          <w:rFonts w:cs="Times;Sylfaen" w:ascii="Times;Sylfaen" w:hAnsi="Times;Sylfaen"/>
          <w:sz w:val="20"/>
          <w:szCs w:val="20"/>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escrever por último, com 150 a 250 palavras: contexto (ataques a redes IoT), motivação (detectar não basta, é preciso responder), objetivo, metodologia (Random Forest sobre o CICIoT2023 regerado + servidor MCP + três agentes em arquitetura híbrida) e resultados. Não prometer classificação em MQTT/CoAP nem captura ao vivo.]</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spacing w:before="120" w:after="120"/>
        <w:ind w:start="454" w:end="454"/>
        <w:jc w:val="both"/>
        <w:rPr/>
      </w:pPr>
      <w:r>
        <w:rPr>
          <w:rFonts w:cs="Times;Sylfaen" w:ascii="Times;Sylfaen" w:hAnsi="Times;Sylfaen"/>
          <w:b/>
          <w:bCs/>
        </w:rPr>
        <w:t>Palavras-chave:</w:t>
      </w:r>
      <w:r>
        <w:rPr>
          <w:rFonts w:cs="Times;Sylfaen" w:ascii="Times;Sylfaen" w:hAnsi="Times;Sylfaen"/>
        </w:rPr>
        <w:t xml:space="preserve"> detecção de intrusão; Internet das Coisas; Random Forest; sistemas multiagentes; Model Context Protocol.</w:t>
      </w:r>
    </w:p>
    <w:p>
      <w:pPr>
        <w:pStyle w:val="Normal"/>
        <w:tabs>
          <w:tab w:val="clear" w:pos="708"/>
          <w:tab w:val="left" w:pos="720" w:leader="none"/>
        </w:tabs>
        <w:spacing w:before="120" w:after="120"/>
        <w:ind w:start="454" w:end="454"/>
        <w:jc w:val="both"/>
        <w:rPr>
          <w:rFonts w:ascii="Times;Sylfaen" w:hAnsi="Times;Sylfaen" w:cs="Times;Sylfaen"/>
          <w:b/>
          <w:bCs/>
          <w:i/>
          <w:i/>
          <w:iCs/>
        </w:rPr>
      </w:pPr>
      <w:r>
        <w:rPr>
          <w:rFonts w:cs="Times;Sylfaen" w:ascii="Times;Sylfaen" w:hAnsi="Times;Sylfaen"/>
          <w:b/>
          <w:bCs/>
          <w:i/>
          <w:iCs/>
        </w:rPr>
      </w:r>
    </w:p>
    <w:p>
      <w:pPr>
        <w:pStyle w:val="Normal"/>
        <w:tabs>
          <w:tab w:val="clear" w:pos="708"/>
          <w:tab w:val="left" w:pos="720" w:leader="none"/>
        </w:tabs>
        <w:ind w:start="454" w:end="454"/>
        <w:jc w:val="center"/>
        <w:rPr>
          <w:rFonts w:ascii="Times;Sylfaen" w:hAnsi="Times;Sylfaen" w:cs="Times;Sylfaen"/>
          <w:sz w:val="28"/>
          <w:szCs w:val="28"/>
          <w:lang w:val="en-US"/>
        </w:rPr>
      </w:pPr>
      <w:r>
        <w:rPr>
          <w:rFonts w:cs="Times;Sylfaen" w:ascii="Times;Sylfaen" w:hAnsi="Times;Sylfaen"/>
          <w:sz w:val="28"/>
          <w:szCs w:val="28"/>
          <w:lang w:val="en-US"/>
        </w:rPr>
        <w:t>Abstract</w:t>
      </w:r>
    </w:p>
    <w:p>
      <w:pPr>
        <w:pStyle w:val="Normal"/>
        <w:tabs>
          <w:tab w:val="clear" w:pos="708"/>
          <w:tab w:val="left" w:pos="720" w:leader="none"/>
        </w:tabs>
        <w:ind w:start="454" w:end="454"/>
        <w:jc w:val="center"/>
        <w:rPr>
          <w:rFonts w:ascii="Times;Sylfaen" w:hAnsi="Times;Sylfaen" w:cs="Times;Sylfaen"/>
          <w:sz w:val="20"/>
          <w:szCs w:val="20"/>
          <w:lang w:val="en-US"/>
        </w:rPr>
      </w:pPr>
      <w:r>
        <w:rPr>
          <w:rFonts w:cs="Times;Sylfaen" w:ascii="Times;Sylfaen" w:hAnsi="Times;Sylfaen"/>
          <w:sz w:val="20"/>
          <w:szCs w:val="20"/>
          <w:lang w:val="en-US"/>
        </w:rPr>
      </w:r>
    </w:p>
    <w:p>
      <w:pPr>
        <w:pStyle w:val="Normal"/>
        <w:tabs>
          <w:tab w:val="clear" w:pos="708"/>
          <w:tab w:val="left" w:pos="720" w:leader="none"/>
        </w:tabs>
        <w:ind w:start="454" w:end="454"/>
        <w:jc w:val="both"/>
        <w:rPr/>
      </w:pPr>
      <w:r>
        <w:rPr>
          <w:rFonts w:cs="Times;Sylfaen" w:ascii="Times;Sylfaen" w:hAnsi="Times;Sylfaen"/>
          <w:i/>
          <w:iCs/>
          <w:highlight w:val="yellow"/>
        </w:rPr>
        <w:t xml:space="preserve">[PENDENTE: tradução do resumo.]</w:t>
      </w:r>
    </w:p>
    <w:p>
      <w:pPr>
        <w:pStyle w:val="Normal"/>
        <w:tabs>
          <w:tab w:val="clear" w:pos="708"/>
          <w:tab w:val="left" w:pos="720" w:leader="none"/>
        </w:tabs>
        <w:ind w:start="454" w:end="454"/>
        <w:jc w:val="both"/>
        <w:rPr>
          <w:rFonts w:ascii="Times;Sylfaen" w:hAnsi="Times;Sylfaen" w:cs="Times;Sylfaen"/>
          <w:i/>
          <w:i/>
          <w:iCs/>
          <w:lang w:val="en-GB"/>
        </w:rPr>
      </w:pPr>
      <w:r>
        <w:rPr>
          <w:rFonts w:cs="Times;Sylfaen" w:ascii="Times;Sylfaen" w:hAnsi="Times;Sylfaen"/>
          <w:i/>
          <w:iCs/>
          <w:lang w:val="en-GB"/>
        </w:rPr>
      </w:r>
    </w:p>
    <w:p>
      <w:pPr>
        <w:pStyle w:val="Normal"/>
        <w:tabs>
          <w:tab w:val="clear" w:pos="708"/>
          <w:tab w:val="left" w:pos="720" w:leader="none"/>
        </w:tabs>
        <w:spacing w:before="120" w:after="120"/>
        <w:ind w:start="454" w:end="454"/>
        <w:jc w:val="both"/>
        <w:rPr/>
      </w:pPr>
      <w:r>
        <w:rPr>
          <w:rFonts w:cs="Times;Sylfaen" w:ascii="Times;Sylfaen" w:hAnsi="Times;Sylfaen"/>
          <w:b/>
          <w:bCs/>
          <w:lang w:val="en-US"/>
        </w:rPr>
        <w:t>Keywords:</w:t>
      </w:r>
      <w:r>
        <w:rPr>
          <w:rFonts w:cs="Times;Sylfaen" w:ascii="Times;Sylfaen" w:hAnsi="Times;Sylfaen"/>
          <w:lang w:val="en-US"/>
        </w:rPr>
        <w:t xml:space="preserve"> intrusion detection; Internet of Things; Random Forest; multi-agent systems; Model Context Protocol.</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1. Introdução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enquadrar o trabalho como NIDR (detecção e resposta), e não como NIDS, conforme o reposicionamento pedido pela banca do TCC I. Seguir a ordem do template: contexto e problema; lacuna (detectores apontam o ataque, mas a resposta continua manual e exige especialista); objetivo geral em uma frase; objetivos específicos; contribuições; estrutura do artigo.]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contribuições a destacar: (1) classificador treinado em dados regerados dos pcaps com janela única; (2) medida do atalho da janela e das janelas sem atacante no CICIoT2023; (3) sistema de três agentes via MCP com aprovação humana; (4) comparação entre as configurações local, nuvem e híbrida em qualidade, custo e tempo.]</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2. Referencial Teórico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2.1 Detecção de intrusão em redes IoT</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NIDS baseado em aprendizado de máquina, ataques típicos contra IoT (DDoS, DoS, Mirai, Recon, Spoofing, Web, BruteForce) e por que o Random Forest é referência nesse problema. Reaproveitar do artigo do TCC I.]</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2.2 Agentes de LLM e o Model Context Protocol</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o que é um agente de LLM, o laço ReAct, o MCP como interface entre modelo e ferramentas, e os riscos de segurança do MCP (injeção via dados, tool poisoning, confused deputy). Reaproveitar do TCC I e do levantamento do Pedro e do José Victor.]</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2.3 Trabalhos correlatos</w:t>
      </w:r>
    </w:p>
    <w:p>
      <w:pPr>
        <w:pStyle w:val="Normal"/>
        <w:tabs>
          <w:tab w:val="clear" w:pos="708"/>
          <w:tab w:val="left" w:pos="720" w:leader="none"/>
        </w:tabs>
        <w:spacing w:before="120" w:after="0"/>
        <w:ind w:firstLine="708" w:end="0"/>
        <w:jc w:val="both"/>
      </w:pPr>
      <w:r>
        <w:rPr>
          <w:rFonts w:cs="Times;Sylfaen" w:ascii="Times;Sylfaen" w:hAnsi="Times;Sylfaen"/>
        </w:rPr>
        <w:t xml:space="preserve">O CICIoT2023 reúne 33 ataques, agrupados em sete categorias, executados por dispositivos IoT maliciosos contra outros dispositivos numa topologia de 105 equipamentos (NETO et al., 2023). Os autores publicam os arquivos de captura (pcap), os CSVs processados e o código de extração das features (CANADIAN INSTITUTE FOR CYBERSECURITY, 2023). As features são calculadas sobre janelas de pacotes e agregadas pela média, com janelas de 100 pacotes nas classes de grande volume (DDoS, DoS e Mirai) e de 10 nas demais (NETO et al., 2023). Doménech et al. (2025) também registram essa diferença ao comparar o CICIoT2023 com o CICIoMT2024, e relatam queda de até 66,87% no F1 quando um modelo treinado num conjunto é avaliado no outro. </w:t>
      </w:r>
      <w:r>
        <w:rPr>
          <w:rFonts w:cs="Times;Sylfaen" w:ascii="Times;Sylfaen" w:hAnsi="Times;Sylfaen"/>
          <w:highlight w:val="yellow"/>
        </w:rPr>
        <w:t xml:space="preserve">[CONFERIR no PDF se Doménech et al. recomendam janela uniforme; se recomendarem, acrescentar aqui.]</w:t>
      </w:r>
    </w:p>
    <w:p>
      <w:pPr>
        <w:pStyle w:val="Normal"/>
        <w:tabs>
          <w:tab w:val="clear" w:pos="708"/>
          <w:tab w:val="left" w:pos="720" w:leader="none"/>
        </w:tabs>
        <w:spacing w:before="120" w:after="0"/>
        <w:ind w:firstLine="708" w:end="0"/>
        <w:jc w:val="both"/>
      </w:pPr>
      <w:r>
        <w:rPr>
          <w:rFonts w:cs="Times;Sylfaen" w:ascii="Times;Sylfaen" w:hAnsi="Times;Sylfaen"/>
        </w:rPr>
        <w:t xml:space="preserve">Problemas na construção de conjuntos de dados já foram documentados em outros datasets do mesmo instituto. Engelen, Rimmer e Joosen (2021) revisitaram o CICIDS2017 e encontraram falhas na geração do tráfego, na construção dos fluxos, na extração das features e na rotulagem, e regeneraram o conjunto com uma metodologia corrigida. Liu et al. (2022) estenderam a análise ao CSE-CIC-IDS-2018 e relataram erros até então não documentados em todo o ciclo de criação, da orquestração dos ataques aos rótulos.</w:t>
      </w:r>
    </w:p>
    <w:p>
      <w:pPr>
        <w:pStyle w:val="Normal"/>
        <w:tabs>
          <w:tab w:val="clear" w:pos="708"/>
          <w:tab w:val="left" w:pos="720" w:leader="none"/>
        </w:tabs>
        <w:spacing w:before="120" w:after="0"/>
        <w:ind w:firstLine="708" w:end="0"/>
        <w:jc w:val="both"/>
      </w:pPr>
      <w:r>
        <w:rPr>
          <w:rFonts w:cs="Times;Sylfaen" w:ascii="Times;Sylfaen" w:hAnsi="Times;Sylfaen"/>
        </w:rPr>
        <w:t xml:space="preserve">Este trabalho segue essa linha com duas contribuições próprias: um teste direto do efeito do tamanho da janela, extraindo os mesmos pcaps com janelas de 10 e de 100 pacotes, e a medida de quantas janelas rotuladas como ataque não contêm nenhum pacote dos dispositivos atacantes. Aqui, o rótulo de ataque depende da presença do atacante na janela.</w:t>
      </w:r>
    </w:p>
    <w:p>
      <w:pPr>
        <w:pStyle w:val="Normal"/>
        <w:tabs>
          <w:tab w:val="clear" w:pos="708"/>
          <w:tab w:val="left" w:pos="720" w:leader="none"/>
        </w:tabs>
        <w:spacing w:before="120" w:after="0"/>
        <w:ind w:firstLine="708" w:end="0"/>
        <w:jc w:val="both"/>
      </w:pPr>
      <w:r>
        <w:rPr>
          <w:rFonts w:cs="Times;Sylfaen" w:ascii="Times;Sylfaen" w:hAnsi="Times;Sylfaen"/>
        </w:rPr>
        <w:t xml:space="preserve">No mercado, a detecção de intrusão com aprendizado de máquina aparece em plataformas comerciais. A Darktrace aprende o comportamento normal de cada entidade da rede e examina os desvios, em vez de aplicar regras fixas (DARKTRACE, 2024). A Vectra AI automatiza a detecção, a triagem e a priorização de ameaças em redes, nuvem e identidades (VECTRA AI, 2022). A Netskope aplica técnicas semelhantes à proteção de dados e à defesa contra ameaças no contexto de acesso seguro à nuvem (NETSKOPE, 2023). Este trabalho difere dessas soluções por avaliar o pipeline completo num dataset público, com código aberto (OLIVEIRA et al., 2026), e por manter o dado da rede no ambiente local na configuração híbrida.</w:t>
      </w:r>
    </w:p>
    <w:p>
      <w:pPr>
        <w:pStyle w:val="Normal"/>
        <w:tabs>
          <w:tab w:val="clear" w:pos="708"/>
          <w:tab w:val="left" w:pos="720" w:leader="none"/>
        </w:tabs>
        <w:spacing w:before="120" w:after="0"/>
        <w:ind w:firstLine="708" w:end="0"/>
        <w:jc w:val="both"/>
      </w:pPr>
      <w:r>
        <w:rPr>
          <w:rFonts w:cs="Times;Sylfaen" w:ascii="Times;Sylfaen" w:hAnsi="Times;Sylfaen"/>
        </w:rPr>
        <w:t xml:space="preserve">O uso de modelos de linguagem pagos por chamada traz um risco adicional. Kelly, Glavin e Barrett (2021) definem o </w:t>
      </w:r>
      <w:r>
        <w:rPr>
          <w:rFonts w:cs="Times;Sylfaen" w:ascii="Times;Sylfaen" w:hAnsi="Times;Sylfaen"/>
          <w:i/>
          <w:iCs/>
        </w:rPr>
        <w:t xml:space="preserve">Denial of Wallet</w:t>
      </w:r>
      <w:r>
        <w:rPr>
          <w:rFonts w:cs="Times;Sylfaen" w:ascii="Times;Sylfaen" w:hAnsi="Times;Sylfaen"/>
        </w:rPr>
        <w:t xml:space="preserve"> como um ataque que força o esgotamento financeiro da vítima em plataformas cobradas por uso. Num sistema que aciona agentes de LLM a cada incidente, o atacante pode provocar o mesmo efeito gerando incidentes em volume, o que motiva o teto de propostas pendentes por incidente descrito na seção 3.5.</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3. Metodologia</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3.1 Captura e extração de features</w:t>
      </w:r>
    </w:p>
    <w:p>
      <w:pPr>
        <w:pStyle w:val="Normal"/>
        <w:tabs>
          <w:tab w:val="clear" w:pos="708"/>
          <w:tab w:val="left" w:pos="720" w:leader="none"/>
        </w:tabs>
        <w:spacing w:before="120" w:after="0"/>
        <w:ind w:firstLine="708" w:end="0"/>
        <w:jc w:val="both"/>
      </w:pPr>
      <w:r>
        <w:rPr>
          <w:rFonts w:cs="Times;Sylfaen" w:ascii="Times;Sylfaen" w:hAnsi="Times;Sylfaen"/>
        </w:rPr>
        <w:t xml:space="preserve">O sistema processa tráfego bruto em arquivo pcap, e não apenas o CSV pré-processado do dataset, em resposta direta ao avaliador 2 do TCC I. Os pcaps, os CSVs e o código de extração dos autores vêm da página oficial do CICIoT2023 (CANADIAN INSTITUTE FOR CYBERSECURITY, 2023), e todo o código e os scripts dos experimentos deste trabalho estão disponíveis no repositório do projeto (OLIVEIRA et al., 2026). A captura da rede é feita com Wireshark ou ferramenta equivalente </w:t>
      </w:r>
      <w:r>
        <w:rPr>
          <w:rFonts w:cs="Times;Sylfaen" w:ascii="Times;Sylfaen" w:hAnsi="Times;Sylfaen"/>
          <w:highlight w:val="yellow"/>
        </w:rPr>
        <w:t xml:space="preserve">[PENDENTE: confirmar a ferramenta]</w:t>
      </w:r>
      <w:r>
        <w:rPr>
          <w:rFonts w:cs="Times;Sylfaen" w:ascii="Times;Sylfaen" w:hAnsi="Times;Sylfaen"/>
        </w:rPr>
        <w:t xml:space="preserve">; a extração das 39 features por janela de quadros é feita com a biblioteca dpkt, no lugar do Scapy usado no TCC I.</w:t>
      </w:r>
    </w:p>
    <w:p>
      <w:pPr>
        <w:pStyle w:val="Normal"/>
        <w:tabs>
          <w:tab w:val="clear" w:pos="708"/>
          <w:tab w:val="left" w:pos="720" w:leader="none"/>
        </w:tabs>
        <w:spacing w:before="120" w:after="0"/>
        <w:ind w:firstLine="708" w:end="0"/>
        <w:jc w:val="both"/>
      </w:pPr>
      <w:r>
        <w:rPr>
          <w:rFonts w:cs="Times;Sylfaen" w:ascii="Times;Sylfaen" w:hAnsi="Times;Sylfaen"/>
        </w:rPr>
        <w:t xml:space="preserve">O extrator foi calibrado contra os CSVs oficiais do CICIoT2023 em cinco pcaps, um por família (DDoS, DoS, Mirai, Recon e BruteForce), somando 167.304 linhas. As 39 colunas foram reproduzidas sem divergência, com tolerância relativa de 10⁻⁹ e desvio relativo máximo observado de 9,88 × 10⁻¹³, atribuível a arredondamento de ponto flutuante.</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3.2 Pré-processamento e regeração dos dados</w:t>
      </w:r>
    </w:p>
    <w:p>
      <w:pPr>
        <w:pStyle w:val="Normal"/>
        <w:tabs>
          <w:tab w:val="clear" w:pos="708"/>
          <w:tab w:val="left" w:pos="720" w:leader="none"/>
        </w:tabs>
        <w:spacing w:before="120" w:after="0"/>
        <w:ind w:firstLine="708" w:end="0"/>
        <w:jc w:val="both"/>
      </w:pPr>
      <w:r>
        <w:rPr>
          <w:rFonts w:cs="Times;Sylfaen" w:ascii="Times;Sylfaen" w:hAnsi="Times;Sylfaen"/>
        </w:rPr>
        <w:t xml:space="preserve">Na fase exploratória, o MERGED_CSV publicado pelos autores (45.019.234 linhas em 63 arquivos) foi amostrado com teto de 50.000 linhas por rótulo e semente fixa, preservando integralmente as classes raras, o que resultou em 1.288.479 linhas. Os 34 rótulos foram mapeados para 7 categorias, com DDoS e DoS fundidas, já que suas features de pacote são indistinguíveis; a separação das duas é feita depois, pela quantidade de endereços de origem do incidente, fora do modelo.</w:t>
      </w:r>
    </w:p>
    <w:p>
      <w:pPr>
        <w:pStyle w:val="Normal"/>
        <w:tabs>
          <w:tab w:val="clear" w:pos="708"/>
          <w:tab w:val="left" w:pos="720" w:leader="none"/>
        </w:tabs>
        <w:spacing w:before="120" w:after="0"/>
        <w:ind w:firstLine="708" w:end="0"/>
        <w:jc w:val="both"/>
      </w:pPr>
      <w:r>
        <w:rPr>
          <w:rFonts w:cs="Times;Sylfaen" w:ascii="Times;Sylfaen" w:hAnsi="Times;Sylfaen"/>
        </w:rPr>
        <w:t xml:space="preserve">Os dados de treino finais, porém, não vêm do MERGED_CSV: são regerados a partir dos pcaps com o extrator deste trabalho, pelos motivos apresentados na seção 3.3. Cada um dos 38 pcaps é extraído em janela única. Numa captura benigna, toda janela é benigna; numa captura de ataque, a janela só recebe o rótulo do arquivo se contém um quadro de um dos sete Raspberry Pi atacantes documentados pelos autores, e é descartada caso contrário. A divisão entre treino e teste é feita por tempo dentro de cada pcap (os primeiros 70% das janelas para treino) ou por arquivo inteiro quando o rótulo tem mais de um pcap, o que evita que janelas vizinhas caiam nos dois lados.</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3.3 Treino e avaliação do classificador</w:t>
      </w:r>
    </w:p>
    <w:p>
      <w:pPr>
        <w:pStyle w:val="Normal"/>
        <w:tabs>
          <w:tab w:val="clear" w:pos="708"/>
          <w:tab w:val="left" w:pos="720" w:leader="none"/>
        </w:tabs>
        <w:spacing w:before="120" w:after="0"/>
        <w:ind w:firstLine="708" w:end="0"/>
        <w:jc w:val="both"/>
      </w:pPr>
      <w:r>
        <w:rPr>
          <w:rFonts w:cs="Times;Sylfaen" w:ascii="Times;Sylfaen" w:hAnsi="Times;Sylfaen"/>
        </w:rPr>
        <w:t xml:space="preserve">O classificador é um Random Forest (scikit-learn, 100 árvores). Um teste que isolou o efeito do tamanho da janela mostrou que o modelo treinado nas janelas do MERGED_CSV não generaliza para uma janela única na operação: o recall dos floods HTTP cai para menos de 2% quando extraídos em janela de 10, e o da varredura de portas e da força bruta cai para 0 a 18% quando extraídos em janela de 100. Retirar as seis colunas que dependem do tamanho da janela não resolve o problema, o que levou à regeração descrita na seção 3.2.</w:t>
      </w:r>
    </w:p>
    <w:p>
      <w:pPr>
        <w:pStyle w:val="Normal"/>
        <w:tabs>
          <w:tab w:val="clear" w:pos="708"/>
          <w:tab w:val="left" w:pos="720" w:leader="none"/>
        </w:tabs>
        <w:spacing w:before="120" w:after="0"/>
        <w:ind w:firstLine="708" w:end="0"/>
        <w:jc w:val="both"/>
      </w:pPr>
      <w:r>
        <w:rPr>
          <w:rFonts w:cs="Times;Sylfaen" w:ascii="Times;Sylfaen" w:hAnsi="Times;Sylfaen"/>
        </w:rPr>
        <w:t xml:space="preserve">Nos dados regerados, os modelos com janela de 10 e de 100 quadros foram treinados e comparados, e a janela de 100 foi adotada pelo sistema. Com ela, o macro-F1 é de 82,3% e a acurácia de 98,3%, contra macro-F1 de 75,7% com janela de 10. Num pcap benigno inteiro que o modelo não viu no treino, 1,9% das janelas são classificadas como ataque, contra 12,7% com janela de 10. </w:t>
      </w:r>
      <w:r>
        <w:rPr>
          <w:rFonts w:cs="Times;Sylfaen" w:ascii="Times;Sylfaen" w:hAnsi="Times;Sylfaen"/>
          <w:highlight w:val="yellow"/>
        </w:rPr>
        <w:t xml:space="preserve">[PENDENTE: números finais com mais sementes e a proporção de classes definida.]</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3.4 Justificativa do Random Forest</w:t>
      </w:r>
    </w:p>
    <w:p>
      <w:pPr>
        <w:pStyle w:val="Normal"/>
        <w:tabs>
          <w:tab w:val="clear" w:pos="708"/>
          <w:tab w:val="left" w:pos="720" w:leader="none"/>
        </w:tabs>
        <w:spacing w:before="120" w:after="0"/>
        <w:ind w:firstLine="708" w:end="0"/>
        <w:jc w:val="both"/>
      </w:pPr>
      <w:r>
        <w:rPr>
          <w:rFonts w:cs="Times;Sylfaen" w:ascii="Times;Sylfaen" w:hAnsi="Times;Sylfaen"/>
        </w:rPr>
        <w:t xml:space="preserve">O Random Forest foi escolhido, em vez de uma rede neural, por dois motivos: reproduz o baseline publicado pelos autores do dataset (NETO et al., 2023), que o situam entre os melhores modelos testados; e permite recuperar quais features pesaram em cada decisão. Essa explicabilidade é insumo direto do sistema multiagente, que usa as features mais relevantes de um incidente para compor a recomendação de mitigação. Uma rede neural entregaria apenas rótulo e confiança, sem essa rastreabilidade por decisão.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3.5 Servidor MCP e sistema multiagente</w:t>
      </w:r>
    </w:p>
    <w:p>
      <w:pPr>
        <w:pStyle w:val="Normal"/>
        <w:tabs>
          <w:tab w:val="clear" w:pos="708"/>
          <w:tab w:val="left" w:pos="720" w:leader="none"/>
        </w:tabs>
        <w:spacing w:before="120" w:after="0"/>
        <w:ind w:firstLine="708" w:end="0"/>
        <w:jc w:val="both"/>
      </w:pPr>
      <w:r>
        <w:rPr>
          <w:rFonts w:cs="Times;Sylfaen" w:ascii="Times;Sylfaen" w:hAnsi="Times;Sylfaen"/>
        </w:rPr>
        <w:t xml:space="preserve">O servidor MCP expõe nove ferramentas, divididas entre três agentes: triagem, decisão e execução. Os eventos são registrados em log, e a política de risco separa ações de baixo risco, executadas automaticamente, de ações de alto risco, que exigem aprovação humana, com teto de propostas pendentes por incidente para conter o custo em tokens. </w:t>
      </w:r>
      <w:r>
        <w:rPr>
          <w:rFonts w:cs="Times;Sylfaen" w:ascii="Times;Sylfaen" w:hAnsi="Times;Sylfaen"/>
          <w:highlight w:val="yellow"/>
        </w:rPr>
        <w:t xml:space="preserve">[PENDENTE: ligar à implementação real do servidor, hoje em stub.]</w:t>
      </w:r>
    </w:p>
    <w:p>
      <w:pPr>
        <w:pStyle w:val="Normal"/>
        <w:tabs>
          <w:tab w:val="clear" w:pos="708"/>
          <w:tab w:val="left" w:pos="720" w:leader="none"/>
        </w:tabs>
        <w:spacing w:before="120" w:after="0"/>
        <w:ind w:firstLine="708" w:end="0"/>
        <w:jc w:val="both"/>
      </w:pPr>
      <w:r>
        <w:rPr>
          <w:rFonts w:cs="Times;Sylfaen" w:ascii="Times;Sylfaen" w:hAnsi="Times;Sylfaen"/>
        </w:rPr>
        <w:t xml:space="preserve">A arquitetura é híbrida: os agentes de triagem e de execução, e a verificação do efeito, rodam num modelo local; só o agente de decisão pode usar um modelo de fronteira na nuvem, e recebe apenas o resumo da triagem, com endereços e nomes de dispositivo trocados por rótulos neutros. O agente de execução, local, desfaz a troca e é o único com credenciais. O orquestrador aceita três configurações (tudo local, tudo na nuvem e híbrida), e a comparação entre elas é resultado deste artigo. Isso responde ao ponto da banca sobre os riscos de IA em nuvem e a alternativa on-premises.</w:t>
      </w:r>
    </w:p>
    <w:p>
      <w:pPr>
        <w:pStyle w:val="Normal"/>
        <w:tabs>
          <w:tab w:val="clear" w:pos="708"/>
          <w:tab w:val="left" w:pos="720" w:leader="none"/>
        </w:tabs>
        <w:spacing w:before="120" w:after="0"/>
        <w:ind w:firstLine="708" w:end="0"/>
        <w:jc w:val="both"/>
      </w:pPr>
      <w:r>
        <w:rPr>
          <w:rFonts w:cs="Times;Sylfaen" w:ascii="Times;Sylfaen" w:hAnsi="Times;Sylfaen"/>
        </w:rPr>
        <w:t xml:space="preserve">O classificador avisa quem opera a rede no instante em que o incidente abre, antes dos agentes. Se a pessoa marca o incidente como já resolvido na interface, o agente de execução não aplica remediação e o sistema apenas explica o ocorrido. O log grava o instante de cada etapa, o que permite medir o tempo entre detecção e remediação, com e sem intervenção humana.</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[FIGURA 1: diagrama da arquitetura (captura, extrator, classificador, servidor MCP, agentes e interface). FIGURA 2: fluxo de um incidente com os instantes medidos.]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4. Resultados e discussão</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4.1 Resultados</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versão final do classificador (matriz de confusão, F1 por classe, alarme falso), métricas dos agentes (qualidade da recomendação, custo em tokens, tempo entre detecção e remediação) nos cenários DDoS, port scan e brute force, e comparação entre as configurações local, nuvem e híbrida. Figuras: matriz de confusão, teste da janela, janelas sem atacante e telas da interface.]</w:t>
      </w:r>
    </w:p>
    <w:p>
      <w:pPr>
        <w:pStyle w:val="Normal"/>
        <w:keepNext w:val="true"/>
        <w:tabs>
          <w:tab w:val="clear" w:pos="708"/>
          <w:tab w:val="left" w:pos="720" w:leader="none"/>
        </w:tabs>
        <w:spacing w:before="200" w:after="0"/>
        <w:outlineLvl w:val="1"/>
      </w:pPr>
      <w:r>
        <w:rPr>
          <w:rFonts w:cs="Times;Sylfaen" w:ascii="Times;Sylfaen" w:hAnsi="Times;Sylfaen"/>
          <w:b/>
          <w:bCs/>
          <w:sz w:val="24"/>
          <w:szCs w:val="24"/>
        </w:rPr>
        <w:t xml:space="preserve">4.2 Limitações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Atalho da janela no dataset oficial:</w:t>
      </w:r>
      <w:r>
        <w:rPr>
          <w:rFonts w:cs="Times;Sylfaen" w:ascii="Times;Sylfaen" w:hAnsi="Times;Sylfaen"/>
        </w:rPr>
        <w:t xml:space="preserve"> o modelo treinado no MERGED_CSV aprende o tamanho da janela, e não o comportamento do tráfego. A regeração em janela única resolve isso ao custo de treinar só com os pcaps disponíveis, e os resultados valem para a janela de 100.</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Tráfego de fundo rotulado como ataque:</w:t>
      </w:r>
      <w:r>
        <w:rPr>
          <w:rFonts w:cs="Times;Sylfaen" w:ascii="Times;Sylfaen" w:hAnsi="Times;Sylfaen"/>
        </w:rPr>
        <w:t xml:space="preserve"> entre 33% e 87% das janelas de 10 dos pcaps de Recon, Web, Spoofing e BruteForce não contêm nenhum quadro do atacante; a regeração descarta essas janelas, e por isso Web e BruteForce ficam com poucos exemplos.</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Web e BruteForce:</w:t>
      </w:r>
      <w:r>
        <w:rPr>
          <w:rFonts w:cs="Times;Sylfaen" w:ascii="Times;Sylfaen" w:hAnsi="Times;Sylfaen"/>
        </w:rPr>
        <w:t xml:space="preserve"> recall entre 35% e 37% nos dados regerados, confundidos com Recon e com tráfego benigno.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Cenários da prova de conceito:</w:t>
      </w:r>
      <w:r>
        <w:rPr>
          <w:rFonts w:cs="Times;Sylfaen" w:ascii="Times;Sylfaen" w:hAnsi="Times;Sylfaen"/>
        </w:rPr>
        <w:t xml:space="preserve"> DDoS, port scan e brute force. O cenário de exfiltração foi retirado, pois o CICIoT2023 não tem essa classe, e o trabalho usa apenas esse dataset.</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Teste por arquivo inteiro:</w:t>
      </w:r>
      <w:r>
        <w:rPr>
          <w:rFonts w:cs="Times;Sylfaen" w:ascii="Times;Sylfaen" w:hAnsi="Times;Sylfaen"/>
        </w:rPr>
        <w:t xml:space="preserve"> só BenignTraffic, DDoS-SYN_Flood e DoS-SYN_Flood têm uma segunda captura reservada ao teste; nas demais classes, a divisão é por tempo dentro do mesmo pcap, o que tende a superestimar o resultado.</w:t>
      </w:r>
    </w:p>
    <w:p>
      <w:pPr>
        <w:pStyle w:val="PargrafodaLista"/>
        <w:numPr>
          <w:ilvl w:val="0"/>
          <w:numId w:val="2"/>
        </w:numPr>
        <w:spacing w:before="120" w:after="0"/>
        <w:ind w:hanging="357" w:start="1066" w:end="0"/>
        <w:contextualSpacing/>
        <w:jc w:val="both"/>
      </w:pPr>
      <w:r>
        <w:rPr>
          <w:rFonts w:cs="Times;Sylfaen" w:ascii="Times;Sylfaen" w:hAnsi="Times;Sylfaen"/>
          <w:b/>
          <w:bCs/>
        </w:rPr>
        <w:t xml:space="preserve">Modelo local:</w:t>
      </w:r>
      <w:r>
        <w:rPr>
          <w:rFonts w:cs="Times;Sylfaen" w:ascii="Times;Sylfaen" w:hAnsi="Times;Sylfaen"/>
        </w:rPr>
        <w:t xml:space="preserve"> os agentes de triagem e de execução rodam num modelo de 8 bilhões de parâmetros, mais fraco que o de fronteira; a comparação entre as configurações mede esse custo.</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5. Conclusão</w:t>
      </w:r>
    </w:p>
    <w:p>
      <w:pPr>
        <w:pStyle w:val="Normal"/>
        <w:tabs>
          <w:tab w:val="clear" w:pos="708"/>
          <w:tab w:val="left" w:pos="720" w:leader="none"/>
        </w:tabs>
        <w:spacing w:before="120" w:after="0"/>
        <w:ind w:firstLine="708" w:end="0"/>
        <w:jc w:val="both"/>
      </w:pPr>
      <w:r>
        <w:rPr>
          <w:rFonts w:cs="Times;Sylfaen" w:ascii="Times;Sylfaen" w:hAnsi="Times;Sylfaen"/>
          <w:highlight w:val="yellow"/>
        </w:rPr>
        <w:t xml:space="preserve">[PENDENTE: escrever por último: retomar problema e objetivos, responder à pergunta de pesquisa com os resultados, contribuições, limitações (seção 4.2) e trabalhos futuros, como captura ao vivo, dataset próprio e a ação de revogação de credenciais.]</w:t>
      </w:r>
    </w:p>
    <w:p>
      <w:pPr>
        <w:pStyle w:val="Normal"/>
        <w:keepNext w:val="true"/>
        <w:tabs>
          <w:tab w:val="clear" w:pos="708"/>
          <w:tab w:val="left" w:pos="720" w:leader="none"/>
        </w:tabs>
        <w:spacing w:before="240" w:after="0"/>
        <w:outlineLvl w:val="0"/>
      </w:pPr>
      <w:r>
        <w:rPr>
          <w:rFonts w:cs="Times;Sylfaen" w:ascii="Times;Sylfaen" w:hAnsi="Times;Sylfaen"/>
          <w:b/>
          <w:bCs/>
          <w:sz w:val="28"/>
          <w:szCs w:val="28"/>
        </w:rPr>
        <w:t xml:space="preserve">6. Referências bibliográficas</w:t>
      </w:r>
    </w:p>
    <w:p>
      <w:pPr>
        <w:pStyle w:val="Normal"/>
        <w:tabs>
          <w:tab w:val="clear" w:pos="708"/>
          <w:tab w:val="left" w:pos="720" w:leader="none"/>
        </w:tabs>
        <w:spacing w:before="120" w:after="0"/>
        <w:jc w:val="left"/>
      </w:pPr>
      <w:r>
        <w:rPr>
          <w:rFonts w:cs="Times;Sylfaen" w:ascii="Times;Sylfaen" w:hAnsi="Times;Sylfaen"/>
        </w:rPr>
        <w:t xml:space="preserve">CANADIAN INSTITUTE FOR CYBERSECURITY. </w:t>
      </w:r>
      <w:r>
        <w:rPr>
          <w:rFonts w:cs="Times;Sylfaen" w:ascii="Times;Sylfaen" w:hAnsi="Times;Sylfaen"/>
          <w:b/>
          <w:bCs/>
        </w:rPr>
        <w:t xml:space="preserve">CIC IoT Dataset 2023</w:t>
      </w:r>
      <w:r>
        <w:rPr>
          <w:rFonts w:cs="Times;Sylfaen" w:ascii="Times;Sylfaen" w:hAnsi="Times;Sylfaen"/>
        </w:rPr>
        <w:t xml:space="preserve">. Fredericton: University of New Brunswick, 2023. Disponível em: https://cicresearch.ca/IOTDataset/CIC_IOT_Dataset2023/. Acesso em: 11 out. 2026.</w:t>
      </w:r>
    </w:p>
    <w:p>
      <w:pPr>
        <w:pStyle w:val="Normal"/>
        <w:tabs>
          <w:tab w:val="clear" w:pos="708"/>
          <w:tab w:val="left" w:pos="720" w:leader="none"/>
        </w:tabs>
        <w:spacing w:before="120" w:after="0"/>
        <w:jc w:val="left"/>
      </w:pPr>
      <w:r>
        <w:rPr>
          <w:rFonts w:cs="Times;Sylfaen" w:ascii="Times;Sylfaen" w:hAnsi="Times;Sylfaen"/>
        </w:rPr>
        <w:t xml:space="preserve">DARKTRACE. </w:t>
      </w:r>
      <w:r>
        <w:rPr>
          <w:rFonts w:cs="Times;Sylfaen" w:ascii="Times;Sylfaen" w:hAnsi="Times;Sylfaen"/>
          <w:b/>
          <w:bCs/>
        </w:rPr>
        <w:t xml:space="preserve">Darktrace leading the future of network detection and response with recognition from KuppingerCole</w:t>
      </w:r>
      <w:r>
        <w:rPr>
          <w:rFonts w:cs="Times;Sylfaen" w:ascii="Times;Sylfaen" w:hAnsi="Times;Sylfaen"/>
        </w:rPr>
        <w:t xml:space="preserve">. 2024. Disponível em: https://www.darktrace.com/blog/darktrace-leading-the-future-of-network-detection-and-response-with-recognition-from-kuppingercole. Acesso em: 11 out. 2026. </w:t>
      </w:r>
      <w:r>
        <w:rPr>
          <w:rFonts w:cs="Times;Sylfaen" w:ascii="Times;Sylfaen" w:hAnsi="Times;Sylfaen"/>
          <w:highlight w:val="yellow"/>
        </w:rPr>
        <w:t xml:space="preserve">[CONFERIR ano]</w:t>
      </w:r>
    </w:p>
    <w:p>
      <w:pPr>
        <w:pStyle w:val="Normal"/>
        <w:tabs>
          <w:tab w:val="clear" w:pos="708"/>
          <w:tab w:val="left" w:pos="720" w:leader="none"/>
        </w:tabs>
        <w:spacing w:before="120" w:after="0"/>
        <w:jc w:val="left"/>
      </w:pPr>
      <w:r>
        <w:rPr>
          <w:rFonts w:cs="Times;Sylfaen" w:ascii="Times;Sylfaen" w:hAnsi="Times;Sylfaen"/>
        </w:rPr>
        <w:t xml:space="preserve">DOMÉNECH, J. et al. Evaluating and enhancing intrusion detection systems in IoMT: the importance of domain-specific datasets. </w:t>
      </w:r>
      <w:r>
        <w:rPr>
          <w:rFonts w:cs="Times;Sylfaen" w:ascii="Times;Sylfaen" w:hAnsi="Times;Sylfaen"/>
          <w:b/>
          <w:bCs/>
        </w:rPr>
        <w:t xml:space="preserve">Internet of Things</w:t>
      </w:r>
      <w:r>
        <w:rPr>
          <w:rFonts w:cs="Times;Sylfaen" w:ascii="Times;Sylfaen" w:hAnsi="Times;Sylfaen"/>
        </w:rPr>
        <w:t xml:space="preserve">, 2025. Disponível em: https://www.sciencedirect.com/science/article/pii/S2542660525001453. Acesso em: 11 out. 2026. </w:t>
      </w:r>
      <w:r>
        <w:rPr>
          <w:rFonts w:cs="Times;Sylfaen" w:ascii="Times;Sylfaen" w:hAnsi="Times;Sylfaen"/>
          <w:highlight w:val="yellow"/>
        </w:rPr>
        <w:t xml:space="preserve">[CONFERIR autores, volume e número do artigo]</w:t>
      </w:r>
    </w:p>
    <w:p>
      <w:pPr>
        <w:pStyle w:val="Normal"/>
        <w:tabs>
          <w:tab w:val="clear" w:pos="708"/>
          <w:tab w:val="left" w:pos="720" w:leader="none"/>
        </w:tabs>
        <w:spacing w:before="120" w:after="0"/>
        <w:jc w:val="left"/>
      </w:pPr>
      <w:r>
        <w:rPr>
          <w:rFonts w:cs="Times;Sylfaen" w:ascii="Times;Sylfaen" w:hAnsi="Times;Sylfaen"/>
        </w:rPr>
        <w:t xml:space="preserve">ENGELEN, G.; RIMMER, V.; JOOSEN, W. Troubleshooting an intrusion detection dataset: the CICIDS2017 case study. In: IEEE SECURITY AND PRIVACY WORKSHOPS (SPW), 2021, San Francisco. </w:t>
      </w:r>
      <w:r>
        <w:rPr>
          <w:rFonts w:cs="Times;Sylfaen" w:ascii="Times;Sylfaen" w:hAnsi="Times;Sylfaen"/>
          <w:b/>
          <w:bCs/>
        </w:rPr>
        <w:t xml:space="preserve">Proceedings</w:t>
      </w:r>
      <w:r>
        <w:rPr>
          <w:rFonts w:cs="Times;Sylfaen" w:ascii="Times;Sylfaen" w:hAnsi="Times;Sylfaen"/>
        </w:rPr>
        <w:t xml:space="preserve"> [...]. [S. l.]: IEEE, 2021. p. 7-12. DOI: 10.1109/SPW53761.2021.00009.</w:t>
      </w:r>
    </w:p>
    <w:p>
      <w:pPr>
        <w:pStyle w:val="Normal"/>
        <w:tabs>
          <w:tab w:val="clear" w:pos="708"/>
          <w:tab w:val="left" w:pos="720" w:leader="none"/>
        </w:tabs>
        <w:spacing w:before="120" w:after="0"/>
        <w:jc w:val="left"/>
      </w:pPr>
      <w:r>
        <w:rPr>
          <w:rFonts w:cs="Times;Sylfaen" w:ascii="Times;Sylfaen" w:hAnsi="Times;Sylfaen"/>
        </w:rPr>
        <w:t xml:space="preserve">KELLY, D.; GLAVIN, F. G.; BARRETT, E. </w:t>
      </w:r>
      <w:r>
        <w:rPr>
          <w:rFonts w:cs="Times;Sylfaen" w:ascii="Times;Sylfaen" w:hAnsi="Times;Sylfaen"/>
          <w:b/>
          <w:bCs/>
        </w:rPr>
        <w:t xml:space="preserve">Denial of Wallet</w:t>
      </w:r>
      <w:r>
        <w:rPr>
          <w:rFonts w:cs="Times;Sylfaen" w:ascii="Times;Sylfaen" w:hAnsi="Times;Sylfaen"/>
        </w:rPr>
        <w:t xml:space="preserve">: defining a looming threat to serverless computing. arXiv, 2021. Disponível em: https://arxiv.org/abs/2104.08031. Acesso em: 11 out. 2026.</w:t>
      </w:r>
    </w:p>
    <w:p>
      <w:pPr>
        <w:pStyle w:val="Normal"/>
        <w:tabs>
          <w:tab w:val="clear" w:pos="708"/>
          <w:tab w:val="left" w:pos="720" w:leader="none"/>
        </w:tabs>
        <w:spacing w:before="120" w:after="0"/>
        <w:jc w:val="left"/>
      </w:pPr>
      <w:r>
        <w:rPr>
          <w:rFonts w:cs="Times;Sylfaen" w:ascii="Times;Sylfaen" w:hAnsi="Times;Sylfaen"/>
        </w:rPr>
        <w:t xml:space="preserve">LIU, L.; ENGELEN, G.; LYNAR, T.; ESSAM, D.; JOOSEN, W. Error prevalence in NIDS datasets: a case study on CIC-IDS-2017 and CSE-CIC-IDS-2018. In: IEEE CONFERENCE ON COMMUNICATIONS AND NETWORK SECURITY (CNS), 2022, Austin. </w:t>
      </w:r>
      <w:r>
        <w:rPr>
          <w:rFonts w:cs="Times;Sylfaen" w:ascii="Times;Sylfaen" w:hAnsi="Times;Sylfaen"/>
          <w:b/>
          <w:bCs/>
        </w:rPr>
        <w:t xml:space="preserve">Proceedings</w:t>
      </w:r>
      <w:r>
        <w:rPr>
          <w:rFonts w:cs="Times;Sylfaen" w:ascii="Times;Sylfaen" w:hAnsi="Times;Sylfaen"/>
        </w:rPr>
        <w:t xml:space="preserve"> [...]. [S. l.]: IEEE, 2022. p. 254-263. DOI: 10.1109/CNS56114.2022.9947235.</w:t>
      </w:r>
    </w:p>
    <w:p>
      <w:pPr>
        <w:pStyle w:val="Normal"/>
        <w:tabs>
          <w:tab w:val="clear" w:pos="708"/>
          <w:tab w:val="left" w:pos="720" w:leader="none"/>
        </w:tabs>
        <w:spacing w:before="120" w:after="0"/>
        <w:jc w:val="left"/>
      </w:pPr>
      <w:r>
        <w:rPr>
          <w:rFonts w:cs="Times;Sylfaen" w:ascii="Times;Sylfaen" w:hAnsi="Times;Sylfaen"/>
        </w:rPr>
        <w:t xml:space="preserve">NETO, E. C. P.; DADKHAH, S.; FERREIRA, R.; ZOHOURIAN, A.; LU, R.; GHORBANI, A. A. CICIoT2023: a real-time dataset and benchmark for large-scale attacks in IoT environment. </w:t>
      </w:r>
      <w:r>
        <w:rPr>
          <w:rFonts w:cs="Times;Sylfaen" w:ascii="Times;Sylfaen" w:hAnsi="Times;Sylfaen"/>
          <w:b/>
          <w:bCs/>
        </w:rPr>
        <w:t xml:space="preserve">Sensors</w:t>
      </w:r>
      <w:r>
        <w:rPr>
          <w:rFonts w:cs="Times;Sylfaen" w:ascii="Times;Sylfaen" w:hAnsi="Times;Sylfaen"/>
        </w:rPr>
        <w:t xml:space="preserve">, v. 23, n. 13, 5941, 2023. DOI: 10.3390/s23135941.</w:t>
      </w:r>
    </w:p>
    <w:p>
      <w:pPr>
        <w:pStyle w:val="Normal"/>
        <w:tabs>
          <w:tab w:val="clear" w:pos="708"/>
          <w:tab w:val="left" w:pos="720" w:leader="none"/>
        </w:tabs>
        <w:spacing w:before="120" w:after="0"/>
        <w:jc w:val="left"/>
      </w:pPr>
      <w:r>
        <w:rPr>
          <w:rFonts w:cs="Times;Sylfaen" w:ascii="Times;Sylfaen" w:hAnsi="Times;Sylfaen"/>
        </w:rPr>
        <w:t xml:space="preserve">NETSKOPE. </w:t>
      </w:r>
      <w:r>
        <w:rPr>
          <w:rFonts w:cs="Times;Sylfaen" w:ascii="Times;Sylfaen" w:hAnsi="Times;Sylfaen"/>
          <w:b/>
          <w:bCs/>
        </w:rPr>
        <w:t xml:space="preserve">Netskope introduces SkopeAI</w:t>
      </w:r>
      <w:r>
        <w:rPr>
          <w:rFonts w:cs="Times;Sylfaen" w:ascii="Times;Sylfaen" w:hAnsi="Times;Sylfaen"/>
        </w:rPr>
        <w:t xml:space="preserve">: revolutionary AI-driven security for the future of data protection and cyber threat defense. 25 jul. 2023. Disponível em: https://www.netskope.com/fr/press-releases/netskope-introduces-skopeai-revolutionary-ai-driven-security-for-the-future-of-data-protection-and-cyber-threat-defense. Acesso em: 11 out. 2026.</w:t>
      </w:r>
    </w:p>
    <w:p>
      <w:pPr>
        <w:pStyle w:val="Normal"/>
        <w:tabs>
          <w:tab w:val="clear" w:pos="708"/>
          <w:tab w:val="left" w:pos="720" w:leader="none"/>
        </w:tabs>
        <w:spacing w:before="120" w:after="0"/>
        <w:jc w:val="left"/>
      </w:pPr>
      <w:r>
        <w:rPr>
          <w:rFonts w:cs="Times;Sylfaen" w:ascii="Times;Sylfaen" w:hAnsi="Times;Sylfaen"/>
        </w:rPr>
        <w:t xml:space="preserve">OLIVEIRA, B. S.; GREGORIN, M. Q.; ROLING, J. V.; GUIMARÃES, P. H. C. </w:t>
      </w:r>
      <w:r>
        <w:rPr>
          <w:rFonts w:cs="Times;Sylfaen" w:ascii="Times;Sylfaen" w:hAnsi="Times;Sylfaen"/>
          <w:b/>
          <w:bCs/>
        </w:rPr>
        <w:t xml:space="preserve">SentryIoT</w:t>
      </w:r>
      <w:r>
        <w:rPr>
          <w:rFonts w:cs="Times;Sylfaen" w:ascii="Times;Sylfaen" w:hAnsi="Times;Sylfaen"/>
        </w:rPr>
        <w:t xml:space="preserve">: MultiAgent NIDR. [S. l.]: GitHub, 2026. Repositório de código. Disponível em: https://github.com/stermiix/SentryIoT. Acesso em: 11 out. 2026.</w:t>
      </w:r>
    </w:p>
    <w:p>
      <w:pPr>
        <w:pStyle w:val="Normal"/>
        <w:tabs>
          <w:tab w:val="clear" w:pos="708"/>
          <w:tab w:val="left" w:pos="720" w:leader="none"/>
        </w:tabs>
        <w:spacing w:before="120" w:after="0"/>
        <w:jc w:val="left"/>
      </w:pPr>
      <w:r>
        <w:rPr>
          <w:rFonts w:cs="Times;Sylfaen" w:ascii="Times;Sylfaen" w:hAnsi="Times;Sylfaen"/>
        </w:rPr>
        <w:t xml:space="preserve">VECTRA AI. </w:t>
      </w:r>
      <w:r>
        <w:rPr>
          <w:rFonts w:cs="Times;Sylfaen" w:ascii="Times;Sylfaen" w:hAnsi="Times;Sylfaen"/>
          <w:b/>
          <w:bCs/>
        </w:rPr>
        <w:t xml:space="preserve">Vectra advances security AI to deliver Attack Signal Intelligence</w:t>
      </w:r>
      <w:r>
        <w:rPr>
          <w:rFonts w:cs="Times;Sylfaen" w:ascii="Times;Sylfaen" w:hAnsi="Times;Sylfaen"/>
        </w:rPr>
        <w:t xml:space="preserve">. Dark Reading, 12 out. 2022. Disponível em: https://www.darkreading.com/operations/vectra-advances-security-ai-to-deliver-attack-signal-intelligence-empowering-security-teams-to-investigate-and-respond-to-attacks-in-real-time. Acesso em: 11 out. 2026.</w:t>
      </w:r>
    </w:p>
    <w:p>
      <w:pPr>
        <w:pStyle w:val="Normal"/>
        <w:tabs>
          <w:tab w:val="clear" w:pos="708"/>
          <w:tab w:val="left" w:pos="720" w:leader="none"/>
        </w:tabs>
        <w:spacing w:before="120" w:after="0"/>
        <w:jc w:val="left"/>
      </w:pPr>
      <w:r>
        <w:rPr>
          <w:rFonts w:cs="Times;Sylfaen" w:ascii="Times;Sylfaen" w:hAnsi="Times;Sylfaen"/>
          <w:highlight w:val="yellow"/>
        </w:rPr>
        <w:t xml:space="preserve">[PENDENTE: acrescentar as referências do TCC I que continuarem citadas (por exemplo, FERRAG et al., 2024).]</w:t>
      </w:r>
    </w:p>
    <w:sectPr>
      <w:type w:val="continuous"/>
      <w:pgSz w:w="11906" w:h="16838"/>
      <w:pgMar w:left="1418" w:right="1134" w:gutter="0" w:header="709" w:top="1843" w:footer="0" w:bottom="1247"/>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Helvetica">
    <w:altName w:val="Arial"/>
    <w:charset w:val="00" w:characterSet="windows-1252"/>
    <w:family w:val="swiss"/>
    <w:pitch w:val="variable"/>
  </w:font>
  <w:font w:name="Helvetica-Black">
    <w:altName w:val="Times New Roman"/>
    <w:charset w:val="00" w:characterSet="windows-1252"/>
    <w:family w:val="swiss"/>
    <w:pitch w:val="variable"/>
  </w:font>
  <w:font w:name="Arial Narrow">
    <w:charset w:val="00" w:characterSet="windows-1252"/>
    <w:family w:val="swiss"/>
    <w:pitch w:val="variable"/>
  </w:font>
  <w:font w:name="Times">
    <w:altName w:val="Times New Roman"/>
    <w:charset w:val="00" w:characterSet="windows-1252"/>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Arial" w:hAnsi="Arial" w:cs="Arial"/>
        <w:b/>
        <w:bCs/>
        <w:sz w:val="20"/>
      </w:rPr>
    </w:pPr>
    <w:r>
      <w:rPr>
        <w:rFonts w:cs="Arial" w:ascii="Arial" w:hAnsi="Arial"/>
        <w:b/>
        <w:bCs/>
        <w:sz w:val="16"/>
        <w:szCs w:val="16"/>
      </w:rPr>
      <w:drawing>
        <wp:inline distT="0" distB="0" distL="0" distR="0">
          <wp:extent cx="2527935" cy="55435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3" t="-15" r="-3" b="-15"/>
                  <a:stretch>
                    <a:fillRect/>
                  </a:stretch>
                </pic:blipFill>
                <pic:spPr bwMode="auto">
                  <a:xfrm>
                    <a:off x="0" y="0"/>
                    <a:ext cx="2527935" cy="554355"/>
                  </a:xfrm>
                  <a:prstGeom prst="rect">
                    <a:avLst/>
                  </a:prstGeom>
                </pic:spPr>
              </pic:pic>
            </a:graphicData>
          </a:graphic>
        </wp:inline>
      </w:drawing>
      <mc:AlternateContent>
        <mc:Choice Requires="wps">
          <w:drawing>
            <wp:anchor behindDoc="1" distT="0" distB="0" distL="114935" distR="114935" simplePos="0" locked="0" layoutInCell="1" allowOverlap="1" relativeHeight="11">
              <wp:simplePos x="0" y="0"/>
              <wp:positionH relativeFrom="column">
                <wp:posOffset>21590</wp:posOffset>
              </wp:positionH>
              <wp:positionV relativeFrom="paragraph">
                <wp:posOffset>563245</wp:posOffset>
              </wp:positionV>
              <wp:extent cx="5920105" cy="1270"/>
              <wp:effectExtent l="635" t="6350" r="635" b="6350"/>
              <wp:wrapNone/>
              <wp:docPr id="2" name=""/>
              <a:graphic xmlns:a="http://schemas.openxmlformats.org/drawingml/2006/main">
                <a:graphicData uri="http://schemas.microsoft.com/office/word/2010/wordprocessingShape">
                  <wps:wsp>
                    <wps:cNvCnPr/>
                    <wps:spPr>
                      <a:xfrm>
                        <a:off x="0" y="0"/>
                        <a:ext cx="5920560" cy="1440"/>
                      </a:xfrm>
                      <a:prstGeom prst="straightConnector1">
                        <a:avLst/>
                      </a:prstGeom>
                      <a:ln w="12600">
                        <a:solidFill>
                          <a:srgbClr val="ff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7pt;margin-top:44.35pt;width:466.15pt;height:0.05pt" type="_x0000_t32">
              <v:stroke color="red" weight="12600" joinstyle="miter" endcap="flat"/>
              <v:fill o:detectmouseclick="t" on="false"/>
              <w10:wrap type="none"/>
            </v:shape>
          </w:pict>
        </mc:Fallback>
      </mc:AlternateContent>
    </w:r>
  </w:p>
  <w:p>
    <w:pPr>
      <w:pStyle w:val="Header"/>
      <w:rPr>
        <w:rFonts w:ascii="Arial" w:hAnsi="Arial" w:cs="Arial"/>
        <w:b/>
        <w:bCs/>
        <w:sz w:val="20"/>
      </w:rPr>
    </w:pPr>
    <w:r>
      <w:rPr>
        <w:rFonts w:cs="Arial" w:ascii="Arial" w:hAnsi="Arial"/>
        <w:b/>
        <w:bCs/>
        <w:sz w:val="20"/>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1"/>
      <w:numFmt w:val="bullet"/>
      <w:lvlText w:val=""/>
      <w:lvlJc w:val="start"/>
      <w:pPr>
        <w:tabs>
          <w:tab w:val="num" w:pos="717"/>
        </w:tabs>
        <w:ind w:start="717"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pt-BR" w:bidi="ar-SA" w:eastAsia="zh-CN"/>
    </w:rPr>
  </w:style>
  <w:style w:type="paragraph" w:styleId="Heading1">
    <w:name w:val="Heading 1"/>
    <w:basedOn w:val="Normal"/>
    <w:next w:val="Normal"/>
    <w:qFormat/>
    <w:pPr>
      <w:keepNext w:val="true"/>
      <w:numPr>
        <w:ilvl w:val="0"/>
        <w:numId w:val="1"/>
      </w:numPr>
      <w:spacing w:lineRule="auto" w:line="276" w:before="240" w:after="60"/>
      <w:outlineLvl w:val="0"/>
    </w:pPr>
    <w:rPr>
      <w:rFonts w:ascii="Cambria" w:hAnsi="Cambria" w:cs="Cambria"/>
      <w:b/>
      <w:bCs/>
      <w:kern w:val="2"/>
      <w:sz w:val="32"/>
      <w:szCs w:val="32"/>
    </w:rPr>
  </w:style>
  <w:style w:type="paragraph" w:styleId="Heading2">
    <w:name w:val="Heading 2"/>
    <w:basedOn w:val="Normal"/>
    <w:next w:val="Normal"/>
    <w:qFormat/>
    <w:pPr>
      <w:keepNext w:val="true"/>
      <w:numPr>
        <w:ilvl w:val="1"/>
        <w:numId w:val="1"/>
      </w:numPr>
      <w:jc w:val="both"/>
      <w:outlineLvl w:val="1"/>
    </w:pPr>
    <w:rPr>
      <w:rFonts w:ascii="Arial" w:hAnsi="Arial" w:cs="Arial"/>
      <w:b/>
      <w:sz w:val="28"/>
      <w:szCs w:val="20"/>
    </w:rPr>
  </w:style>
  <w:style w:type="paragraph" w:styleId="Heading3">
    <w:name w:val="Heading 3"/>
    <w:basedOn w:val="Normal"/>
    <w:next w:val="Normal"/>
    <w:qFormat/>
    <w:pPr>
      <w:keepNext w:val="true"/>
      <w:numPr>
        <w:ilvl w:val="2"/>
        <w:numId w:val="1"/>
      </w:numPr>
      <w:spacing w:before="240" w:after="60"/>
      <w:outlineLvl w:val="2"/>
    </w:pPr>
    <w:rPr>
      <w:rFonts w:ascii="Cambria" w:hAnsi="Cambria" w:cs="Cambria"/>
      <w:b/>
      <w:bCs/>
      <w:sz w:val="26"/>
      <w:szCs w:val="26"/>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 w:val="26"/>
      <w:szCs w:val="26"/>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style>
  <w:style w:type="character" w:styleId="WW8Num3z0">
    <w:name w:val="WW8Num3z0"/>
    <w:qFormat/>
    <w:rPr>
      <w:b w:val="false"/>
    </w:rPr>
  </w:style>
  <w:style w:type="character" w:styleId="WW8Num4z0">
    <w:name w:val="WW8Num4z0"/>
    <w:qFormat/>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9z0">
    <w:name w:val="WW8Num9z0"/>
    <w:qFormat/>
    <w:rPr>
      <w:b/>
      <w:i w:val="false"/>
    </w:rPr>
  </w:style>
  <w:style w:type="character" w:styleId="WW8Num11z0">
    <w:name w:val="WW8Num11z0"/>
    <w:qFormat/>
    <w:rPr/>
  </w:style>
  <w:style w:type="character" w:styleId="WW8Num11z1">
    <w:name w:val="WW8Num11z1"/>
    <w:qFormat/>
    <w:rPr>
      <w:rFonts w:cs="Arial"/>
    </w:rPr>
  </w:style>
  <w:style w:type="character" w:styleId="WW8Num12z0">
    <w:name w:val="WW8Num12z0"/>
    <w:qFormat/>
    <w:rPr>
      <w:b/>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WW8Num14z0">
    <w:name w:val="WW8Num14z0"/>
    <w:qFormat/>
    <w:rPr>
      <w:b/>
    </w:rPr>
  </w:style>
  <w:style w:type="character" w:styleId="WW8Num15z0">
    <w:name w:val="WW8Num15z0"/>
    <w:qFormat/>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b/>
    </w:rPr>
  </w:style>
  <w:style w:type="character" w:styleId="WW8Num19z0">
    <w:name w:val="WW8Num19z0"/>
    <w:qFormat/>
    <w:rPr/>
  </w:style>
  <w:style w:type="character" w:styleId="WW8Num20z0">
    <w:name w:val="WW8Num20z0"/>
    <w:qFormat/>
    <w:rPr/>
  </w:style>
  <w:style w:type="character" w:styleId="WW8Num21z0">
    <w:name w:val="WW8Num21z0"/>
    <w:qFormat/>
    <w:rPr>
      <w:b/>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style>
  <w:style w:type="character" w:styleId="WW8Num27z0">
    <w:name w:val="WW8Num27z0"/>
    <w:qFormat/>
    <w:rPr/>
  </w:style>
  <w:style w:type="character" w:styleId="WW8Num28z0">
    <w:name w:val="WW8Num28z0"/>
    <w:qFormat/>
    <w:rPr/>
  </w:style>
  <w:style w:type="character" w:styleId="WW8Num29z0">
    <w:name w:val="WW8Num29z0"/>
    <w:qFormat/>
    <w:rPr>
      <w:rFonts w:ascii="Calibri" w:hAnsi="Calibri" w:cs="Arial"/>
    </w:rPr>
  </w:style>
  <w:style w:type="character" w:styleId="WW8Num30z0">
    <w:name w:val="WW8Num30z0"/>
    <w:qFormat/>
    <w:rPr/>
  </w:style>
  <w:style w:type="character" w:styleId="WW8Num31z0">
    <w:name w:val="WW8Num31z0"/>
    <w:qFormat/>
    <w:rPr/>
  </w:style>
  <w:style w:type="character" w:styleId="WW8Num33z0">
    <w:name w:val="WW8Num33z0"/>
    <w:qFormat/>
    <w:rPr>
      <w:b/>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Fontepargpadro">
    <w:name w:val="Fonte parág. padrão"/>
    <w:qFormat/>
    <w:rPr/>
  </w:style>
  <w:style w:type="character" w:styleId="Ttulo2Char">
    <w:name w:val="Título 2 Char"/>
    <w:qFormat/>
    <w:rPr>
      <w:rFonts w:ascii="Arial" w:hAnsi="Arial" w:cs="Arial"/>
      <w:b/>
      <w:sz w:val="28"/>
      <w:lang w:val="pt-BR"/>
    </w:rPr>
  </w:style>
  <w:style w:type="character" w:styleId="CorpodetextoChar">
    <w:name w:val="Corpo de texto Char"/>
    <w:qFormat/>
    <w:rPr>
      <w:sz w:val="24"/>
      <w:szCs w:val="24"/>
      <w:lang w:val="pt-BR"/>
    </w:rPr>
  </w:style>
  <w:style w:type="character" w:styleId="Hyperlink">
    <w:name w:val="Hyperlink"/>
    <w:rPr>
      <w:color w:val="0000FF"/>
      <w:u w:val="single"/>
    </w:rPr>
  </w:style>
  <w:style w:type="character" w:styleId="RodapChar">
    <w:name w:val="Rodapé Char"/>
    <w:qFormat/>
    <w:rPr>
      <w:sz w:val="24"/>
      <w:szCs w:val="24"/>
    </w:rPr>
  </w:style>
  <w:style w:type="character" w:styleId="TextosemFormataoChar">
    <w:name w:val="Texto sem Formatação Char"/>
    <w:qFormat/>
    <w:rPr>
      <w:rFonts w:ascii="Calibri" w:hAnsi="Calibri" w:eastAsia="Calibri" w:cs="Calibri"/>
      <w:sz w:val="22"/>
      <w:szCs w:val="21"/>
    </w:rPr>
  </w:style>
  <w:style w:type="character" w:styleId="RecuodecorpodetextoChar">
    <w:name w:val="Recuo de corpo de texto Char"/>
    <w:qFormat/>
    <w:rPr>
      <w:rFonts w:ascii="Arial" w:hAnsi="Arial" w:cs="Arial"/>
      <w:b/>
      <w:sz w:val="28"/>
    </w:rPr>
  </w:style>
  <w:style w:type="character" w:styleId="Ttulo3Char">
    <w:name w:val="Título 3 Char"/>
    <w:qFormat/>
    <w:rPr>
      <w:rFonts w:ascii="Cambria" w:hAnsi="Cambria" w:eastAsia="Times New Roman" w:cs="Times New Roman"/>
      <w:b/>
      <w:bCs/>
      <w:sz w:val="26"/>
      <w:szCs w:val="26"/>
    </w:rPr>
  </w:style>
  <w:style w:type="character" w:styleId="TtuloChar">
    <w:name w:val="Título Char"/>
    <w:qFormat/>
    <w:rPr>
      <w:rFonts w:ascii="Arial" w:hAnsi="Arial" w:cs="Arial"/>
      <w:sz w:val="28"/>
      <w:lang w:val="en-US"/>
    </w:rPr>
  </w:style>
  <w:style w:type="character" w:styleId="CabealhoChar">
    <w:name w:val="Cabeçalho Char"/>
    <w:qFormat/>
    <w:rPr>
      <w:sz w:val="24"/>
      <w:szCs w:val="24"/>
    </w:rPr>
  </w:style>
  <w:style w:type="character" w:styleId="Ttulo1Char">
    <w:name w:val="Título 1 Char"/>
    <w:qFormat/>
    <w:rPr>
      <w:rFonts w:ascii="Cambria" w:hAnsi="Cambria" w:cs="Cambria"/>
      <w:b/>
      <w:bCs/>
      <w:kern w:val="2"/>
      <w:sz w:val="32"/>
      <w:szCs w:val="32"/>
    </w:rPr>
  </w:style>
  <w:style w:type="character" w:styleId="Ttulo5Char">
    <w:name w:val="Título 5 Char"/>
    <w:qFormat/>
    <w:rPr>
      <w:rFonts w:ascii="Calibri" w:hAnsi="Calibri" w:eastAsia="Times New Roman" w:cs="Times New Roman"/>
      <w:b/>
      <w:bCs/>
      <w:i/>
      <w:iCs/>
      <w:sz w:val="26"/>
      <w:szCs w:val="26"/>
    </w:rPr>
  </w:style>
  <w:style w:type="character" w:styleId="Recuodecorpodetexto2Char">
    <w:name w:val="Recuo de corpo de texto 2 Char"/>
    <w:qFormat/>
    <w:rPr>
      <w:sz w:val="24"/>
      <w:szCs w:val="24"/>
    </w:rPr>
  </w:style>
  <w:style w:type="character" w:styleId="Strong">
    <w:name w:val="Strong"/>
    <w:qFormat/>
    <w:rPr>
      <w:b/>
      <w:bCs/>
    </w:rPr>
  </w:style>
  <w:style w:type="character" w:styleId="EditalChar">
    <w:name w:val="Edital Char"/>
    <w:qFormat/>
    <w:rPr>
      <w:rFonts w:ascii="Arial" w:hAnsi="Arial" w:cs="Arial"/>
      <w:szCs w:val="24"/>
    </w:rPr>
  </w:style>
  <w:style w:type="character" w:styleId="FollowedHyperlink">
    <w:name w:val="FollowedHyperlink"/>
    <w:rPr>
      <w:color w:val="800080"/>
      <w:u w:val="single"/>
    </w:rPr>
  </w:style>
  <w:style w:type="character" w:styleId="TextodenotaderodapChar">
    <w:name w:val="Texto de nota de rodapé Char"/>
    <w:qFormat/>
    <w:rPr>
      <w:rFonts w:ascii="Arial" w:hAnsi="Arial" w:cs="Arial"/>
    </w:rPr>
  </w:style>
  <w:style w:type="character" w:styleId="FootnoteCharacters">
    <w:name w:val="Footnote Characters"/>
    <w:qFormat/>
    <w:rPr>
      <w:vertAlign w:val="superscript"/>
    </w:rPr>
  </w:style>
  <w:style w:type="character" w:styleId="apple-converted-space">
    <w:name w:val="apple-converted-space"/>
    <w:qFormat/>
    <w:rPr/>
  </w:style>
  <w:style w:type="character" w:styleId="Refdecomentrio">
    <w:name w:val="Ref. de comentário"/>
    <w:qFormat/>
    <w:rPr>
      <w:sz w:val="16"/>
      <w:szCs w:val="16"/>
    </w:rPr>
  </w:style>
  <w:style w:type="character" w:styleId="TextodecomentrioChar">
    <w:name w:val="Texto de comentário Char"/>
    <w:basedOn w:val="Fontepargpadro"/>
    <w:qFormat/>
    <w:rPr/>
  </w:style>
  <w:style w:type="character" w:styleId="AssuntodocomentrioChar">
    <w:name w:val="Assunto do comentário Char"/>
    <w:qFormat/>
    <w:rPr>
      <w:b/>
      <w:bCs/>
    </w:rPr>
  </w:style>
  <w:style w:type="character" w:styleId="Emphasis">
    <w:name w:val="Emphasis"/>
    <w:qFormat/>
    <w:rPr>
      <w:rFonts w:cs="Times New Roman"/>
      <w:i/>
      <w:iCs/>
    </w:rPr>
  </w:style>
  <w:style w:type="character" w:styleId="TextodebaloChar">
    <w:name w:val="Texto de balão Char"/>
    <w:qFormat/>
    <w:rPr>
      <w:rFonts w:ascii="Tahoma" w:hAnsi="Tahoma" w:cs="Tahoma"/>
      <w:sz w:val="16"/>
      <w:szCs w:val="16"/>
    </w:rPr>
  </w:style>
  <w:style w:type="character" w:styleId="PageNumber">
    <w:name w:val="Page Number"/>
    <w:rPr/>
  </w:style>
  <w:style w:type="paragraph" w:styleId="Heading">
    <w:name w:val="Heading"/>
    <w:basedOn w:val="Normal"/>
    <w:next w:val="BodyText"/>
    <w:qFormat/>
    <w:pPr>
      <w:jc w:val="center"/>
    </w:pPr>
    <w:rPr>
      <w:rFonts w:ascii="Arial" w:hAnsi="Arial" w:cs="Arial"/>
      <w:sz w:val="28"/>
      <w:szCs w:val="20"/>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Textodebalo">
    <w:name w:val="Texto de balão"/>
    <w:basedOn w:val="Normal"/>
    <w:qFormat/>
    <w:pPr/>
    <w:rPr>
      <w:rFonts w:ascii="Tahoma" w:hAnsi="Tahoma" w:cs="Tahoma"/>
      <w:sz w:val="16"/>
      <w:szCs w:val="16"/>
    </w:rPr>
  </w:style>
  <w:style w:type="paragraph" w:styleId="BodyTextIndent">
    <w:name w:val="Body Text Indent"/>
    <w:basedOn w:val="Normal"/>
    <w:pPr>
      <w:ind w:firstLine="720" w:start="0" w:end="0"/>
      <w:jc w:val="both"/>
    </w:pPr>
    <w:rPr>
      <w:rFonts w:ascii="Arial" w:hAnsi="Arial" w:cs="Arial"/>
      <w:b/>
      <w:sz w:val="28"/>
      <w:szCs w:val="20"/>
    </w:rPr>
  </w:style>
  <w:style w:type="paragraph" w:styleId="TextosemFormatao">
    <w:name w:val="Texto sem Formatação"/>
    <w:basedOn w:val="Normal"/>
    <w:qFormat/>
    <w:pPr/>
    <w:rPr>
      <w:rFonts w:ascii="Calibri" w:hAnsi="Calibri" w:eastAsia="Calibri" w:cs="Calibri"/>
      <w:sz w:val="22"/>
      <w:szCs w:val="21"/>
    </w:rPr>
  </w:style>
  <w:style w:type="paragraph" w:styleId="Recuodecorpodetexto2">
    <w:name w:val="Recuo de corpo de texto 2"/>
    <w:basedOn w:val="Normal"/>
    <w:qFormat/>
    <w:pPr>
      <w:spacing w:lineRule="auto" w:line="480" w:before="0" w:after="120"/>
      <w:ind w:hanging="0" w:start="283" w:end="0"/>
    </w:pPr>
    <w:rPr/>
  </w:style>
  <w:style w:type="paragraph" w:styleId="texto">
    <w:name w:val="texto"/>
    <w:qFormat/>
    <w:pPr>
      <w:widowControl/>
      <w:autoSpaceDE w:val="false"/>
      <w:bidi w:val="0"/>
      <w:spacing w:lineRule="atLeast" w:line="360"/>
      <w:ind w:firstLine="567" w:start="0" w:end="0"/>
      <w:jc w:val="both"/>
    </w:pPr>
    <w:rPr>
      <w:rFonts w:ascii="Helvetica" w:hAnsi="Helvetica" w:eastAsia="Times New Roman" w:cs="Helvetica"/>
      <w:color w:val="000000"/>
      <w:sz w:val="18"/>
      <w:szCs w:val="18"/>
      <w:lang w:val="pt-BR" w:bidi="ar-SA" w:eastAsia="zh-CN"/>
    </w:rPr>
  </w:style>
  <w:style w:type="paragraph" w:styleId="Facuttulo">
    <w:name w:val="Facu_título"/>
    <w:basedOn w:val="Normal"/>
    <w:qFormat/>
    <w:pPr>
      <w:autoSpaceDE w:val="false"/>
      <w:spacing w:before="240" w:after="60"/>
      <w:jc w:val="both"/>
    </w:pPr>
    <w:rPr>
      <w:rFonts w:ascii="Helvetica-Black;Times New Roman" w:hAnsi="Helvetica-Black;Times New Roman" w:cs="Helvetica-Black;Times New Roman"/>
      <w:caps/>
      <w:color w:val="FF0000"/>
      <w:sz w:val="20"/>
      <w:szCs w:val="20"/>
    </w:rPr>
  </w:style>
  <w:style w:type="paragraph" w:styleId="Faculdade1">
    <w:name w:val="Faculdade 1"/>
    <w:basedOn w:val="Normal"/>
    <w:qFormat/>
    <w:pPr>
      <w:pageBreakBefore/>
      <w:autoSpaceDE w:val="false"/>
      <w:spacing w:before="0" w:after="240"/>
    </w:pPr>
    <w:rPr>
      <w:rFonts w:ascii="Helvetica" w:hAnsi="Helvetica" w:cs="Helvetica"/>
      <w:b/>
      <w:color w:val="FF0000"/>
      <w:sz w:val="28"/>
      <w:szCs w:val="28"/>
    </w:rPr>
  </w:style>
  <w:style w:type="paragraph" w:styleId="Faculdade2">
    <w:name w:val="Faculdade 2"/>
    <w:basedOn w:val="Facuttulo"/>
    <w:qFormat/>
    <w:pPr>
      <w:spacing w:before="240" w:after="120"/>
    </w:pPr>
    <w:rPr>
      <w:sz w:val="22"/>
      <w:szCs w:val="22"/>
    </w:rPr>
  </w:style>
  <w:style w:type="paragraph" w:styleId="Cronograma">
    <w:name w:val="Cronograma"/>
    <w:basedOn w:val="Normal"/>
    <w:qFormat/>
    <w:pPr>
      <w:spacing w:lineRule="atLeast" w:line="260" w:before="60" w:after="0"/>
      <w:jc w:val="both"/>
    </w:pPr>
    <w:rPr>
      <w:rFonts w:ascii="Helvetica" w:hAnsi="Helvetica" w:cs="Helvetica"/>
      <w:sz w:val="18"/>
      <w:szCs w:val="18"/>
    </w:rPr>
  </w:style>
  <w:style w:type="paragraph" w:styleId="Edital">
    <w:name w:val="Edital"/>
    <w:qFormat/>
    <w:pPr>
      <w:widowControl/>
      <w:bidi w:val="0"/>
      <w:spacing w:before="0" w:after="120"/>
      <w:jc w:val="both"/>
    </w:pPr>
    <w:rPr>
      <w:rFonts w:ascii="Arial" w:hAnsi="Arial" w:eastAsia="Times New Roman" w:cs="Arial"/>
      <w:color w:val="auto"/>
      <w:sz w:val="20"/>
      <w:szCs w:val="24"/>
      <w:lang w:val="pt-BR" w:bidi="ar-SA" w:eastAsia="zh-CN"/>
    </w:rPr>
  </w:style>
  <w:style w:type="paragraph" w:styleId="Edital111">
    <w:name w:val="Edital 1.1.1"/>
    <w:basedOn w:val="Edital"/>
    <w:qFormat/>
    <w:pPr>
      <w:spacing w:before="0" w:after="60"/>
      <w:ind w:hanging="0" w:start="357" w:end="0"/>
    </w:pPr>
    <w:rPr/>
  </w:style>
  <w:style w:type="paragraph" w:styleId="GradeMdia1-nfase21">
    <w:name w:val="Grade Média 1 - Ênfase 21"/>
    <w:basedOn w:val="Normal"/>
    <w:qFormat/>
    <w:pPr>
      <w:spacing w:before="0" w:after="0"/>
      <w:ind w:hanging="0" w:start="720" w:end="0"/>
      <w:contextualSpacing/>
    </w:pPr>
    <w:rPr/>
  </w:style>
  <w:style w:type="paragraph" w:styleId="FootnoteText">
    <w:name w:val="Footnote Text"/>
    <w:basedOn w:val="Normal"/>
    <w:pPr>
      <w:spacing w:before="120" w:after="120"/>
      <w:jc w:val="both"/>
    </w:pPr>
    <w:rPr>
      <w:rFonts w:ascii="Arial" w:hAnsi="Arial" w:cs="Arial"/>
      <w:sz w:val="20"/>
      <w:szCs w:val="20"/>
    </w:rPr>
  </w:style>
  <w:style w:type="paragraph" w:styleId="Legenda">
    <w:name w:val="Legenda"/>
    <w:basedOn w:val="Normal"/>
    <w:next w:val="Normal"/>
    <w:qFormat/>
    <w:pPr>
      <w:spacing w:before="120" w:after="120"/>
      <w:jc w:val="both"/>
    </w:pPr>
    <w:rPr>
      <w:rFonts w:ascii="Arial" w:hAnsi="Arial" w:cs="Arial"/>
      <w:b/>
      <w:bCs/>
      <w:sz w:val="20"/>
      <w:szCs w:val="20"/>
    </w:rPr>
  </w:style>
  <w:style w:type="paragraph" w:styleId="SombreamentoMdio1-nfase11">
    <w:name w:val="Sombreamento Médio 1 - Ênfase 11"/>
    <w:qFormat/>
    <w:pPr>
      <w:widowControl/>
      <w:bidi w:val="0"/>
      <w:jc w:val="both"/>
    </w:pPr>
    <w:rPr>
      <w:rFonts w:ascii="Arial" w:hAnsi="Arial" w:eastAsia="Times New Roman" w:cs="Arial"/>
      <w:color w:val="auto"/>
      <w:sz w:val="24"/>
      <w:szCs w:val="28"/>
      <w:lang w:val="pt-BR" w:bidi="ar-SA" w:eastAsia="zh-CN"/>
    </w:rPr>
  </w:style>
  <w:style w:type="paragraph" w:styleId="ListaColorida-nfase11">
    <w:name w:val="Lista Colorida - Ênfase 11"/>
    <w:basedOn w:val="Normal"/>
    <w:qFormat/>
    <w:pPr>
      <w:spacing w:before="120" w:after="120"/>
      <w:ind w:hanging="0" w:start="720" w:end="0"/>
      <w:contextualSpacing/>
      <w:jc w:val="both"/>
    </w:pPr>
    <w:rPr>
      <w:rFonts w:eastAsia="Calibri"/>
    </w:rPr>
  </w:style>
  <w:style w:type="paragraph" w:styleId="GradeMdia21">
    <w:name w:val="Grade Média 21"/>
    <w:qFormat/>
    <w:pPr>
      <w:widowControl/>
      <w:bidi w:val="0"/>
      <w:jc w:val="both"/>
    </w:pPr>
    <w:rPr>
      <w:rFonts w:ascii="Arial" w:hAnsi="Arial" w:eastAsia="Times New Roman" w:cs="Arial"/>
      <w:color w:val="auto"/>
      <w:sz w:val="24"/>
      <w:szCs w:val="28"/>
      <w:lang w:val="pt-BR" w:bidi="ar-SA" w:eastAsia="zh-CN"/>
    </w:rPr>
  </w:style>
  <w:style w:type="paragraph" w:styleId="PargrafodaLista">
    <w:name w:val="Parágrafo da Lista"/>
    <w:basedOn w:val="Normal"/>
    <w:qFormat/>
    <w:pPr>
      <w:spacing w:before="0" w:after="0"/>
      <w:ind w:hanging="0" w:start="720" w:end="0"/>
      <w:contextualSpacing/>
    </w:pPr>
    <w:rPr/>
  </w:style>
  <w:style w:type="paragraph" w:styleId="Textodecomentrio">
    <w:name w:val="Texto de comentário"/>
    <w:basedOn w:val="Normal"/>
    <w:qFormat/>
    <w:pPr/>
    <w:rPr>
      <w:sz w:val="20"/>
      <w:szCs w:val="20"/>
    </w:rPr>
  </w:style>
  <w:style w:type="paragraph" w:styleId="Assuntodocomentrio">
    <w:name w:val="Assunto do comentário"/>
    <w:basedOn w:val="Textodecomentrio"/>
    <w:next w:val="Textodecomentrio"/>
    <w:qFormat/>
    <w:pPr/>
    <w:rPr>
      <w:b/>
      <w:bCs/>
    </w:rPr>
  </w:style>
  <w:style w:type="paragraph" w:styleId="SemEspaamento1">
    <w:name w:val="Sem Espaçamento1"/>
    <w:qFormat/>
    <w:pPr>
      <w:widowControl/>
      <w:bidi w:val="0"/>
    </w:pPr>
    <w:rPr>
      <w:rFonts w:ascii="Calibri" w:hAnsi="Calibri" w:eastAsia="Times New Roman" w:cs="Calibri"/>
      <w:color w:val="auto"/>
      <w:sz w:val="22"/>
      <w:szCs w:val="22"/>
      <w:lang w:val="pt-BR" w:bidi="ar-SA" w:eastAsia="zh-CN"/>
    </w:rPr>
  </w:style>
  <w:style w:type="paragraph" w:styleId="PargrafodaLista1">
    <w:name w:val="Parágrafo da Lista1"/>
    <w:basedOn w:val="Normal"/>
    <w:qFormat/>
    <w:pPr>
      <w:spacing w:before="0" w:after="120"/>
      <w:ind w:hanging="0" w:start="720" w:end="0"/>
      <w:contextualSpacing/>
    </w:pPr>
    <w:rPr>
      <w:rFonts w:ascii="Arial" w:hAnsi="Arial" w:eastAsia="Calibri" w:cs="Arial"/>
      <w:szCs w:val="20"/>
    </w:rPr>
  </w:style>
  <w:style w:type="paragraph" w:styleId="NormalWeb">
    <w:name w:val="Normal (Web)"/>
    <w:basedOn w:val="Normal"/>
    <w:qFormat/>
    <w:pPr>
      <w:spacing w:before="280" w:after="280"/>
    </w:pPr>
    <w:rPr/>
  </w:style>
  <w:style w:type="paragraph" w:styleId="yiv1098222021msonormal">
    <w:name w:val="yiv1098222021msonormal"/>
    <w:basedOn w:val="Normal"/>
    <w:qFormat/>
    <w:pPr>
      <w:spacing w:before="280" w:after="280"/>
    </w:pPr>
    <w:rPr/>
  </w:style>
  <w:style w:type="paragraph" w:styleId="Corpo">
    <w:name w:val="Corpo"/>
    <w:basedOn w:val="NormalWeb"/>
    <w:qFormat/>
    <w:pPr>
      <w:spacing w:lineRule="exact" w:line="320"/>
      <w:jc w:val="both"/>
    </w:pPr>
    <w:rPr>
      <w:rFonts w:ascii="Arial Narrow" w:hAnsi="Arial Narrow" w:cs="Arial"/>
      <w:bCs/>
    </w:rPr>
  </w:style>
  <w:style w:type="paragraph" w:styleId="BUL">
    <w:name w:val="BUL"/>
    <w:basedOn w:val="Normal"/>
    <w:qFormat/>
    <w:pPr>
      <w:numPr>
        <w:ilvl w:val="0"/>
        <w:numId w:val="3"/>
      </w:numPr>
      <w:spacing w:lineRule="exact" w:line="320" w:before="280" w:after="280"/>
      <w:jc w:val="both"/>
    </w:pPr>
    <w:rPr>
      <w:rFonts w:ascii="Arial Narrow" w:hAnsi="Arial Narrow" w:cs="Arial"/>
      <w:color w:val="000000"/>
    </w:rPr>
  </w:style>
  <w:style w:type="paragraph" w:styleId="Ttulo-boletim">
    <w:name w:val="Título-boletim"/>
    <w:basedOn w:val="Normal"/>
    <w:qFormat/>
    <w:pPr>
      <w:spacing w:before="120" w:after="120"/>
      <w:jc w:val="center"/>
    </w:pPr>
    <w:rPr>
      <w:b/>
      <w:color w:val="FF0000"/>
      <w:szCs w:val="28"/>
    </w:rPr>
  </w:style>
  <w:style w:type="paragraph" w:styleId="Ttulo-titulo">
    <w:name w:val="Título-titulo"/>
    <w:basedOn w:val="Normal"/>
    <w:qFormat/>
    <w:pPr>
      <w:jc w:val="center"/>
    </w:pPr>
    <w:rPr>
      <w:b/>
      <w:szCs w:val="28"/>
    </w:rPr>
  </w:style>
  <w:style w:type="paragraph" w:styleId="EstiloTtulo-titulo16pt">
    <w:name w:val="Estilo Título-titulo + 16 pt"/>
    <w:basedOn w:val="Ttulo-titulo"/>
    <w:qFormat/>
    <w:pPr/>
    <w:rPr>
      <w:bCs/>
    </w:rPr>
  </w:style>
  <w:style w:type="paragraph" w:styleId="Estilocorpo-boletim16ptNegritoCentralizado">
    <w:name w:val="Estilo corpo-boletim + 16 pt Negrito Centralizado"/>
    <w:basedOn w:val="Normal"/>
    <w:qFormat/>
    <w:pPr>
      <w:spacing w:lineRule="auto" w:line="480"/>
      <w:jc w:val="center"/>
    </w:pPr>
    <w:rPr>
      <w:b/>
      <w:bCs/>
      <w:szCs w:val="20"/>
    </w:rPr>
  </w:style>
  <w:style w:type="paragraph" w:styleId="subtitulo">
    <w:name w:val="sub titulo"/>
    <w:basedOn w:val="texto"/>
    <w:qFormat/>
    <w:pPr>
      <w:spacing w:lineRule="atLeast" w:line="280"/>
      <w:ind w:hanging="0" w:start="0" w:end="0"/>
    </w:pPr>
    <w:rPr>
      <w:rFonts w:ascii="Helvetica-Black;Times New Roman" w:hAnsi="Helvetica-Black;Times New Roman" w:cs="Helvetica-Black;Times New Roman"/>
      <w:caps/>
      <w:color w:val="FF0000"/>
      <w:sz w:val="20"/>
      <w:szCs w:val="20"/>
    </w:rPr>
  </w:style>
  <w:style w:type="paragraph" w:styleId="textoedital">
    <w:name w:val="texto edital"/>
    <w:qFormat/>
    <w:pPr>
      <w:widowControl/>
      <w:bidi w:val="0"/>
      <w:jc w:val="both"/>
    </w:pPr>
    <w:rPr>
      <w:rFonts w:ascii="Helvetica" w:hAnsi="Helvetica" w:eastAsia="Times New Roman" w:cs="Helvetica"/>
      <w:color w:val="000000"/>
      <w:sz w:val="20"/>
      <w:szCs w:val="20"/>
      <w:lang w:val="pt-BR" w:bidi="ar-SA" w:eastAsia="zh-CN"/>
    </w:rPr>
  </w:style>
  <w:style w:type="paragraph" w:styleId="tabelinhas">
    <w:name w:val="tabelinhas"/>
    <w:basedOn w:val="texto"/>
    <w:qFormat/>
    <w:pPr>
      <w:pBdr>
        <w:bottom w:val="single" w:sz="6" w:space="0" w:color="000000"/>
      </w:pBdr>
      <w:spacing w:lineRule="atLeast" w:line="320"/>
      <w:ind w:hanging="0" w:start="0" w:end="0"/>
      <w:jc w:val="start"/>
    </w:pPr>
    <w:rPr>
      <w:color w:val="000000"/>
      <w:sz w:val="16"/>
      <w:szCs w:val="16"/>
    </w:rPr>
  </w:style>
  <w:style w:type="paragraph" w:styleId="Faculdadetexto">
    <w:name w:val="Faculdade texto"/>
    <w:basedOn w:val="Normal"/>
    <w:qFormat/>
    <w:pPr>
      <w:spacing w:before="0" w:after="120"/>
      <w:ind w:firstLine="567" w:start="0" w:end="0"/>
      <w:jc w:val="both"/>
    </w:pPr>
    <w:rPr>
      <w:rFonts w:ascii="Helvetica" w:hAnsi="Helvetica" w:cs="Arial"/>
      <w:sz w:val="18"/>
      <w:szCs w:val="18"/>
    </w:rPr>
  </w:style>
  <w:style w:type="paragraph" w:styleId="align-left">
    <w:name w:val="align-left"/>
    <w:basedOn w:val="Normal"/>
    <w:qFormat/>
    <w:pPr>
      <w:spacing w:before="280" w:after="280"/>
    </w:pPr>
    <w:rPr>
      <w:lang w:val="en-US" w:eastAsia="zh-CN"/>
    </w:rPr>
  </w:style>
  <w:style w:type="paragraph" w:styleId="faculdadetexto1">
    <w:name w:val="faculdadetexto"/>
    <w:basedOn w:val="Normal"/>
    <w:qFormat/>
    <w:pPr/>
    <w:rPr/>
  </w:style>
  <w:style w:type="paragraph" w:styleId="SemEspaamento">
    <w:name w:val="Sem Espaçamento"/>
    <w:qFormat/>
    <w:pPr>
      <w:widowControl/>
      <w:bidi w:val="0"/>
    </w:pPr>
    <w:rPr>
      <w:rFonts w:ascii="Times New Roman" w:hAnsi="Times New Roman" w:eastAsia="Times New Roman" w:cs="Times New Roman"/>
      <w:color w:val="auto"/>
      <w:sz w:val="24"/>
      <w:szCs w:val="24"/>
      <w:lang w:val="pt-BR" w:bidi="ar-SA" w:eastAsia="zh-CN"/>
    </w:rPr>
  </w:style>
  <w:style w:type="paragraph" w:styleId="Default">
    <w:name w:val="Default"/>
    <w:qFormat/>
    <w:pPr>
      <w:widowControl/>
      <w:autoSpaceDE w:val="false"/>
      <w:bidi w:val="0"/>
    </w:pPr>
    <w:rPr>
      <w:rFonts w:ascii="Arial" w:hAnsi="Arial" w:eastAsia="Times New Roman" w:cs="Arial"/>
      <w:color w:val="000000"/>
      <w:sz w:val="24"/>
      <w:szCs w:val="24"/>
      <w:lang w:val="pt-BR" w:bidi="ar-SA" w:eastAsia="zh-CN"/>
    </w:rPr>
  </w:style>
  <w:style w:type="paragraph" w:styleId="Reviso">
    <w:name w:val="Revisão"/>
    <w:qFormat/>
    <w:pPr>
      <w:widowControl/>
      <w:bidi w:val="0"/>
    </w:pPr>
    <w:rPr>
      <w:rFonts w:ascii="Times New Roman" w:hAnsi="Times New Roman" w:eastAsia="Times New Roman" w:cs="Times New Roman"/>
      <w:color w:val="auto"/>
      <w:sz w:val="24"/>
      <w:szCs w:val="24"/>
      <w:lang w:val="pt-BR" w:bidi="ar-SA"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yperlink" Target="https://www.intelrealsense.com/depth-camera-d435i" TargetMode="External"/><Relationship Id="rId4" Type="http://schemas.openxmlformats.org/officeDocument/2006/relationships/hyperlink" Target="https://agrosmart.com.br/blog/imagens-de-satelite-agricultura-beneficios"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2025-08-14T17:45:00Z</dcterms:created>
  <dc:creator>Milton P. Filho</dc:creator>
  <dc:description/>
  <cp:keywords/>
  <dc:language>en-US</dc:language>
  <cp:lastModifiedBy>Matheus Queiroz Gregorin</cp:lastModifiedBy>
  <cp:lastPrinted>2021-03-03T09:12:00Z</cp:lastPrinted>
  <dcterms:modified xsi:type="dcterms:W3CDTF">2026-08-15T12:37:00Z</dcterms:modified>
  <cp:revision>5</cp:revision>
  <dc:subject/>
  <dc:title>Edital Vestibular SP Alphaville</dc:title>
</cp:coreProperties>
</file>