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Cambria" w:hAnsi="Cambria" w:cs="Arial"/>
        </w:rPr>
      </w:pPr>
      <w:r>
        <w:rPr>
          <w:rFonts w:cs="Arial" w:ascii="Cambria" w:hAnsi="Cambria"/>
        </w:rPr>
      </w:r>
    </w:p>
    <w:p>
      <w:pPr>
        <w:pStyle w:val="Normal"/>
        <w:jc w:val="both"/>
        <w:rPr>
          <w:rFonts w:ascii="Cambria" w:hAnsi="Cambria" w:cs="Arial"/>
        </w:rPr>
      </w:pPr>
      <w:r>
        <w:rPr>
          <w:rFonts w:cs="Arial" w:ascii="Cambria" w:hAnsi="Cambria"/>
        </w:rPr>
      </w:r>
    </w:p>
    <w:p>
      <w:pPr>
        <w:pStyle w:val="Normal"/>
        <w:rPr>
          <w:rFonts w:ascii="Cambria" w:hAnsi="Cambria" w:cs="Arial"/>
        </w:rPr>
      </w:pPr>
      <w:r>
        <w:rPr>
          <w:rFonts w:cs="Arial" w:ascii="Cambria" w:hAnsi="Cambria"/>
        </w:rPr>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t>SentryIoT: detecção e resposta a ataques em redes IoT com Random Forest e agentes de LLM via MCP</w:t>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r>
    </w:p>
    <w:p>
      <w:pPr>
        <w:pStyle w:val="Normal"/>
        <w:tabs>
          <w:tab w:val="clear" w:pos="708"/>
          <w:tab w:val="left" w:pos="720" w:leader="none"/>
        </w:tabs>
        <w:jc w:val="center"/>
        <w:rPr>
          <w:rFonts w:ascii="Times;Sylfaen" w:hAnsi="Times;Sylfaen" w:cs="Times;Sylfaen"/>
          <w:bCs/>
          <w:vertAlign w:val="superscript"/>
        </w:rPr>
      </w:pPr>
      <w:r>
        <w:rPr>
          <w:rFonts w:cs="Times;Sylfaen" w:ascii="Times;Sylfaen" w:hAnsi="Times;Sylfaen"/>
          <w:bCs/>
        </w:rPr>
        <w:t xml:space="preserve">Bernardo Souza Oliveira </w:t>
      </w:r>
      <w:r>
        <w:rPr>
          <w:rFonts w:cs="Times;Sylfaen" w:ascii="Times;Sylfaen" w:hAnsi="Times;Sylfaen"/>
          <w:bCs/>
          <w:vertAlign w:val="superscript"/>
        </w:rPr>
        <w:t xml:space="preserve">1 </w:t>
      </w:r>
      <w:r>
        <w:rPr>
          <w:rFonts w:cs="Times;Sylfaen" w:ascii="Times;Sylfaen" w:hAnsi="Times;Sylfaen"/>
          <w:bCs/>
        </w:rPr>
        <w:tab/>
        <w:t xml:space="preserve">Matheus Queiroz Gregorin </w:t>
      </w:r>
      <w:r>
        <w:rPr>
          <w:rFonts w:cs="Times;Sylfaen" w:ascii="Times;Sylfaen" w:hAnsi="Times;Sylfaen"/>
          <w:bCs/>
          <w:vertAlign w:val="superscript"/>
        </w:rPr>
        <w:t>1</w:t>
      </w:r>
    </w:p>
    <w:p>
      <w:pPr>
        <w:pStyle w:val="Normal"/>
        <w:tabs>
          <w:tab w:val="clear" w:pos="708"/>
          <w:tab w:val="left" w:pos="720" w:leader="none"/>
        </w:tabs>
        <w:jc w:val="center"/>
        <w:rPr>
          <w:rFonts w:ascii="Times;Sylfaen" w:hAnsi="Times;Sylfaen" w:cs="Times;Sylfaen"/>
          <w:bCs/>
        </w:rPr>
      </w:pPr>
      <w:r>
        <w:rPr>
          <w:rFonts w:cs="Times;Sylfaen" w:ascii="Times;Sylfaen" w:hAnsi="Times;Sylfaen"/>
          <w:bCs/>
        </w:rPr>
        <w:t xml:space="preserve">José Victor Roling </w:t>
      </w:r>
      <w:r>
        <w:rPr>
          <w:rFonts w:cs="Times;Sylfaen" w:ascii="Times;Sylfaen" w:hAnsi="Times;Sylfaen"/>
          <w:bCs/>
          <w:vertAlign w:val="superscript"/>
        </w:rPr>
        <w:t>1</w:t>
      </w:r>
      <w:r>
        <w:rPr>
          <w:rFonts w:cs="Times;Sylfaen" w:ascii="Times;Sylfaen" w:hAnsi="Times;Sylfaen"/>
          <w:bCs/>
        </w:rPr>
        <w:t xml:space="preserve"> </w:t>
        <w:tab/>
        <w:t xml:space="preserve">Pedro Henrique Cagnoni Guimarães </w:t>
      </w:r>
      <w:r>
        <w:rPr>
          <w:rFonts w:cs="Times;Sylfaen" w:ascii="Times;Sylfaen" w:hAnsi="Times;Sylfaen"/>
          <w:bCs/>
          <w:vertAlign w:val="superscript"/>
        </w:rPr>
        <w:t>1</w:t>
      </w:r>
    </w:p>
    <w:p>
      <w:pPr>
        <w:pStyle w:val="Normal"/>
        <w:tabs>
          <w:tab w:val="clear" w:pos="708"/>
          <w:tab w:val="left" w:pos="720" w:leader="none"/>
        </w:tabs>
        <w:jc w:val="center"/>
        <w:rPr>
          <w:rFonts w:ascii="Times;Sylfaen" w:hAnsi="Times;Sylfaen" w:cs="Times;Sylfaen"/>
          <w:bCs/>
        </w:rPr>
      </w:pPr>
      <w:r>
        <w:rPr>
          <w:rFonts w:cs="Times;Sylfaen" w:ascii="Times;Sylfaen" w:hAnsi="Times;Sylfaen"/>
          <w:bCs/>
        </w:rPr>
        <w:t xml:space="preserve">Rodrigo Cardoso Silva </w:t>
      </w:r>
      <w:r>
        <w:rPr>
          <w:rFonts w:cs="Times;Sylfaen" w:ascii="Times;Sylfaen" w:hAnsi="Times;Sylfaen"/>
          <w:bCs/>
          <w:vertAlign w:val="superscript"/>
        </w:rPr>
        <w:t>1</w:t>
      </w:r>
    </w:p>
    <w:p>
      <w:pPr>
        <w:pStyle w:val="Normal"/>
        <w:tabs>
          <w:tab w:val="clear" w:pos="708"/>
          <w:tab w:val="left" w:pos="720" w:leader="none"/>
        </w:tabs>
        <w:spacing w:before="240" w:after="0"/>
        <w:jc w:val="center"/>
        <w:rPr/>
      </w:pPr>
      <w:r>
        <w:rPr>
          <w:rFonts w:cs="Times;Sylfaen" w:ascii="Times;Sylfaen" w:hAnsi="Times;Sylfaen"/>
          <w:szCs w:val="20"/>
          <w:vertAlign w:val="superscript"/>
        </w:rPr>
        <w:t>1</w:t>
      </w:r>
      <w:r>
        <w:rPr>
          <w:rFonts w:cs="Times;Sylfaen" w:ascii="Times;Sylfaen" w:hAnsi="Times;Sylfaen"/>
          <w:szCs w:val="20"/>
        </w:rPr>
        <w:t>Faculdade de Computação e Informática (FCI)</w:t>
        <w:br/>
        <w:t>Universidade Presbiteriana Mackenzie – São Paulo, SP – Brasil</w:t>
      </w:r>
    </w:p>
    <w:p>
      <w:pPr>
        <w:pStyle w:val="Normal"/>
        <w:tabs>
          <w:tab w:val="clear" w:pos="708"/>
          <w:tab w:val="left" w:pos="720" w:leader="none"/>
        </w:tabs>
        <w:spacing w:before="120" w:after="120"/>
        <w:jc w:val="center"/>
        <w:rPr>
          <w:rFonts w:ascii="Courier New" w:hAnsi="Courier New" w:cs="Courier New"/>
          <w:sz w:val="20"/>
          <w:szCs w:val="20"/>
        </w:rPr>
      </w:pPr>
      <w:r>
        <w:rPr>
          <w:rFonts w:cs="Courier New" w:ascii="Courier New" w:hAnsi="Courier New"/>
          <w:sz w:val="20"/>
          <w:szCs w:val="20"/>
        </w:rPr>
      </w:r>
    </w:p>
    <w:p>
      <w:pPr>
        <w:pStyle w:val="Normal"/>
        <w:tabs>
          <w:tab w:val="clear" w:pos="708"/>
          <w:tab w:val="left" w:pos="720" w:leader="none"/>
        </w:tabs>
        <w:spacing w:before="120" w:after="0"/>
        <w:jc w:val="center"/>
      </w:pPr>
      <w:r>
        <w:rPr>
          <w:rFonts w:cs="Times;Sylfaen" w:ascii="Times;Sylfaen" w:hAnsi="Times;Sylfaen"/>
          <w:highlight w:val="yellow"/>
        </w:rPr>
        <w:t xml:space="preserve">[PENDENTE: e-mails @mackenzista.com.br dos quatro alunos]</w:t>
      </w:r>
    </w:p>
    <w:p>
      <w:pPr>
        <w:pStyle w:val="Normal"/>
        <w:tabs>
          <w:tab w:val="clear" w:pos="708"/>
          <w:tab w:val="left" w:pos="720" w:leader="none"/>
        </w:tabs>
        <w:spacing w:before="120" w:after="0"/>
        <w:jc w:val="center"/>
      </w:pPr>
      <w:r>
        <w:rPr>
          <w:rFonts w:cs="Times;Sylfaen" w:ascii="Times;Sylfaen" w:hAnsi="Times;Sylfaen"/>
          <w:highlight w:val="yellow"/>
        </w:rPr>
        <w:t xml:space="preserve">[PENDENTE: e-mail do Prof. Rodrigo @mackenzie.br]</w:t>
      </w:r>
    </w:p>
    <w:p>
      <w:pPr>
        <w:pStyle w:val="Normal"/>
        <w:tabs>
          <w:tab w:val="clear" w:pos="708"/>
          <w:tab w:val="left" w:pos="720" w:leader="none"/>
        </w:tabs>
        <w:spacing w:before="240" w:after="120"/>
        <w:jc w:val="center"/>
        <w:rPr/>
      </w:pPr>
      <w:r>
        <w:rPr/>
        <w:t>2026</w:t>
      </w:r>
    </w:p>
    <w:p>
      <w:pPr>
        <w:sectPr>
          <w:headerReference w:type="default" r:id="rId2"/>
          <w:type w:val="nextPage"/>
          <w:pgSz w:w="11906" w:h="16838"/>
          <w:pgMar w:left="1418" w:right="1134" w:gutter="0" w:header="709" w:top="1843" w:footer="0" w:bottom="1247"/>
          <w:pgNumType w:fmt="decimal"/>
          <w:formProt w:val="false"/>
          <w:textDirection w:val="lrTb"/>
          <w:docGrid w:type="default" w:linePitch="360" w:charSpace="0"/>
        </w:sectPr>
      </w:pPr>
    </w:p>
    <w:p>
      <w:pPr>
        <w:pStyle w:val="Normal"/>
        <w:tabs>
          <w:tab w:val="clear" w:pos="708"/>
          <w:tab w:val="left" w:pos="720" w:leader="none"/>
        </w:tabs>
        <w:spacing w:before="240" w:after="120"/>
        <w:jc w:val="center"/>
        <w:rPr>
          <w:rFonts w:ascii="Times;Sylfaen" w:hAnsi="Times;Sylfaen" w:cs="Times;Sylfaen"/>
          <w:i/>
          <w:i/>
          <w:iCs/>
        </w:rPr>
      </w:pPr>
      <w:r>
        <w:rPr>
          <w:rFonts w:cs="Times;Sylfaen" w:ascii="Times;Sylfaen" w:hAnsi="Times;Sylfaen"/>
          <w:i/>
          <w:iCs/>
        </w:rPr>
      </w:r>
    </w:p>
    <w:p>
      <w:pPr>
        <w:pStyle w:val="Normal"/>
        <w:tabs>
          <w:tab w:val="clear" w:pos="708"/>
          <w:tab w:val="left" w:pos="720" w:leader="none"/>
        </w:tabs>
        <w:ind w:start="454" w:end="454"/>
        <w:jc w:val="center"/>
        <w:rPr>
          <w:rFonts w:ascii="Times;Sylfaen" w:hAnsi="Times;Sylfaen" w:cs="Times;Sylfaen"/>
          <w:sz w:val="28"/>
          <w:szCs w:val="28"/>
        </w:rPr>
      </w:pPr>
      <w:r>
        <w:rPr>
          <w:rFonts w:cs="Times;Sylfaen" w:ascii="Times;Sylfaen" w:hAnsi="Times;Sylfaen"/>
          <w:sz w:val="28"/>
          <w:szCs w:val="28"/>
        </w:rPr>
        <w:t>Resumo</w:t>
      </w:r>
    </w:p>
    <w:p>
      <w:pPr>
        <w:pStyle w:val="Normal"/>
        <w:tabs>
          <w:tab w:val="clear" w:pos="708"/>
          <w:tab w:val="left" w:pos="720" w:leader="none"/>
        </w:tabs>
        <w:ind w:start="454" w:end="454"/>
        <w:jc w:val="center"/>
        <w:rPr>
          <w:rFonts w:ascii="Times;Sylfaen" w:hAnsi="Times;Sylfaen" w:cs="Times;Sylfaen"/>
          <w:sz w:val="20"/>
          <w:szCs w:val="20"/>
        </w:rPr>
      </w:pPr>
      <w:r>
        <w:rPr>
          <w:rFonts w:cs="Times;Sylfaen" w:ascii="Times;Sylfaen" w:hAnsi="Times;Sylfaen"/>
          <w:sz w:val="20"/>
          <w:szCs w:val="20"/>
        </w:rPr>
      </w:r>
    </w:p>
    <w:p>
      <w:pPr>
        <w:pStyle w:val="Normal"/>
        <w:tabs>
          <w:tab w:val="clear" w:pos="708"/>
          <w:tab w:val="left" w:pos="720" w:leader="none"/>
        </w:tabs>
        <w:ind w:start="454" w:end="454"/>
        <w:jc w:val="both"/>
        <w:rPr/>
      </w:pPr>
      <w:r>
        <w:rPr>
          <w:rFonts w:cs="Times;Sylfaen" w:ascii="Times;Sylfaen" w:hAnsi="Times;Sylfaen"/>
          <w:i/>
          <w:iCs/>
          <w:highlight w:val="yellow"/>
        </w:rPr>
        <w:t xml:space="preserve">[PENDENTE: escrever por último, com 150 a 250 palavras: contexto (ataques a redes IoT), motivação (detectar não basta, é preciso responder), objetivo, metodologia (Random Forest sobre o CICIoT2023 regerado + servidor MCP + três agentes em arquitetura híbrida) e resultados. Não prometer classificação em MQTT/CoAP nem captura ao vivo.]</w:t>
      </w:r>
    </w:p>
    <w:p>
      <w:pPr>
        <w:pStyle w:val="Normal"/>
        <w:tabs>
          <w:tab w:val="clear" w:pos="708"/>
          <w:tab w:val="left" w:pos="720" w:leader="none"/>
        </w:tabs>
        <w:spacing w:before="120" w:after="120"/>
        <w:ind w:start="454" w:end="454"/>
        <w:jc w:val="both"/>
        <w:rPr>
          <w:rFonts w:ascii="Times;Sylfaen" w:hAnsi="Times;Sylfaen" w:cs="Times;Sylfaen"/>
          <w:b/>
          <w:bCs/>
          <w:i/>
          <w:i/>
          <w:iCs/>
        </w:rPr>
      </w:pPr>
      <w:r>
        <w:rPr>
          <w:rFonts w:cs="Times;Sylfaen" w:ascii="Times;Sylfaen" w:hAnsi="Times;Sylfaen"/>
          <w:b/>
          <w:bCs/>
          <w:i/>
          <w:iCs/>
        </w:rPr>
      </w:r>
    </w:p>
    <w:p>
      <w:pPr>
        <w:pStyle w:val="Normal"/>
        <w:tabs>
          <w:tab w:val="clear" w:pos="708"/>
          <w:tab w:val="left" w:pos="720" w:leader="none"/>
        </w:tabs>
        <w:spacing w:before="120" w:after="120"/>
        <w:ind w:start="454" w:end="454"/>
        <w:jc w:val="both"/>
        <w:rPr/>
      </w:pPr>
      <w:r>
        <w:rPr>
          <w:rFonts w:cs="Times;Sylfaen" w:ascii="Times;Sylfaen" w:hAnsi="Times;Sylfaen"/>
          <w:b/>
          <w:bCs/>
        </w:rPr>
        <w:t>Palavras-chave:</w:t>
      </w:r>
      <w:r>
        <w:rPr>
          <w:rFonts w:cs="Times;Sylfaen" w:ascii="Times;Sylfaen" w:hAnsi="Times;Sylfaen"/>
        </w:rPr>
        <w:t xml:space="preserve"> detecção de intrusão; Internet das Coisas; Random Forest; sistemas multiagentes; Model Context Protocol.</w:t>
      </w:r>
    </w:p>
    <w:p>
      <w:pPr>
        <w:pStyle w:val="Normal"/>
        <w:tabs>
          <w:tab w:val="clear" w:pos="708"/>
          <w:tab w:val="left" w:pos="720" w:leader="none"/>
        </w:tabs>
        <w:spacing w:before="120" w:after="120"/>
        <w:ind w:start="454" w:end="454"/>
        <w:jc w:val="both"/>
        <w:rPr>
          <w:rFonts w:ascii="Times;Sylfaen" w:hAnsi="Times;Sylfaen" w:cs="Times;Sylfaen"/>
          <w:b/>
          <w:bCs/>
          <w:i/>
          <w:i/>
          <w:iCs/>
        </w:rPr>
      </w:pPr>
      <w:r>
        <w:rPr>
          <w:rFonts w:cs="Times;Sylfaen" w:ascii="Times;Sylfaen" w:hAnsi="Times;Sylfaen"/>
          <w:b/>
          <w:bCs/>
          <w:i/>
          <w:iCs/>
        </w:rPr>
      </w:r>
    </w:p>
    <w:p>
      <w:pPr>
        <w:pStyle w:val="Normal"/>
        <w:tabs>
          <w:tab w:val="clear" w:pos="708"/>
          <w:tab w:val="left" w:pos="720" w:leader="none"/>
        </w:tabs>
        <w:ind w:start="454" w:end="454"/>
        <w:jc w:val="center"/>
        <w:rPr>
          <w:rFonts w:ascii="Times;Sylfaen" w:hAnsi="Times;Sylfaen" w:cs="Times;Sylfaen"/>
          <w:sz w:val="28"/>
          <w:szCs w:val="28"/>
          <w:lang w:val="en-US"/>
        </w:rPr>
      </w:pPr>
      <w:r>
        <w:rPr>
          <w:rFonts w:cs="Times;Sylfaen" w:ascii="Times;Sylfaen" w:hAnsi="Times;Sylfaen"/>
          <w:sz w:val="28"/>
          <w:szCs w:val="28"/>
          <w:lang w:val="en-US"/>
        </w:rPr>
        <w:t>Abstract</w:t>
      </w:r>
    </w:p>
    <w:p>
      <w:pPr>
        <w:pStyle w:val="Normal"/>
        <w:tabs>
          <w:tab w:val="clear" w:pos="708"/>
          <w:tab w:val="left" w:pos="720" w:leader="none"/>
        </w:tabs>
        <w:ind w:start="454" w:end="454"/>
        <w:jc w:val="center"/>
        <w:rPr>
          <w:rFonts w:ascii="Times;Sylfaen" w:hAnsi="Times;Sylfaen" w:cs="Times;Sylfaen"/>
          <w:sz w:val="20"/>
          <w:szCs w:val="20"/>
          <w:lang w:val="en-US"/>
        </w:rPr>
      </w:pPr>
      <w:r>
        <w:rPr>
          <w:rFonts w:cs="Times;Sylfaen" w:ascii="Times;Sylfaen" w:hAnsi="Times;Sylfaen"/>
          <w:sz w:val="20"/>
          <w:szCs w:val="20"/>
          <w:lang w:val="en-US"/>
        </w:rPr>
      </w:r>
    </w:p>
    <w:p>
      <w:pPr>
        <w:pStyle w:val="Normal"/>
        <w:tabs>
          <w:tab w:val="clear" w:pos="708"/>
          <w:tab w:val="left" w:pos="720" w:leader="none"/>
        </w:tabs>
        <w:ind w:start="454" w:end="454"/>
        <w:jc w:val="both"/>
        <w:rPr/>
      </w:pPr>
      <w:r>
        <w:rPr>
          <w:rFonts w:cs="Times;Sylfaen" w:ascii="Times;Sylfaen" w:hAnsi="Times;Sylfaen"/>
          <w:i/>
          <w:iCs/>
          <w:highlight w:val="yellow"/>
        </w:rPr>
        <w:t xml:space="preserve">[PENDENTE: tradução do resumo.]</w:t>
      </w:r>
    </w:p>
    <w:p>
      <w:pPr>
        <w:pStyle w:val="Normal"/>
        <w:tabs>
          <w:tab w:val="clear" w:pos="708"/>
          <w:tab w:val="left" w:pos="720" w:leader="none"/>
        </w:tabs>
        <w:ind w:start="454" w:end="454"/>
        <w:jc w:val="both"/>
        <w:rPr>
          <w:rFonts w:ascii="Times;Sylfaen" w:hAnsi="Times;Sylfaen" w:cs="Times;Sylfaen"/>
          <w:i/>
          <w:i/>
          <w:iCs/>
          <w:lang w:val="en-GB"/>
        </w:rPr>
      </w:pPr>
      <w:r>
        <w:rPr>
          <w:rFonts w:cs="Times;Sylfaen" w:ascii="Times;Sylfaen" w:hAnsi="Times;Sylfaen"/>
          <w:i/>
          <w:iCs/>
          <w:lang w:val="en-GB"/>
        </w:rPr>
      </w:r>
    </w:p>
    <w:p>
      <w:pPr>
        <w:pStyle w:val="Normal"/>
        <w:tabs>
          <w:tab w:val="clear" w:pos="708"/>
          <w:tab w:val="left" w:pos="720" w:leader="none"/>
        </w:tabs>
        <w:spacing w:before="120" w:after="120"/>
        <w:ind w:start="454" w:end="454"/>
        <w:jc w:val="both"/>
        <w:rPr/>
      </w:pPr>
      <w:r>
        <w:rPr>
          <w:rFonts w:cs="Times;Sylfaen" w:ascii="Times;Sylfaen" w:hAnsi="Times;Sylfaen"/>
          <w:b/>
          <w:bCs/>
          <w:lang w:val="en-US"/>
        </w:rPr>
        <w:t>Keywords:</w:t>
      </w:r>
      <w:r>
        <w:rPr>
          <w:rFonts w:cs="Times;Sylfaen" w:ascii="Times;Sylfaen" w:hAnsi="Times;Sylfaen"/>
          <w:lang w:val="en-US"/>
        </w:rPr>
        <w:t xml:space="preserve"> intrusion detection; Internet of Things; Random Forest; multi-agent systems; Model Context Protocol.</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1. Introdução</w:t>
      </w:r>
    </w:p>
    <w:p>
      <w:pPr>
        <w:pStyle w:val="Normal"/>
        <w:tabs>
          <w:tab w:val="clear" w:pos="708"/>
          <w:tab w:val="left" w:pos="720" w:leader="none"/>
        </w:tabs>
        <w:spacing w:before="120" w:after="0"/>
        <w:ind w:firstLine="708" w:end="0"/>
        <w:jc w:val="both"/>
      </w:pPr>
      <w:r>
        <w:rPr>
          <w:rFonts w:cs="Times;Sylfaen" w:ascii="Times;Sylfaen" w:hAnsi="Times;Sylfaen"/>
        </w:rPr>
        <w:t xml:space="preserve">Redes de casas e de pequenos negócios, como um restaurante, reúnem na mesma rede televisores, câmeras, sensores e assistentes de voz, dispositivos da Internet das Coisas (IoT), e em geral não têm equipe de segurança. Nelas, um aparelho comprometido pode atacar os outros sem sair da rede. É o cenário do CICIoT2023, conjunto de dados em que 33 ataques, agrupados em sete categorias, são executados por dispositivos IoT maliciosos contra outros dispositivos IoT, numa rede de laboratório com 105 equipamentos (NETO et al., 2023).</w:t>
      </w:r>
    </w:p>
    <w:p>
      <w:pPr>
        <w:pStyle w:val="Normal"/>
        <w:tabs>
          <w:tab w:val="clear" w:pos="708"/>
          <w:tab w:val="left" w:pos="720" w:leader="none"/>
        </w:tabs>
        <w:spacing w:before="120" w:after="0"/>
        <w:ind w:firstLine="708" w:end="0"/>
        <w:jc w:val="both"/>
      </w:pPr>
      <w:r>
        <w:rPr>
          <w:rFonts w:cs="Times;Sylfaen" w:ascii="Times;Sylfaen" w:hAnsi="Times;Sylfaen"/>
        </w:rPr>
        <w:t xml:space="preserve">Os sistemas de detecção de intrusão na rede, ou NIDS (Network Intrusion Detection System), baseados em aprendizado de máquina apontam que o tráfego é ataque e de que categoria, mas param no alerta: entender o que aconteceu, escolher a resposta e aplicá-la continua manual e pede um especialista, justamente o que essas redes não têm. As plataformas comerciais de detecção e resposta de rede, ou NDR (Network Detection and Response), juntam a resposta ao alerta (DARKTRACE, 2024), mas são produtos fechados, voltados a empresas. Este trabalho trata dessa lacuna com um sistema aberto de detecção e resposta a intrusões na rede, um NIDR (Network Intrusion Detection and Response).</w:t>
      </w:r>
    </w:p>
    <w:p>
      <w:pPr>
        <w:pStyle w:val="Normal"/>
        <w:tabs>
          <w:tab w:val="clear" w:pos="708"/>
          <w:tab w:val="left" w:pos="720" w:leader="none"/>
        </w:tabs>
        <w:spacing w:before="120" w:after="0"/>
        <w:ind w:firstLine="708" w:end="0"/>
        <w:jc w:val="both"/>
      </w:pPr>
      <w:r>
        <w:rPr>
          <w:rFonts w:cs="Times;Sylfaen" w:ascii="Times;Sylfaen" w:hAnsi="Times;Sylfaen"/>
        </w:rPr>
        <w:t xml:space="preserve">Para a resposta, o trabalho usa agentes baseados em modelos de linguagem de grande escala, os LLM (Large Language Model), que alternam raciocínio e chamadas de ferramenta (YAO et al., 2023). Eles leem o incidente, explicam o que o classificador viu e propõem uma ação. O Model Context Protocol (MCP) padroniza a ligação entre o modelo e as ferramentas (HOU et al., 2026), e é por ele que os agentes chegam ao classificador e ao catálogo de ações. Levar dados de rede a um modelo tem riscos próprios: uma instrução escondida no tráfego pode mudar o comportamento do modelo (GRESHAKE et al., 2023), e um modelo pago na nuvem cobra por chamada e recebe dados da rede.</w:t>
      </w:r>
    </w:p>
    <w:p>
      <w:pPr>
        <w:pStyle w:val="Normal"/>
        <w:tabs>
          <w:tab w:val="clear" w:pos="708"/>
          <w:tab w:val="left" w:pos="720" w:leader="none"/>
        </w:tabs>
        <w:spacing w:before="120" w:after="0"/>
        <w:ind w:firstLine="708" w:end="0"/>
        <w:jc w:val="both"/>
      </w:pPr>
      <w:r>
        <w:rPr>
          <w:rFonts w:cs="Times;Sylfaen" w:ascii="Times;Sylfaen" w:hAnsi="Times;Sylfaen"/>
        </w:rPr>
        <w:t xml:space="preserve">O objetivo geral é desenvolver e avaliar o SentryIoT, um sistema que detecta ataques em redes IoT com um classificador Random Forest e responde a eles com três agentes de LLM, ligados ao classificador por um servidor MCP e sujeitos a aprovação humana nas ações de risco alto.</w:t>
      </w:r>
    </w:p>
    <w:p>
      <w:pPr>
        <w:pStyle w:val="Normal"/>
        <w:tabs>
          <w:tab w:val="clear" w:pos="708"/>
          <w:tab w:val="left" w:pos="720" w:leader="none"/>
        </w:tabs>
        <w:spacing w:before="120" w:after="0"/>
        <w:ind w:firstLine="708" w:end="0"/>
        <w:jc w:val="both"/>
      </w:pPr>
      <w:r>
        <w:rPr>
          <w:rFonts w:cs="Times;Sylfaen" w:ascii="Times;Sylfaen" w:hAnsi="Times;Sylfaen"/>
        </w:rPr>
        <w:t xml:space="preserve">Os objetivos específicos são: (i) extrair do tráfego bruto, em arquivo pcap, as 39 features do CICIoT2023, com um extrator calibrado contra o dos autores do dataset; (ii) treinar e avaliar o classificador em dados regerados dos pcaps, em janela única de 100 quadros, com controles em que o pcap inteiro fica fora do treino; (iii) construir um servidor MCP que aplica a política de risco e protege os endereços da rede sem depender do modelo; (iv) construir os agentes de triagem, decisão e execução numa arquitetura híbrida, em que só o agente de decisão roda na nuvem e nenhum endereço da rede sai do ambiente; e (v) comparar as configurações tudo local, tudo na nuvem e híbrida em qualidade da recomendação, custo em tokens e tempo até a remediação.</w:t>
      </w:r>
    </w:p>
    <w:p>
      <w:pPr>
        <w:pStyle w:val="Normal"/>
        <w:tabs>
          <w:tab w:val="clear" w:pos="708"/>
          <w:tab w:val="left" w:pos="720" w:leader="none"/>
        </w:tabs>
        <w:spacing w:before="120" w:after="0"/>
        <w:ind w:firstLine="708" w:end="0"/>
        <w:jc w:val="both"/>
      </w:pPr>
      <w:r>
        <w:rPr>
          <w:rFonts w:cs="Times;Sylfaen" w:ascii="Times;Sylfaen" w:hAnsi="Times;Sylfaen"/>
        </w:rPr>
        <w:t xml:space="preserve">O público-alvo são as redes de casas e de pequenos negócios. O motivo principal é o tamanho da rede do dataset: o CICIoT2023 é uma rede de laboratório única, com 105 dispositivos e os atacantes do lado de dentro, o que corresponde a uma casa ou a um pequeno comércio, e não à rede de uma empresa. Nesse tamanho, uma caixa só captura o tráfego e aplica as respostas (seção 3.1); quem não tem equipe de segurança é quem mais precisa de um agente que explique o incidente e proponha a resposta; e o custo de tokens pesa mais num orçamento pequeno (seção 3.5). A implantação numa empresa fica para os trabalhos futuros.</w:t>
      </w:r>
    </w:p>
    <w:p>
      <w:pPr>
        <w:pStyle w:val="Normal"/>
        <w:tabs>
          <w:tab w:val="clear" w:pos="708"/>
          <w:tab w:val="left" w:pos="720" w:leader="none"/>
        </w:tabs>
        <w:spacing w:before="120" w:after="0"/>
        <w:ind w:firstLine="708" w:end="0"/>
        <w:jc w:val="both"/>
      </w:pPr>
      <w:r>
        <w:rPr>
          <w:rFonts w:cs="Times;Sylfaen" w:ascii="Times;Sylfaen" w:hAnsi="Times;Sylfaen"/>
        </w:rPr>
        <w:t xml:space="preserve">As contribuições do trabalho são: (1) o classificador treinado em dados regerados dos pcaps do CICIoT2023, em janela única e com o rótulo decidido pela presença do atacante na janela; (2) a medida de dois problemas do dataset, a dependência do modelo em relação ao tamanho da janela e as janelas rotuladas como ataque sem nenhum quadro do atacante; (3) o sistema de três agentes ligados por MCP, com as garantias de segurança no servidor e aprovação humana das ações de risco alto; e (4) a comparação entre as configurações local, nuvem e híbrida em qualidade, custo e tempo.</w:t>
      </w:r>
    </w:p>
    <w:p>
      <w:pPr>
        <w:pStyle w:val="Normal"/>
        <w:tabs>
          <w:tab w:val="clear" w:pos="708"/>
          <w:tab w:val="left" w:pos="720" w:leader="none"/>
        </w:tabs>
        <w:spacing w:before="120" w:after="0"/>
        <w:ind w:firstLine="708" w:end="0"/>
        <w:jc w:val="both"/>
      </w:pPr>
      <w:r>
        <w:rPr>
          <w:rFonts w:cs="Times;Sylfaen" w:ascii="Times;Sylfaen" w:hAnsi="Times;Sylfaen"/>
        </w:rPr>
        <w:t xml:space="preserve">O artigo está organizado assim: a seção 2 apresenta o referencial teórico e os trabalhos correlatos; a seção 3, a metodologia, da captura do tráfego à avaliação dos agentes; a seção 4, os resultados e as limitações; e a seção 5, as conclusões e os trabalhos futuros.</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2. Referencial Teórico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2.1 Detecção de intrusão em redes IoT</w:t>
      </w:r>
    </w:p>
    <w:p>
      <w:pPr>
        <w:pStyle w:val="Normal"/>
        <w:tabs>
          <w:tab w:val="clear" w:pos="708"/>
          <w:tab w:val="left" w:pos="720" w:leader="none"/>
        </w:tabs>
        <w:spacing w:before="120" w:after="0"/>
        <w:ind w:firstLine="708" w:end="0"/>
        <w:jc w:val="both"/>
      </w:pPr>
      <w:r>
        <w:rPr>
          <w:rFonts w:cs="Times;Sylfaen" w:ascii="Times;Sylfaen" w:hAnsi="Times;Sylfaen"/>
        </w:rPr>
        <w:t xml:space="preserve">Um sistema de detecção de intrusão, ou IDS (Intrusion Detection System), examina o que acontece num computador ou numa rede em busca de sinais de ataque; quando examina o tráfego da rede, é um NIDS. A detecção pode ser por assinatura, que compara o tráfego com padrões de ataques já conhecidos, ou por aprendizado de máquina, em que um modelo aprende com exemplos rotulados o que separa o tráfego benigno do malicioso. É o segundo caso que o CICIoT2023 permite estudar: os autores publicam o tráfego rotulado e avaliam modelos de aprendizado de máquina e de aprendizado profundo na tarefa de classificá-lo (NETO et al., 2023).</w:t>
      </w:r>
    </w:p>
    <w:p>
      <w:pPr>
        <w:pStyle w:val="Normal"/>
        <w:tabs>
          <w:tab w:val="clear" w:pos="708"/>
          <w:tab w:val="left" w:pos="720" w:leader="none"/>
        </w:tabs>
        <w:spacing w:before="120" w:after="0"/>
        <w:ind w:firstLine="708" w:end="0"/>
        <w:jc w:val="both"/>
      </w:pPr>
      <w:r>
        <w:rPr>
          <w:rFonts w:cs="Times;Sylfaen" w:ascii="Times;Sylfaen" w:hAnsi="Times;Sylfaen"/>
        </w:rPr>
        <w:t xml:space="preserve">Os ataques do CICIoT2023 se dividem em sete categorias (NETO et al., 2023). Na negação de serviço distribuída, ou DDoS (Distributed Denial of Service), e na negação de serviço, ou DoS (Denial of Service), a vítima é esgotada por um volume de tráfego que vem de muitas origens ou de uma só. Mirai é a família de ataques de botnet que transforma dispositivos IoT em origem de floods. Recon reúne o reconhecimento da rede, por varredura de máquinas, de portas e de sistemas. No Spoofing, o atacante se passa por outro equipamento, como no envenenamento do Address Resolution Protocol (ARP) e do Domain Name System (DNS). Os ataques Web exploram aplicações, por injeção de comandos e de consultas ao banco de dados, por exemplo, e BruteForce é a tentativa de senhas por dicionário.</w:t>
      </w:r>
    </w:p>
    <w:p>
      <w:pPr>
        <w:pStyle w:val="Normal"/>
        <w:tabs>
          <w:tab w:val="clear" w:pos="708"/>
          <w:tab w:val="left" w:pos="720" w:leader="none"/>
        </w:tabs>
        <w:spacing w:before="120" w:after="0"/>
        <w:ind w:firstLine="708" w:end="0"/>
        <w:jc w:val="both"/>
      </w:pPr>
      <w:r>
        <w:rPr>
          <w:rFonts w:cs="Times;Sylfaen" w:ascii="Times;Sylfaen" w:hAnsi="Times;Sylfaen"/>
        </w:rPr>
        <w:t xml:space="preserve">O Random Forest combina muitas árvores de decisão, cada uma treinada numa amostra sorteada das linhas e com um sorteio das features em cada divisão, e decide pela votação delas. No benchmark dos autores do CICIoT2023, ele tem o maior F1 entre os cinco modelos avaliados, em 2, em 8 e em 34 classes, à frente da regressão logística, do perceptron, do AdaBoost e de uma rede neural profunda (NETO et al., 2023), e Doménech et al. (2025) também o usam ao comparar o CICIoT2023 com o CICIoMT2024. Além do desempenho, o Random Forest mede a importância de cada feature no próprio treino, o que este trabalho usa para dar aos agentes as features que pesam no incidente (seção 3.4).</w:t>
      </w:r>
    </w:p>
    <w:p>
      <w:pPr>
        <w:pStyle w:val="Normal"/>
        <w:tabs>
          <w:tab w:val="clear" w:pos="708"/>
          <w:tab w:val="left" w:pos="720" w:leader="none"/>
        </w:tabs>
        <w:spacing w:before="120" w:after="0"/>
        <w:ind w:firstLine="708" w:end="0"/>
        <w:jc w:val="both"/>
      </w:pPr>
      <w:r>
        <w:rPr>
          <w:rFonts w:cs="Times;Sylfaen" w:ascii="Times;Sylfaen" w:hAnsi="Times;Sylfaen"/>
        </w:rPr>
        <w:t xml:space="preserve">Detectar e responder são etapas diferentes: um NIDS termina no alerta, e um NIDR inclui a resposta. Neste trabalho, o classificador faz a detecção, e a resposta fica com agentes de LLM, que explicam o incidente e propõem a ação, aplicada sem aprovação humana só quando o risco é baixo (seção 3.5).</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2.2 Agentes de LLM e o Model Context Protocol</w:t>
      </w:r>
    </w:p>
    <w:p>
      <w:pPr>
        <w:pStyle w:val="Normal"/>
        <w:tabs>
          <w:tab w:val="clear" w:pos="708"/>
          <w:tab w:val="left" w:pos="720" w:leader="none"/>
        </w:tabs>
        <w:spacing w:before="120" w:after="0"/>
        <w:ind w:firstLine="708" w:end="0"/>
        <w:jc w:val="both"/>
      </w:pPr>
      <w:r>
        <w:rPr>
          <w:rFonts w:cs="Times;Sylfaen" w:ascii="Times;Sylfaen" w:hAnsi="Times;Sylfaen"/>
        </w:rPr>
        <w:t xml:space="preserve">Um agente de LLM é um modelo de linguagem que, além de responder, escolhe ferramentas, chama cada uma, lê o resultado e decide o passo seguinte, até chegar a uma resposta. O MCP padroniza a ligação entre o modelo e essas ferramentas: um servidor expõe as ferramentas, chamadas de tools, cada uma com nome, descrição e esquema de entrada, e o cliente, do lado do modelo, as oferece ao agente e repassa as chamadas (HOU et al., 2026). No SentryIoT, o servidor MCP é do próprio sistema, e cada agente enxerga só as tools do seu papel (seção 3.5).</w:t>
      </w:r>
    </w:p>
    <w:p>
      <w:pPr>
        <w:pStyle w:val="Normal"/>
        <w:tabs>
          <w:tab w:val="clear" w:pos="708"/>
          <w:tab w:val="left" w:pos="720" w:leader="none"/>
        </w:tabs>
        <w:spacing w:before="120" w:after="0"/>
        <w:ind w:firstLine="708" w:end="0"/>
        <w:jc w:val="both"/>
      </w:pPr>
      <w:r>
        <w:rPr>
          <w:rFonts w:cs="Times;Sylfaen" w:ascii="Times;Sylfaen" w:hAnsi="Times;Sylfaen"/>
        </w:rPr>
        <w:t xml:space="preserve">Os agentes do SentryIoT seguem o laço ReAct (YAO et al., 2023), em que o modelo alterna raciocínio e chamadas de ferramenta. Esse desenho expõe o sistema a duas famílias de ataque já descritas na literatura. A primeira é a injeção indireta de prompt (GRESHAKE et al., 2023): o modelo lê dados que não vêm de quem o usa, e instruções escondidas neles podem mudar o seu comportamento, como se o dado fosse código. Os autores veem difícil uma defesa infalível. No SentryIoT, os dados que o modelo lê descrevem tráfego de rede, que o atacante controla em parte.</w:t>
      </w:r>
    </w:p>
    <w:p>
      <w:pPr>
        <w:pStyle w:val="Normal"/>
        <w:tabs>
          <w:tab w:val="clear" w:pos="708"/>
          <w:tab w:val="left" w:pos="720" w:leader="none"/>
        </w:tabs>
        <w:spacing w:before="120" w:after="0"/>
        <w:ind w:firstLine="708" w:end="0"/>
        <w:jc w:val="both"/>
      </w:pPr>
      <w:r>
        <w:rPr>
          <w:rFonts w:cs="Times;Sylfaen" w:ascii="Times;Sylfaen" w:hAnsi="Times;Sylfaen"/>
        </w:rPr>
        <w:t xml:space="preserve">A segunda é a ameaça ao próprio MCP. Hou et al. (2026) descrevem o ciclo de vida de um servidor MCP e organizam as ameaças em 16 cenários, entre eles a injeção indireta por dados devolvidos pelas ferramentas, e apontam a casa inteligente e a IoT industrial como ambientes de risco específico. Radosevich e Halloran (2025) mostram que o Claude 3.7 e o Llama-3.3-70B podem ser levados a usar ferramentas do MCP para executar código malicioso, abrir acesso remoto e roubar credenciais no sistema de um desenvolvedor de inteligência artificial (IA), que o Claude também cai em ataque por dados corrompidos que recupera, e que as recusas dos modelos não são confiáveis; por isso propõem proteger também o servidor, com um auditor de servidores. Beurer-Kellner e Fischer (2025), da Invariant Labs, descrevem o </w:t>
      </w:r>
      <w:r>
        <w:rPr>
          <w:rFonts w:cs="Times;Sylfaen" w:ascii="Times;Sylfaen" w:hAnsi="Times;Sylfaen"/>
          <w:i/>
          <w:iCs/>
        </w:rPr>
        <w:t xml:space="preserve">tool poisoning</w:t>
      </w:r>
      <w:r>
        <w:rPr>
          <w:rFonts w:cs="Times;Sylfaen" w:ascii="Times;Sylfaen" w:hAnsi="Times;Sylfaen"/>
        </w:rPr>
        <w:t xml:space="preserve">, em que instruções maliciosas vão na descrição da ferramenta, visíveis ao modelo e não à pessoa, e o </w:t>
      </w:r>
      <w:r>
        <w:rPr>
          <w:rFonts w:cs="Times;Sylfaen" w:ascii="Times;Sylfaen" w:hAnsi="Times;Sylfaen"/>
          <w:i/>
          <w:iCs/>
        </w:rPr>
        <w:t xml:space="preserve">rug pull</w:t>
      </w:r>
      <w:r>
        <w:rPr>
          <w:rFonts w:cs="Times;Sylfaen" w:ascii="Times;Sylfaen" w:hAnsi="Times;Sylfaen"/>
        </w:rPr>
        <w:t xml:space="preserve">, em que o servidor muda a descrição depois de aprovada. Esses dois últimos trabalhos são, respectivamente, um preprint e um relato técnico de fornecedor, e não artigos revisados por pares.</w:t>
      </w:r>
    </w:p>
    <w:p>
      <w:pPr>
        <w:pStyle w:val="Normal"/>
        <w:tabs>
          <w:tab w:val="clear" w:pos="708"/>
          <w:tab w:val="left" w:pos="720" w:leader="none"/>
        </w:tabs>
        <w:spacing w:before="120" w:after="0"/>
        <w:ind w:firstLine="708" w:end="0"/>
        <w:jc w:val="both"/>
      </w:pPr>
      <w:r>
        <w:rPr>
          <w:rFonts w:cs="Times;Sylfaen" w:ascii="Times;Sylfaen" w:hAnsi="Times;Sylfaen"/>
        </w:rPr>
        <w:t xml:space="preserve">O SentryIoT difere no ponto de confiança: o servidor MCP é do próprio sistema, e não de terceiros, o que reduz parte desse risco, mas não o da injeção por dados de tráfego. Por isso o trabalho parte da premissa de que o modelo pode ser enganado e põe as garantias no servidor: a troca dos endereços por rótulos antes de qualquer dado ir à nuvem, a política de risco calculada sobre o endereço real e a aprovação humana das ações de risco alto (seção 3.5). O teste de </w:t>
      </w:r>
      <w:r>
        <w:rPr>
          <w:rFonts w:cs="Times;Sylfaen" w:ascii="Times;Sylfaen" w:hAnsi="Times;Sylfaen"/>
          <w:i/>
          <w:iCs/>
        </w:rPr>
        <w:t xml:space="preserve">tool poisoning</w:t>
      </w:r>
      <w:r>
        <w:rPr>
          <w:rFonts w:cs="Times;Sylfaen" w:ascii="Times;Sylfaen" w:hAnsi="Times;Sylfaen"/>
        </w:rPr>
        <w:t xml:space="preserve"> contra o servidor só entra se couber no calendário (seção 3.6).</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2.3 Trabalhos correlatos</w:t>
      </w:r>
    </w:p>
    <w:p>
      <w:pPr>
        <w:pStyle w:val="Normal"/>
        <w:tabs>
          <w:tab w:val="clear" w:pos="708"/>
          <w:tab w:val="left" w:pos="720" w:leader="none"/>
        </w:tabs>
        <w:spacing w:before="120" w:after="0"/>
        <w:ind w:firstLine="708" w:end="0"/>
        <w:jc w:val="both"/>
      </w:pPr>
      <w:r>
        <w:rPr>
          <w:rFonts w:cs="Times;Sylfaen" w:ascii="Times;Sylfaen" w:hAnsi="Times;Sylfaen"/>
        </w:rPr>
        <w:t xml:space="preserve">O CICIoT2023 reúne 33 ataques, agrupados em sete categorias, executados por dispositivos IoT maliciosos contra outros dispositivos numa topologia de 105 equipamentos (NETO et al., 2023). Os autores publicam os arquivos de captura (pcap), os CSVs (Comma-Separated Values) processados e o código de extração das features (CANADIAN INSTITUTE FOR CYBERSECURITY, 2023). As features são calculadas sobre janelas de pacotes e agregadas pela média, com janelas de 100 pacotes nas classes de grande volume (DDoS, DoS e Mirai) e de 10 nas demais (NETO et al., 2023). Doménech et al. (2025) também registram essa diferença ao comparar o CICIoT2023 com o CICIoMT2024, que repete o esquema, e recomendam, para o CICIoMT2024, uma janela única para todos os tipos de tráfego, porque o tamanho da janela muda a distribuição das features. Eles relatam ainda queda de até 66,87% no F1 do Random Forest em cinco classes quando o modelo é treinado no CICIoT2023 e testado no CICIoMT2024.</w:t>
      </w:r>
    </w:p>
    <w:p>
      <w:pPr>
        <w:pStyle w:val="Normal"/>
        <w:tabs>
          <w:tab w:val="clear" w:pos="708"/>
          <w:tab w:val="left" w:pos="720" w:leader="none"/>
        </w:tabs>
        <w:spacing w:before="120" w:after="0"/>
        <w:ind w:firstLine="708" w:end="0"/>
        <w:jc w:val="both"/>
      </w:pPr>
      <w:r>
        <w:rPr>
          <w:rFonts w:cs="Times;Sylfaen" w:ascii="Times;Sylfaen" w:hAnsi="Times;Sylfaen"/>
        </w:rPr>
        <w:t xml:space="preserve">Problemas na construção de conjuntos de dados já foram documentados em outros datasets do mesmo instituto. Engelen, Rimmer e Joosen (2021) revisitaram o CICIDS2017 e encontraram falhas na geração do tráfego, na construção dos fluxos, na extração das features e na rotulagem, e regeneraram o conjunto com uma metodologia corrigida. Liu et al. (2022) estenderam a análise ao CSE-CIC-IDS-2018 e relataram erros até então não documentados em todo o ciclo de criação, da orquestração dos ataques aos rótulos.</w:t>
      </w:r>
    </w:p>
    <w:p>
      <w:pPr>
        <w:pStyle w:val="Normal"/>
        <w:tabs>
          <w:tab w:val="clear" w:pos="708"/>
          <w:tab w:val="left" w:pos="720" w:leader="none"/>
        </w:tabs>
        <w:spacing w:before="120" w:after="0"/>
        <w:ind w:firstLine="708" w:end="0"/>
        <w:jc w:val="both"/>
      </w:pPr>
      <w:r>
        <w:rPr>
          <w:rFonts w:cs="Times;Sylfaen" w:ascii="Times;Sylfaen" w:hAnsi="Times;Sylfaen"/>
        </w:rPr>
        <w:t xml:space="preserve">Este trabalho segue essa linha com duas contribuições próprias: um teste direto do efeito do tamanho da janela, extraindo os mesmos pcaps com janelas de 10 e de 100 pacotes, e a medida de quantas janelas rotuladas como ataque não contêm nenhum pacote dos dispositivos atacantes. Aqui, o rótulo de ataque depende da presença do atacante na janela.</w:t>
      </w:r>
    </w:p>
    <w:p>
      <w:pPr>
        <w:pStyle w:val="Normal"/>
        <w:tabs>
          <w:tab w:val="clear" w:pos="708"/>
          <w:tab w:val="left" w:pos="720" w:leader="none"/>
        </w:tabs>
        <w:spacing w:before="120" w:after="0"/>
        <w:ind w:firstLine="708" w:end="0"/>
        <w:jc w:val="both"/>
      </w:pPr>
      <w:r>
        <w:rPr>
          <w:rFonts w:cs="Times;Sylfaen" w:ascii="Times;Sylfaen" w:hAnsi="Times;Sylfaen"/>
        </w:rPr>
        <w:t xml:space="preserve">No mercado, a detecção de intrusão com aprendizado de máquina aparece em plataformas comerciais. A Darktrace aprende o comportamento normal de cada entidade da rede e examina os desvios, em vez de aplicar regras fixas (DARKTRACE, 2024). A Vectra AI automatiza a detecção, a triagem e a priorização de ameaças em redes, nuvem e identidades (VECTRA AI, 2022). A Netskope aplica técnicas semelhantes à proteção de dados e à defesa contra ameaças no contexto de acesso seguro à nuvem (NETSKOPE, 2023). Este trabalho difere dessas soluções por avaliar o pipeline completo num dataset público, com código aberto (OLIVEIRA et al., 2026), e por manter o dado da rede no ambiente local na configuração híbrida.</w:t>
      </w:r>
    </w:p>
    <w:p>
      <w:pPr>
        <w:pStyle w:val="Normal"/>
        <w:tabs>
          <w:tab w:val="clear" w:pos="708"/>
          <w:tab w:val="left" w:pos="720" w:leader="none"/>
        </w:tabs>
        <w:spacing w:before="120" w:after="0"/>
        <w:ind w:firstLine="708" w:end="0"/>
        <w:jc w:val="both"/>
      </w:pPr>
      <w:r>
        <w:rPr>
          <w:rFonts w:cs="Times;Sylfaen" w:ascii="Times;Sylfaen" w:hAnsi="Times;Sylfaen"/>
        </w:rPr>
        <w:t xml:space="preserve">O uso de modelos de linguagem pagos por chamada traz um risco adicional. Kelly, Glavin e Barrett (2021) definem o </w:t>
      </w:r>
      <w:r>
        <w:rPr>
          <w:rFonts w:cs="Times;Sylfaen" w:ascii="Times;Sylfaen" w:hAnsi="Times;Sylfaen"/>
          <w:i/>
          <w:iCs/>
        </w:rPr>
        <w:t xml:space="preserve">Denial of Wallet</w:t>
      </w:r>
      <w:r>
        <w:rPr>
          <w:rFonts w:cs="Times;Sylfaen" w:ascii="Times;Sylfaen" w:hAnsi="Times;Sylfaen"/>
        </w:rPr>
        <w:t xml:space="preserve"> como um ataque que força o esgotamento financeiro da vítima em plataformas cobradas por uso. Num sistema que aciona agentes de LLM a cada incidente, o atacante pode provocar o mesmo efeito gerando incidentes em volume. O sistema responde a esse risco com a política de acionamento, que agrupa as janelas em incidentes, e com o teto por hora de incidentes que vão ao modelo de fronteira (seção 3.5).</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3. Metodologia</w:t>
      </w:r>
    </w:p>
    <w:p>
      <w:pPr>
        <w:pStyle w:val="Normal"/>
        <w:tabs>
          <w:tab w:val="clear" w:pos="708"/>
          <w:tab w:val="left" w:pos="720" w:leader="none"/>
        </w:tabs>
        <w:spacing w:before="120" w:after="0"/>
        <w:ind w:firstLine="708" w:end="0"/>
        <w:jc w:val="both"/>
      </w:pPr>
      <w:r>
        <w:rPr>
          <w:rFonts w:cs="Times;Sylfaen" w:ascii="Times;Sylfaen" w:hAnsi="Times;Sylfaen"/>
        </w:rPr>
        <w:t xml:space="preserve">Em relação à proposta da primeira etapa do Trabalho de Conclusão de Curso (TCC I), o trabalho mudou nos pontos a seguir. Não há classificação específica de MQTT (Message Queuing Telemetry Transport) e CoAP (Constrained Application Protocol), porque as 39 features só têm indicador para HTTP (Hypertext Transfer Protocol), HTTPS (Hypertext Transfer Protocol Secure), DNS, SSH (Secure Shell), Telnet, SMTP (Simple Mail Transfer Protocol), IRC (Internet Relay Chat) e DHCP (Dynamic Host Configuration Protocol). A extração lê arquivo pcap, e a captura ao vivo fica como trabalho futuro. Não houve busca de hiperparâmetros por grid search: o Random Forest usa os parâmetros padrão do scikit-learn, porque a contribuição do trabalho está na camada MCP. O N-BaIoT deixou de ser o dataset secundário, e nenhum outro o substituiu. O cenário de exfiltração de dados saiu da PoC (prova de conceito), porque o CICIoT2023 não tem essa classe. E os agentes rodam num modelo local, com modelos de nuvem só nos experimentos, em vez de um único modelo comercial em nuvem.</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3.1 Captura e extração de features</w:t>
      </w:r>
    </w:p>
    <w:p>
      <w:pPr>
        <w:pStyle w:val="Normal"/>
        <w:tabs>
          <w:tab w:val="clear" w:pos="708"/>
          <w:tab w:val="left" w:pos="720" w:leader="none"/>
        </w:tabs>
        <w:spacing w:before="120" w:after="0"/>
        <w:ind w:firstLine="708" w:end="0"/>
        <w:jc w:val="both"/>
      </w:pPr>
      <w:r>
        <w:rPr>
          <w:rFonts w:cs="Times;Sylfaen" w:ascii="Times;Sylfaen" w:hAnsi="Times;Sylfaen"/>
        </w:rPr>
        <w:t xml:space="preserve">O sistema processa tráfego bruto em arquivo pcap, e não apenas o CSV pré-processado do dataset, o que responde ao avaliador 2 do TCC I. A captura da rede grava um arquivo pcap com o tcpdump, a mesma ferramenta com que os autores do dataset capturaram e fatiaram os pcaps; a extração das 39 features por janela de quadros é feita com a biblioteca dpkt, como no código dos autores do dataset, e não com o Scapy previsto no TCC I. No código dos autores, o Scapy só é importado para Zigbee e Bluetooth e não contribui para nenhuma das 39 colunas.</w:t>
      </w:r>
    </w:p>
    <w:p>
      <w:pPr>
        <w:pStyle w:val="Normal"/>
        <w:tabs>
          <w:tab w:val="clear" w:pos="708"/>
          <w:tab w:val="left" w:pos="720" w:leader="none"/>
        </w:tabs>
        <w:spacing w:before="120" w:after="0"/>
        <w:ind w:firstLine="708" w:end="0"/>
        <w:jc w:val="both"/>
      </w:pPr>
      <w:r>
        <w:rPr>
          <w:rFonts w:cs="Times;Sylfaen" w:ascii="Times;Sylfaen" w:hAnsi="Times;Sylfaen"/>
        </w:rPr>
        <w:t xml:space="preserve">Os pcaps, os CSVs e o código de extração dos autores vêm da página oficial do CICIoT2023 (CANADIAN INSTITUTE FOR CYBERSECURITY, 2023), e o código e os scripts dos experimentos deste trabalho estão no repositório do projeto (OLIVEIRA et al., 2026). O trabalho não faz coleta in loco em dispositivos IoT reais: seria inviável no prazo, e o tráfego capturado não teria rótulo. O papel da captura é cumprido pelos pcaps brutos do CICIoT2023, que o extrator lê da mesma forma que leria um arquivo gravado na rede. O Wireshark não é necessário ao sistema: serve para inspecionar capturas, e o pcapng que ele grava por padrão se converte em pcap com o editcap. O Scapy também não é usado, porque a extração precisa repetir o cálculo dos autores, feito com o dpkt.</w:t>
      </w:r>
    </w:p>
    <w:p>
      <w:pPr>
        <w:pStyle w:val="Normal"/>
        <w:tabs>
          <w:tab w:val="clear" w:pos="708"/>
          <w:tab w:val="left" w:pos="720" w:leader="none"/>
        </w:tabs>
        <w:spacing w:before="120" w:after="0"/>
        <w:ind w:firstLine="708" w:end="0"/>
        <w:jc w:val="both"/>
      </w:pPr>
      <w:r>
        <w:rPr>
          <w:rFonts w:cs="Times;Sylfaen" w:ascii="Times;Sylfaen" w:hAnsi="Times;Sylfaen"/>
        </w:rPr>
        <w:t xml:space="preserve">Numa implantação numa casa ou num pequeno comércio, o público-alvo do trabalho (seção 1), como um restaurante com televisores, câmeras, sensores e assistentes de voz na rede, o gateway do SentryIoT fica entre o modem da operadora e os aparelhos e, de preferência, é também o ponto de acesso Wi-Fi. No modo comum do Wi-Fi, um aparelho não fala direto com outro: todo quadro passa pelo ponto de acesso. Assim o gateway vê também o tráfego de um aparelho para outro, que é o dos ataques do CICIoT2023, em que os atacantes estão na mesma rede das vítimas. Os aparelhos IoT ficam numa rede própria, separada da de computadores e celulares, e o tráfego entre as redes também cruza o gateway, que é onde as ações do catálogo seriam aplicadas, no firewall dele. Ali o tcpdump grava a interface da rede IoT de forma contínua, com o quadro inteiro, porque um limite curto encolhe as colunas de tamanho, e um arquivo novo a cada intervalo. A gravação é feita na interface da rede, e não no enlace que leva várias redes com etiqueta de VLAN (Virtual Local Area Network), porque o extrator descarta o quadro etiquetado, como o código dos autores. A PoC lê arquivos fechados; o extrator já recebe um quadro por vez, e a captura ao vivo fica como um adaptador futuro sobre ele. Num teste de 25/10, 5.000 quadros do Wi-Fi de um notebook, gravados com o tcpdump, passaram pelo reprodutor sem conversão, do extrator à abertura de incidentes: um arquivo gravado fora do dataset entra no sistema. Os achados desse teste estão nas Limitações.</w:t>
      </w:r>
    </w:p>
    <w:p>
      <w:pPr>
        <w:pStyle w:val="Normal"/>
        <w:tabs>
          <w:tab w:val="clear" w:pos="708"/>
          <w:tab w:val="left" w:pos="720" w:leader="none"/>
        </w:tabs>
        <w:spacing w:before="120" w:after="0"/>
        <w:ind w:firstLine="708" w:end="0"/>
        <w:jc w:val="both"/>
      </w:pPr>
      <w:r>
        <w:rPr>
          <w:rFonts w:cs="Times;Sylfaen" w:ascii="Times;Sylfaen" w:hAnsi="Times;Sylfaen"/>
        </w:rPr>
        <w:t xml:space="preserve">O extrator foi calibrado em duas etapas. Na primeira, contra os CSVs oficiais de 5 pcaps, um por família (DDoS, DoS, Mirai, Recon e BruteForce), somando 167.304 linhas, as 39 colunas foram reproduzidas sem nenhuma divergência, com tolerância relativa de 1e-9; o maior desvio relativo observado, de 9,88e-13, é da ordem do arredondamento de ponto flutuante. Na segunda, os 38 pcaps foram extraídos como os autores extraíram, em pedaços de 10 MB e com a janela da classe, e cada linha foi procurada entre as linhas do mesmo rótulo no MERGED_CSV inteiro, com os 39 valores iguais até cerca de 9 algarismos significativos. Em 15 rótulos, toda linha do MERGED_CSV tem par entre as nossas, o que não aconteceria se o cálculo divergisse em alguma janela; do nosso lado, entre 95,53% e 99,00% das linhas de cada pcap têm par, e o que falta vem dos arquivos do MERGED_CSV truncados na fonte oficial. Na regeração e na operação, o pcap é lido de uma vez, sem o fatiamento de 10 MB; as distribuições das duas leituras são praticamente iguais, com distância de Kolmogorov-Smirnov de no máximo 0,0102 entre as 39 colunas.</w:t>
      </w:r>
    </w:p>
    <w:p>
      <w:pPr>
        <w:pStyle w:val="Normal"/>
        <w:tabs>
          <w:tab w:val="clear" w:pos="708"/>
          <w:tab w:val="left" w:pos="720" w:leader="none"/>
        </w:tabs>
        <w:spacing w:before="120" w:after="0"/>
        <w:ind w:firstLine="708" w:end="0"/>
        <w:jc w:val="both"/>
      </w:pPr>
      <w:r>
        <w:rPr>
          <w:rFonts w:cs="Times;Sylfaen" w:ascii="Times;Sylfaen" w:hAnsi="Times;Sylfaen"/>
        </w:rPr>
        <w:t xml:space="preserve">O sistema lê o pcap, e não registros NetFlow, outro ponto levantado pela banca do TCC I. Um registro NetFlow típico resume cada fluxo em poucos campos: endereços, portas, protocolo, quantidade de pacotes e de bytes, instantes de início e fim e, no máximo, a união das flags TCP (Transmission Control Protocol) do fluxo. É leve e não guarda conteúdo, mas perde o que as 39 features do CICIoT2023 medem quadro a quadro: a flag de cada pacote, o tamanho de cada quadro e a variação entre eles (Min, Max, Std), o intervalo entre chegadas (Inter-Arrival Time, IAT) e a fração da janela em cada protocolo de aplicação. O custo do pcap é o volume, já que os 38 pcaps usados somam cerca de 46 GB, e a exposição do conteúdo dos pacotes na captura; o extrator guarda só os campos de cabeçalho que mede e os endereços da janela, e nenhum conteúdo de pacote chega aos agentes. Numa rede que só exporte NetFlow, o classificador teria de ser treinado de novo, com outro conjunto de features.</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3.2 Pré-processamento e amostragem</w:t>
      </w:r>
    </w:p>
    <w:p>
      <w:pPr>
        <w:pStyle w:val="Normal"/>
        <w:tabs>
          <w:tab w:val="clear" w:pos="708"/>
          <w:tab w:val="left" w:pos="720" w:leader="none"/>
        </w:tabs>
        <w:spacing w:before="120" w:after="0"/>
        <w:ind w:firstLine="708" w:end="0"/>
        <w:jc w:val="both"/>
      </w:pPr>
      <w:r>
        <w:rPr>
          <w:rFonts w:cs="Times;Sylfaen" w:ascii="Times;Sylfaen" w:hAnsi="Times;Sylfaen"/>
        </w:rPr>
        <w:t xml:space="preserve">Na fase exploratória, o MERGED_CSV publicado pelos autores (45.019.234 linhas, 63 arquivos) foi amostrado com teto de 50.000 linhas por rótulo e semente fixa (42), preservando integralmente as classes raras. A amostra resultante tem 1.288.479 linhas. Os rótulos (34 classes) são normalizados e mapeados para 7 categorias, com DDoS e DoS juntos. As features descrevem os pacotes, e não quantas máquinas atacam: 29,5% das linhas do MERGED_CSV têm o vetor das 39 features igual ao de uma linha de outra categoria, quase sempre o mesmo flood rotulado como DDoS e como DoS. A separação entre os dois é feita depois, pela quantidade de endereços de origem do incidente, fora do modelo.</w:t>
      </w:r>
    </w:p>
    <w:p>
      <w:pPr>
        <w:pStyle w:val="Normal"/>
        <w:tabs>
          <w:tab w:val="clear" w:pos="708"/>
          <w:tab w:val="left" w:pos="720" w:leader="none"/>
        </w:tabs>
        <w:spacing w:before="120" w:after="0"/>
        <w:ind w:firstLine="708" w:end="0"/>
        <w:jc w:val="both"/>
      </w:pPr>
      <w:r>
        <w:rPr>
          <w:rFonts w:cs="Times;Sylfaen" w:ascii="Times;Sylfaen" w:hAnsi="Times;Sylfaen"/>
        </w:rPr>
        <w:t xml:space="preserve">Os dados de treino finais, porém, não vêm do MERGED_CSV: são regerados a partir dos pcaps com o nosso extrator. O motivo está na seção 3.3 e nas limitações do dataset: a janela de agregação varia com a classe e o rótulo é do arquivo inteiro. Na regeração, cada um dos 38 pcaps é extraído em janela única. Os 34 rótulos têm pcap: 31 com um arquivo, DDoS-SYN_Flood e DoS-SYN_Flood com dois cada e BenignTraffic com três. Numa captura benigna toda janela é benigna, e numa captura de ataque a janela só recebe o rótulo do arquivo se contém um quadro de um dos sete Raspberry Pi atacantes documentados pelos autores, e é descartada caso contrário. As janelas descartadas, o tráfego de fundo das capturas de ataque, ficam à parte; no treino do modelo do sistema, as da parte de treino de cada pcap entram como benignas (seção 3.3). A divisão treino/teste é por tempo dentro de cada pcap (os primeiros 70% das janelas para o treino) ou por arquivo inteiro quando o rótulo tem mais de um pcap (o último, pelo sufixo numérico do nome, fica no teste), o que evita que janelas vizinhas caiam dos dois lados. O teto de 50.000 janelas por rótulo e a semente 42 são mantidos.</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3.3 Treino e avaliação do classificador</w:t>
      </w:r>
    </w:p>
    <w:p>
      <w:pPr>
        <w:pStyle w:val="Normal"/>
        <w:tabs>
          <w:tab w:val="clear" w:pos="708"/>
          <w:tab w:val="left" w:pos="720" w:leader="none"/>
        </w:tabs>
        <w:spacing w:before="120" w:after="0"/>
        <w:ind w:firstLine="708" w:end="0"/>
        <w:jc w:val="both"/>
      </w:pPr>
      <w:r>
        <w:rPr>
          <w:rFonts w:cs="Times;Sylfaen" w:ascii="Times;Sylfaen" w:hAnsi="Times;Sylfaen"/>
        </w:rPr>
        <w:t xml:space="preserve">As métricas do classificador são a precisão, o recall e o F1 de cada categoria e a taxa de falso positivo, com destaque para o tráfego benigno classificado como ataque. O resultado principal é a tabela por categoria no corte por tempo, no ponto de operação, com dois controles ao lado: o recall com o pcap inteiro fora do treino e o alarme falso com cada pcap benigno fora do treino. O macro-F1 é relatado, mas não é o número principal: dá o mesmo peso a categorias com 273 e com 214.373 janelas de teste e não mostra onde o modelo erra. A acurácia global também não é: DDoS e DoS somam 89,5% das linhas do MERGED_CSV, e, com as duas juntas, um modelo que respondesse DDoS+DoS para tudo acertaria 78,4% das janelas de teste do sistema.</w:t>
      </w:r>
    </w:p>
    <w:p>
      <w:pPr>
        <w:pStyle w:val="Normal"/>
        <w:tabs>
          <w:tab w:val="clear" w:pos="708"/>
          <w:tab w:val="left" w:pos="720" w:leader="none"/>
        </w:tabs>
        <w:spacing w:before="120" w:after="0"/>
        <w:ind w:firstLine="708" w:end="0"/>
        <w:jc w:val="both"/>
      </w:pPr>
      <w:r>
        <w:rPr>
          <w:rFonts w:cs="Times;Sylfaen" w:ascii="Times;Sylfaen" w:hAnsi="Times;Sylfaen"/>
        </w:rPr>
        <w:t xml:space="preserve">Na fase exploratória, o Random Forest (scikit-learn, 100 árvores, parâmetros padrão) foi treinado e avaliado na amostra do MERGED_CSV descrita acima, com 80% das linhas para o treino e 20% para o teste. Duas estratégias de divisão foram testadas: sorteio estratificado de linhas (15,11% dos vetores de teste também aparecem no treino, por causa de features repetidas) e divisão por grupos de vetores idênticos (0% de sobreposição). Duas priores de treino também foram comparadas: a proporção da própria amostra e a proporção natural do dataset completo, por peso de amostra.</w:t>
      </w:r>
    </w:p>
    <w:p>
      <w:pPr>
        <w:pStyle w:val="Normal"/>
        <w:tabs>
          <w:tab w:val="clear" w:pos="708"/>
          <w:tab w:val="left" w:pos="720" w:leader="none"/>
        </w:tabs>
        <w:spacing w:before="120" w:after="0"/>
        <w:ind w:firstLine="708" w:end="0"/>
        <w:jc w:val="both"/>
      </w:pPr>
      <w:r>
        <w:rPr>
          <w:rFonts w:cs="Times;Sylfaen" w:ascii="Times;Sylfaen" w:hAnsi="Times;Sylfaen"/>
        </w:rPr>
        <w:t xml:space="preserve">Na configuração tomada como referência (7 categorias, sorteio estratificado, priori da amostra, 39 features), a acurácia é de 93,81% na amostra de teste, ou 98,58% reponderada para a distribuição natural do dataset completo, e o macro-F1 é de 74,11% (69,96% reponderado). A divisão por grupos dá valores da mesma ordem, e a diferença entre as duas não se distingue do ruído entre sementes. Com a priori natural, o tráfego benigno classificado como ataque cai de 46,38% para 14,48%, mas o recall reponderado de Recon cai de 92,52% para 78,87%, e o de BruteForce, de 33,55% para 12,98%.</w:t>
      </w:r>
    </w:p>
    <w:p>
      <w:pPr>
        <w:pStyle w:val="Normal"/>
        <w:tabs>
          <w:tab w:val="clear" w:pos="708"/>
          <w:tab w:val="left" w:pos="720" w:leader="none"/>
        </w:tabs>
        <w:spacing w:before="120" w:after="0"/>
        <w:ind w:firstLine="708" w:end="0"/>
        <w:jc w:val="both"/>
      </w:pPr>
      <w:r>
        <w:rPr>
          <w:rFonts w:cs="Times;Sylfaen" w:ascii="Times;Sylfaen" w:hAnsi="Times;Sylfaen"/>
        </w:rPr>
        <w:t xml:space="preserve">Um teste adicional, isolando o efeito do tamanho da janela, mostrou que o modelo treinado nas janelas do MERGED_CSV (100 pacotes para DDoS, DoS e Mirai, 10 para as demais) não generaliza para uma janela única na operação: o recall de floods HTTP cai a menos de 2% quando extraídos em janela de 10, e o recall de varredura de portas e força bruta cai a 0 a 18% quando extraídos em janela de 100. Retirar as seis colunas que dependem do tamanho da janela não resolve. Foi esse resultado que levou à regeração dos dados (seção 3.2).</w:t>
      </w:r>
    </w:p>
    <w:p>
      <w:pPr>
        <w:pStyle w:val="Normal"/>
        <w:tabs>
          <w:tab w:val="clear" w:pos="708"/>
          <w:tab w:val="left" w:pos="720" w:leader="none"/>
        </w:tabs>
        <w:spacing w:before="120" w:after="0"/>
        <w:ind w:firstLine="708" w:end="0"/>
        <w:jc w:val="both"/>
      </w:pPr>
      <w:r>
        <w:rPr>
          <w:rFonts w:cs="Times;Sylfaen" w:ascii="Times;Sylfaen" w:hAnsi="Times;Sylfaen"/>
        </w:rPr>
        <w:t xml:space="preserve">O classificador do sistema é treinado de outra forma, nos dados regerados (seção 3.2): um Random Forest de 100 árvores, com os parâmetros padrão do scikit-learn e sem busca de hiperparâmetros, nas 39 features, em 7 categorias, com janela de 100 quadros, teto de 50.000 janelas por rótulo, semente 42 e a divisão por tempo e por arquivo descrita na seção 3.2. As janelas de fundo da parte de treino de cada pcap de ataque, sem nenhum quadro do atacante, entram no treino como benignas. São 567.732 janelas rotuladas e 40.966 de fundo no treino, e 273.566 janelas de teste.</w:t>
      </w:r>
    </w:p>
    <w:p>
      <w:pPr>
        <w:pStyle w:val="Normal"/>
        <w:tabs>
          <w:tab w:val="clear" w:pos="708"/>
          <w:tab w:val="left" w:pos="720" w:leader="none"/>
        </w:tabs>
        <w:spacing w:before="120" w:after="0"/>
        <w:ind w:firstLine="708" w:end="0"/>
        <w:jc w:val="both"/>
      </w:pPr>
      <w:r>
        <w:rPr>
          <w:rFonts w:cs="Times;Sylfaen" w:ascii="Times;Sylfaen" w:hAnsi="Times;Sylfaen"/>
        </w:rPr>
        <w:t xml:space="preserve">A janela de 100 quadros foi escolhida com os dois modelos treinados sem o fundo: macro-F1 de 82,3% contra 75,7% com janela de 10, e 1,9% contra 12,7% das janelas de um pcap benigno fora do treino classificadas como ataque.</w:t>
      </w:r>
    </w:p>
    <w:p>
      <w:pPr>
        <w:pStyle w:val="Normal"/>
        <w:tabs>
          <w:tab w:val="clear" w:pos="708"/>
          <w:tab w:val="left" w:pos="720" w:leader="none"/>
        </w:tabs>
        <w:spacing w:before="120" w:after="0"/>
        <w:ind w:firstLine="708" w:end="0"/>
        <w:jc w:val="both"/>
      </w:pPr>
      <w:r>
        <w:rPr>
          <w:rFonts w:cs="Times;Sylfaen" w:ascii="Times;Sylfaen" w:hAnsi="Times;Sylfaen"/>
        </w:rPr>
        <w:t xml:space="preserve">O tráfego de fundo entrou no treino depois de medido o que o modelo fazia com ele. Treinado sem o fundo, o modelo classificava como ataque 72,3% das janelas de fundo da parte de teste e, com o pcap BenignTraffic fora do treino, 38,5% das janelas desse pcap, 32% do pcap como Recon. Seis configurações de treino foram comparadas com três sementes (42, 1 e 2), por diferenças pareadas na mesma semente e nas mesmas janelas, com intervalo de 95% por reamostragem de blocos de 10 janelas vizinhas. O fundo como benigno baixa os dois números para 13,3% e 5,4%; normalizar o tamanho do quadro não os baixa. A equipe fixou antes da medida a regra para adotar o fundo no treino: na média das sementes, (a) benigno classificado como ataque abaixo de 10% no pior pcap benigno fora do treino, (b) recall de DDoS+DoS de pelo menos 98% no corte por tempo e (c) queda de no máximo 5 pontos no recall do pcap Recon-PortScan com o pcap fora do treino. As três foram atendidas, com 5,4%, 98,37% e queda de 3,53 pontos, mas o intervalo de 95% da diferença em (c) vai de −5,29 a −1,77 pontos e passa do limite na ponta inferior. A condição (c) foi medida no trecho de teste do pcap (850 janelas), como todas as medidas com o pcap fora do treino; no pcap inteiro (3.783 janelas), o recall vai de 89,7% para 83,4%, queda de 6,26 pontos, e por ele a condição falharia. A adoção foi mantida porque a regra foi aplicada como fixada e o ganho no alarme falso é grande.</w:t>
      </w:r>
    </w:p>
    <w:p>
      <w:pPr>
        <w:pStyle w:val="Normal"/>
        <w:tabs>
          <w:tab w:val="clear" w:pos="708"/>
          <w:tab w:val="left" w:pos="720" w:leader="none"/>
        </w:tabs>
        <w:spacing w:before="120" w:after="0"/>
        <w:ind w:firstLine="708" w:end="0"/>
        <w:jc w:val="both"/>
      </w:pPr>
      <w:r>
        <w:rPr>
          <w:rFonts w:cs="Times;Sylfaen" w:ascii="Times;Sylfaen" w:hAnsi="Times;Sylfaen"/>
        </w:rPr>
        <w:t xml:space="preserve">A decisão sobre cada janela segue um ponto de operação escolhido numa parte de validação, separada do teste: as últimas 15% da parte de treino de cada pcap, por tempo. Um modelo treinado no restante da parte de treino classifica todas as janelas da validação, 9.866 benignas e 321.428 de ataque. Concorrem a categoria mais provável (argmax) e o limiar, em que a janela é ataque se 1 − P(Benign) ≥ t, na categoria de ataque mais provável, com t de 0,01 em 0,01; entre os candidatos que deixam no máximo 1% das janelas benignas como ataque, vence o de maior recall de ataque. No modelo do sistema venceu o argmax, com 0,79% do benigno como ataque e 99,55% de recall de ataque, contra 0,95% e 99,51% no melhor limiar (t = 0,61). Um incidente só abre com 3 janelas de ataque seguidas. O modelo do sistema é o do treino inteiro, com a regra e o N gravados ao lado dele. Os relatórios do treino e do ponto de operação estão no repositório do projeto, em experimentos/resultados/regeracao.md e experimentos/resultados/ponto_de_operacao.md (OLIVEIRA et al., 2026).</w:t>
      </w:r>
    </w:p>
    <w:p>
      <w:pPr>
        <w:pStyle w:val="Normal"/>
        <w:tabs>
          <w:tab w:val="clear" w:pos="708"/>
          <w:tab w:val="left" w:pos="720" w:leader="none"/>
        </w:tabs>
        <w:spacing w:before="120" w:after="0"/>
        <w:ind w:firstLine="708" w:end="0"/>
        <w:jc w:val="both"/>
      </w:pPr>
      <w:r>
        <w:rPr>
          <w:rFonts w:cs="Times;Sylfaen" w:ascii="Times;Sylfaen" w:hAnsi="Times;Sylfaen"/>
        </w:rPr>
        <w:t xml:space="preserve">Os controles medem o que o corte por tempo não mostra: o recall de cada pcap quando nenhuma janela dele entra no treino, o alarme falso com cada um dos três pcaps benignos fora do treino, um por vez, e o fundo da parte de teste classificado como ataque. Os resultados estão na seção 4.1. Os controles do modelo anterior, de 10/10, que não foram refeitos para o do sistema (cinco sementes, importância por permutação, intervalos das classes raras e custo) estão no repositório do projeto.</w:t>
      </w:r>
    </w:p>
    <w:p>
      <w:pPr>
        <w:pStyle w:val="Normal"/>
        <w:tabs>
          <w:tab w:val="clear" w:pos="708"/>
          <w:tab w:val="left" w:pos="720" w:leader="none"/>
        </w:tabs>
        <w:spacing w:before="120" w:after="0"/>
        <w:ind w:firstLine="708" w:end="0"/>
        <w:jc w:val="both"/>
      </w:pPr>
      <w:r>
        <w:rPr>
          <w:rFonts w:cs="Times;Sylfaen" w:ascii="Times;Sylfaen" w:hAnsi="Times;Sylfaen"/>
        </w:rPr>
        <w:t xml:space="preserve">O Spoofing depende da captura. 84% das janelas de Spoofing têm quadro menor que 60 bytes, gravado sem o preenchimento do Ethernet, o que nas demais categorias quase não acontece. No modelo de 10/10, o fundo dos dois pcaps de spoofing, sem quadro do atacante, caía na categoria Spoofing em 97,7% e 99,5% das janelas, e com o quadro medido como no fio o recall de Spoofing caía de 99,4% para 88,2% no corte por tempo e de 97% para 66% com o pcap fora do treino. A medida como no fio não foi adotada, e o artefato fica como limitação (seção 4.2).</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3.4 Justificativa do Random Forest</w:t>
      </w:r>
    </w:p>
    <w:p>
      <w:pPr>
        <w:pStyle w:val="Normal"/>
        <w:tabs>
          <w:tab w:val="clear" w:pos="708"/>
          <w:tab w:val="left" w:pos="720" w:leader="none"/>
        </w:tabs>
        <w:spacing w:before="120" w:after="0"/>
        <w:ind w:firstLine="708" w:end="0"/>
        <w:jc w:val="both"/>
      </w:pPr>
      <w:r>
        <w:rPr>
          <w:rFonts w:cs="Times;Sylfaen" w:ascii="Times;Sylfaen" w:hAnsi="Times;Sylfaen"/>
        </w:rPr>
        <w:t xml:space="preserve">O modelo escolhido é o Random Forest, e não uma rede neural, por dois motivos: no benchmark publicado pelos autores do dataset (NETO et al., 2023), ele está entre os melhores modelos testados; e, mais importante para o restante do sistema, a importância de cada feature sai do próprio treino, sem um método de explicação à parte. Neste trabalho, a importância é medida por redução média de impureza e vale para o modelo inteiro. Para cada incidente, o servidor entrega aos agentes as features principais, com o valor de referência do tráfego benigno, e é esse o insumo da recomendação de mitigação. </w:t>
      </w:r>
      <w:r>
        <w:rPr>
          <w:rFonts w:cs="Times;Sylfaen" w:ascii="Times;Sylfaen" w:hAnsi="Times;Sylfaen"/>
          <w:highlight w:val="yellow"/>
        </w:rPr>
        <w:t xml:space="preserve">[PENDENTE: dizer como as features principais de um incidente são escolhidas; se for adotada atribuição por decisão, como o TreeSHAP, citar o método.]</w:t>
      </w:r>
      <w:r>
        <w:rPr>
          <w:rFonts w:cs="Times;Sylfaen" w:ascii="Times;Sylfaen" w:hAnsi="Times;Sylfaen"/>
        </w:rPr>
        <w:t xml:space="preserve"> O protocolo dos autores não é reproduzido aqui: o notebook publicado não treina o Random Forest, e os nossos dados de treino são regerados dos pcaps, então os números não se comparam diretamente com os do artigo do dataset. A diferença começa nas colunas: o modelo do artigo usou 46 features, e os arquivos públicos trazem 39, sem oito delas, como Srate, Drate e Covariance. Com as 39, 29,49% das linhas do MERGED_CSV repetem o vetor de uma linha de outra categoria, e o acerto em 8 categorias no conjunto completo não passa de 92,87%, abaixo dos 99,44% publicados para o Random Forest.</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3.5 Servidor MCP e sistema multiagente</w:t>
      </w:r>
    </w:p>
    <w:p>
      <w:pPr>
        <w:pStyle w:val="Normal"/>
        <w:tabs>
          <w:tab w:val="clear" w:pos="708"/>
          <w:tab w:val="left" w:pos="720" w:leader="none"/>
        </w:tabs>
        <w:spacing w:before="120" w:after="0"/>
        <w:ind w:firstLine="708" w:end="0"/>
        <w:jc w:val="both"/>
      </w:pPr>
      <w:r>
        <w:rPr>
          <w:rFonts w:cs="Times;Sylfaen" w:ascii="Times;Sylfaen" w:hAnsi="Times;Sylfaen"/>
        </w:rPr>
        <w:t xml:space="preserve">O servidor da PoC é o servidor MCP em modo de reprodução, que atende os incidentes reais do reprodutor de tráfego. O contrato, na versão 0.3.0, tem 10 tools MCP divididas entre os três agentes (triagem, decisão e execução) e grava cada passo num log de eventos em JSONL (JSON Lines). O incidente traz a categoria do modelo, que junta DDoS e DoS (DDoS+DoS), e a categoria depois da regra que separa os dois pela quantidade de origens. As respostas saem de um catálogo de cinco ações: limitar_taxa, bloquear_ip, isolar_dispositivo, revogar_credencial e fechar_porta, esta </w:t>
      </w:r>
      <w:r>
        <w:rPr>
          <w:rFonts w:cs="Times;Sylfaen" w:ascii="Times;Sylfaen" w:hAnsi="Times;Sylfaen"/>
          <w:highlight w:val="yellow"/>
        </w:rPr>
        <w:t xml:space="preserve">[a implementar]</w:t>
      </w:r>
      <w:r>
        <w:rPr>
          <w:rFonts w:cs="Times;Sylfaen" w:ascii="Times;Sylfaen" w:hAnsi="Times;Sylfaen"/>
        </w:rPr>
        <w:t xml:space="preserve">, que fecha no firewall do gateway o acesso a uma porta de um dispositivo, com o alvo no formato 23/tcp@destino-1. Para isso, o incidente passa a trazer as portas de destino mais frequentes, tiradas dos cabeçalhos TCP e UDP (User Datagram Protocol) fora das 39 features, e o resumo lido pelo agente de decisão as mostra </w:t>
      </w:r>
      <w:r>
        <w:rPr>
          <w:rFonts w:cs="Times;Sylfaen" w:ascii="Times;Sylfaen" w:hAnsi="Times;Sylfaen"/>
          <w:highlight w:val="yellow"/>
        </w:rPr>
        <w:t xml:space="preserve">[a implementar]</w:t>
      </w:r>
      <w:r>
        <w:rPr>
          <w:rFonts w:cs="Times;Sylfaen" w:ascii="Times;Sylfaen" w:hAnsi="Times;Sylfaen"/>
        </w:rPr>
        <w:t xml:space="preserve">. Fora do catálogo, o agente pode propor uma ação nova, que é sempre de risco alto. A política de risco separa as ações de risco baixo, aplicadas sem aprovação, das de risco alto, que dependem de aprovação humana, e limita a 10 as propostas que aguardam aprovação em cada incidente, porque a fila é lida por uma pessoa e um agente enganado por conteúdo vindo da rede poderia enchê-la. Como a origem de um flood UDP ou ICMP (Internet Control Message Protocol) pode ser forjada, bloquear uma origem da rede local é de risco alto, os endereços críticos (o servidor MCP, o host do modelo local e o resolvedor DNS) são protegidos, e o teto de medidas de risco baixo ativas vale por incidente (5) e para o sistema todo (10). O custo de tokens é contido de outra forma: os agentes recebem o resumo do incidente, e não as janelas, e o detalhe vem em fatias de até 20 janelas. Na PoC, a resposta é executada num ambiente simulado, com aprovação humana e possibilidade de desfazer, e a verificação do efeito responde sempre que o ataque cessou (seção 4.2).</w:t>
      </w:r>
    </w:p>
    <w:p>
      <w:pPr>
        <w:pStyle w:val="Normal"/>
        <w:tabs>
          <w:tab w:val="clear" w:pos="708"/>
          <w:tab w:val="left" w:pos="720" w:leader="none"/>
        </w:tabs>
        <w:spacing w:before="120" w:after="0"/>
        <w:ind w:firstLine="708" w:end="0"/>
        <w:jc w:val="both"/>
      </w:pPr>
      <w:r>
        <w:rPr>
          <w:rFonts w:cs="Times;Sylfaen" w:ascii="Times;Sylfaen" w:hAnsi="Times;Sylfaen"/>
        </w:rPr>
        <w:t xml:space="preserve">A arquitetura é híbrida (Figura 1): o agente de decisão roda num modelo de fronteira, pela nuvem, e coordena o incidente. Ele aceita ou descarta o veredito da triagem, propõe a ação e propõe outra quando o efeito verificado mostra que a anterior não resolveu. O encadeamento dos agentes (chamar a triagem, esperar a aprovação no log e chamar a execução) fica em código, num orquestrador que não é um quarto agente </w:t>
      </w:r>
      <w:r>
        <w:rPr>
          <w:rFonts w:cs="Times;Sylfaen" w:ascii="Times;Sylfaen" w:hAnsi="Times;Sylfaen"/>
          <w:highlight w:val="yellow"/>
        </w:rPr>
        <w:t xml:space="preserve">[a implementar]</w:t>
      </w:r>
      <w:r>
        <w:rPr>
          <w:rFonts w:cs="Times;Sylfaen" w:ascii="Times;Sylfaen" w:hAnsi="Times;Sylfaen"/>
        </w:rPr>
        <w:t xml:space="preserve">. Os agentes de triagem e de execução, com a verificação do efeito, rodam no modelo local, uma variante sem censura do Qwen3.8 de 27 bilhões de parâmetros (qwen3.8-27c), chamada por uma API (Application Programming Interface) compatível com a da OpenAI. Ela foi escolhida numa comparação com o Qwen normal (qwen3.8-27b) na triagem e na decisão: o normal entrou em laço em metade das triagens, e a variante sempre chegou a um veredito, com cerca de um terço dos tokens. A variante sem censura não recusa a análise de um ataque, mas obedece com mais facilidade a uma instrução escondida no tráfego, e por isso as garantias do sistema ficam no servidor, e não no modelo. A triagem marca como duvidoso todo incidente com confiança do classificador abaixo de 0,6: nos 235 incidentes da avaliação dos 38 pcaps, esse limiar pega 24 dos 57 incidentes falsos e marca 4 dos 178 verdadeiros. Na PoC, quem serve o modelo é um servidor de inferência compatível com a API da OpenAI, num gateway interno de outra organização, numa rede que não é da equipe, com hardware e quantização desconhecidos </w:t>
      </w:r>
      <w:r>
        <w:rPr>
          <w:rFonts w:cs="Times;Sylfaen" w:ascii="Times;Sylfaen" w:hAnsi="Times;Sylfaen"/>
          <w:highlight w:val="yellow"/>
        </w:rPr>
        <w:t xml:space="preserve">[CONFERIR com quem mantém o gateway: a variante exata e a quantização]</w:t>
      </w:r>
      <w:r>
        <w:rPr>
          <w:rFonts w:cs="Times;Sylfaen" w:ascii="Times;Sylfaen" w:hAnsi="Times;Sylfaen"/>
        </w:rPr>
        <w:t xml:space="preserve">, e os dados que passam por ele são os do CICIoT2023, públicos. Numa implantação, o modelo local fica num servidor dentro da rede atendida, no próprio gateway, se ele comportar, ou numa máquina ao lado, e o código não muda: só o endereço do servidor. A garantia de que nenhum endereço da rede chega à fronteira está no servidor, e não no prompt: o agente de decisão não tem as tools que devolvem endereços e lê o incidente por obter_resumo, montado pelo servidor com um rótulo neutro (origem-1, destino-1) no lugar de cada endereço. Ele propõe a ação com o rótulo; o servidor troca o rótulo pelo endereço e calcula o risco sobre o endereço real, e só o agente de execução, local e o único com credenciais, recebe o endereço. Toda resposta à linha de decisão passa ainda por um filtro que troca por um marcador qualquer endereço que tenha sobrado em texto livre. O veredito da triagem, texto livre escrito pelo modelo local, precisa passar pelo mesmo filtro antes de chegar ao agente de decisão </w:t>
      </w:r>
      <w:r>
        <w:rPr>
          <w:rFonts w:cs="Times;Sylfaen" w:ascii="Times;Sylfaen" w:hAnsi="Times;Sylfaen"/>
          <w:highlight w:val="yellow"/>
        </w:rPr>
        <w:t xml:space="preserve">[a implementar]</w:t>
      </w:r>
      <w:r>
        <w:rPr>
          <w:rFonts w:cs="Times;Sylfaen" w:ascii="Times;Sylfaen" w:hAnsi="Times;Sylfaen"/>
        </w:rPr>
        <w:t xml:space="preserve">. O orquestrador aceitará três configurações, tudo local, tudo na nuvem e híbrida, e a comparação entre elas em qualidade, custo e tempo é resultado do artigo. Isso responde ao ponto da banca sobre riscos de IA em nuvem e à alternativa on-premises.</w:t>
      </w:r>
    </w:p>
    <w:p>
      <w:pPr>
        <w:pStyle w:val="Normal"/>
        <w:tabs>
          <w:tab w:val="clear" w:pos="708"/>
          <w:tab w:val="left" w:pos="720" w:leader="none"/>
        </w:tabs>
        <w:spacing w:before="120" w:after="0"/>
        <w:ind w:firstLine="708" w:end="0"/>
        <w:jc w:val="both"/>
      </w:pPr>
      <w:r>
        <w:rPr>
          <w:rFonts w:cs="Times;Sylfaen" w:ascii="Times;Sylfaen" w:hAnsi="Times;Sylfaen"/>
        </w:rPr>
        <w:t xml:space="preserve">A busca na internet dos agentes fica desligada por padrão, e por isso nenhum dado da rede sai da máquina por ela; a comparação com a busca ligada fica como experimento. O custo em tokens será medido por chamada: cada chamada ao modelo vai gravar no log o agente, o modelo e os tokens de entrada e de saída </w:t>
      </w:r>
      <w:r>
        <w:rPr>
          <w:rFonts w:cs="Times;Sylfaen" w:ascii="Times;Sylfaen" w:hAnsi="Times;Sylfaen"/>
          <w:highlight w:val="yellow"/>
        </w:rPr>
        <w:t xml:space="preserve">[a implementar]</w:t>
      </w:r>
      <w:r>
        <w:rPr>
          <w:rFonts w:cs="Times;Sylfaen" w:ascii="Times;Sylfaen" w:hAnsi="Times;Sylfaen"/>
        </w:rPr>
        <w:t xml:space="preserve">, e o contador da interface mostra quantas chamadas um incidente gerou. O risco de Denial of Wallet é tratado pela política de acionamento, com a primeira versão no reprodutor de tráfego, que reúne as janelas do mesmo ataque num incidente só: um flood de 264 mil janelas vira 4 incidentes, um por sessão de captura, e as rajadas de uma varredura contra alvos diferentes reabrem o mesmo incidente. O que ainda passa é o ataque de pouco volume em rajadas espaçadas: o pcap DNS_Spoofing dá 51 incidentes em 28 horas. Nos experimentos, que reproduzem um pcap por vez, o teto é de 20 incidentes por pcap. Num sistema ligado o tempo todo não há pcap para contar, e o teto passa a ser por tempo </w:t>
      </w:r>
      <w:r>
        <w:rPr>
          <w:rFonts w:cs="Times;Sylfaen" w:ascii="Times;Sylfaen" w:hAnsi="Times;Sylfaen"/>
          <w:highlight w:val="yellow"/>
        </w:rPr>
        <w:t xml:space="preserve">[a implementar]</w:t>
      </w:r>
      <w:r>
        <w:rPr>
          <w:rFonts w:cs="Times;Sylfaen" w:ascii="Times;Sylfaen" w:hAnsi="Times;Sylfaen"/>
        </w:rPr>
        <w:t xml:space="preserve">. Até 10 incidentes por hora, somando todos os ataques, vão ao modelo de fronteira. Acima disso, o incidente abre normalmente e segue pela configuração tudo local, sem custo de tokens, e a pessoa que opera a rede é avisada de que ele será tratado só pelo modelo local, de menor capacidade. A rota local aceita até 5 incidentes esperando a vez; acima disso, a pessoa é avisada e fica só a saída do classificador, sem os agentes, até abrir vaga. Os dois valores são parâmetros: no pior caso medido, cerca de 2 incidentes por hora, o primeiro comporta uns 5 ataques lentos ao mesmo tempo. A política de risco, a troca de endereços por rótulos e a aprovação humana valem nas duas rotas, porque estão no servidor.</w:t>
      </w:r>
    </w:p>
    <w:p>
      <w:pPr>
        <w:pStyle w:val="Normal"/>
        <w:tabs>
          <w:tab w:val="clear" w:pos="708"/>
          <w:tab w:val="left" w:pos="720" w:leader="none"/>
        </w:tabs>
        <w:spacing w:before="120" w:after="0"/>
        <w:ind w:firstLine="708" w:end="0"/>
        <w:jc w:val="both"/>
      </w:pPr>
      <w:r>
        <w:rPr>
          <w:rFonts w:cs="Times;Sylfaen" w:ascii="Times;Sylfaen" w:hAnsi="Times;Sylfaen"/>
        </w:rPr>
        <w:t xml:space="preserve">A pessoa que opera a rede será avisada no instante em que o incidente abrir, antes dos agentes </w:t>
      </w:r>
      <w:r>
        <w:rPr>
          <w:rFonts w:cs="Times;Sylfaen" w:ascii="Times;Sylfaen" w:hAnsi="Times;Sylfaen"/>
          <w:highlight w:val="yellow"/>
        </w:rPr>
        <w:t xml:space="preserve">[a implementar no modo ao vivo da interface]</w:t>
      </w:r>
      <w:r>
        <w:rPr>
          <w:rFonts w:cs="Times;Sylfaen" w:ascii="Times;Sylfaen" w:hAnsi="Times;Sylfaen"/>
        </w:rPr>
        <w:t xml:space="preserve">, e pode marcar o incidente como já resolvido. A marca é o evento incidente_marcado_resolvido, gravado hoje pelo comando de aprovação e, mais adiante, pelo botão "Já resolvido" da interface, com o canal e o usuário. Daí em diante o servidor recusa qualquer proposta do incidente e a execução das propostas dele, inclusive as já aprovadas, e o comando de aprovação recusa aprovar as pendentes; o que já estava aplicado pode ser desfeito, e o agente de decisão, que vê a marca no resumo, só explica o incidente. O log grava o instante de cada etapa, da janela à verificação (Figura 2), o que permite medir o tempo entre detecção e remediação, com e sem intervenção humana. Do lado da detecção, a janela de 100 quadros fecha, na mediana, em 5 ms em DDoS e DoS e entre 1,3 s e 2,5 s em Recon, BruteForce e Web. No modelo do sistema, que ocupa 365,6 MB em disco, o dobro do de 10/10, a classificação de uma janela isolada leva 1,68 ms na mediana e 1,79 ms no p95, num núcleo, da linha do extrator à probabilidade, e um lote de 1.000 janelas, 8,6 ms. O processo com o modelo carregado ocupa cerca de 900 MB de memória. O extrator lê cerca de 151 mil quadros por segundo, e o reprodutor inteiro, com a classificação e a política de acionamento, 143 mil, também num núcleo, num MacBook Pro M5 com 16 GB. No modelo de 10/10, a janela levava 1,6 ms.</w:t>
      </w:r>
    </w:p>
    <w:p>
      <w:pPr>
        <w:pStyle w:val="Normal"/>
        <w:tabs>
          <w:tab w:val="clear" w:pos="708"/>
          <w:tab w:val="left" w:pos="720" w:leader="none"/>
        </w:tabs>
        <w:spacing w:before="120" w:after="0"/>
        <w:ind w:firstLine="708" w:end="0"/>
        <w:jc w:val="both"/>
      </w:pPr>
      <w:r>
        <w:rPr>
          <w:rFonts w:cs="Times;Sylfaen" w:ascii="Times;Sylfaen" w:hAnsi="Times;Sylfaen"/>
        </w:rPr>
        <w:t xml:space="preserve">O laço dos agentes e o cliente MCP são testados contra esse mesmo servidor, o stub do repositório, aberto por stdio em outro processo, com um provedor de modelo simulado no lugar do LLM. Os testes automatizados conferem que cada agente só enxerga as tools da sua linha, que a recusa de uma tool volta ao agente como erro sem derrubar o servidor e que cada chamada fica no log com o nome do agente (OLIVEIRA et al., 2026).</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[FIGURA 1: diagrama da arquitetura (captura, extrator, classificador, servidor MCP, agentes e interface). FIGURA 2: fluxo de um incidente com os instantes medidos.]</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3.6 Avaliação da PoC e dos agentes</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Cenários: DDoS, varredura de portas e força bruta, reproduzidos a partir dos pcaps do CICIoT2023. Comparações: a saída isolada do classificador contra a saída integrada, com os agentes, no mesmo incidente, como previa o TCC I; e as três configurações dos agentes (tudo local, tudo na nuvem e híbrida). Medidas: qualidade da recomendação; tokens e custo por incidente; tempo entre a abertura do incidente e a remediação, com e sem a marca de já resolvido; e propostas aprovadas, rejeitadas e desfeitas. A qualidade da recomendação é a porcentagem de incidentes com uma ação aceitável no alvo certo, conferida contra um gabarito por categoria fixado no repositório antes da primeira rodada. O gabarito diz que ações do catálogo são aceitáveis em cada categoria e em que alvo, e o alvo é conferido com os atacantes do dataset, identificados pelo endereço Media Access Control (MAC). O acerto da triagem vem ao lado, e uma rubrica de 1 a 5 (adequação, alvo, proporcionalidade e justificativa) avalia uma amostra de 9 casos, um por cenário e configuração, para cobrir a justificativa, que a conferência automática não vê. Nos experimentos, as propostas de risco alto passam por um aprovador automático com regra fixa [a implementar]: ele aprova a proposta que o gabarito aceita e rejeita as demais, inclusive a ação nova, contada à parte. Isso inclui todo bloqueio de atacante, porque os atacantes do dataset estão numa rede que a política trata como local. O tempo até a remediação é relatado em duas partes, a detecção (da primeira janela do ataque à abertura do incidente) e os agentes (da abertura à execução), sem o tempo de uma pessoa aprovar. A aprovação por uma pessoa aparece só na demonstração. Segurança do MCP: o teste de tool poisoning [a escrever], se couber antes da submissão (seção 4.2).</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4. Resultados e discussão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4.1 Resultados</w:t>
      </w:r>
    </w:p>
    <w:p>
      <w:pPr>
        <w:pStyle w:val="Normal"/>
        <w:tabs>
          <w:tab w:val="clear" w:pos="708"/>
          <w:tab w:val="left" w:pos="720" w:leader="none"/>
        </w:tabs>
        <w:spacing w:before="120" w:after="0"/>
        <w:ind w:firstLine="708" w:end="0"/>
        <w:jc w:val="both"/>
      </w:pPr>
      <w:r>
        <w:rPr>
          <w:rFonts w:cs="Times;Sylfaen" w:ascii="Times;Sylfaen" w:hAnsi="Times;Sylfaen"/>
        </w:rPr>
        <w:t xml:space="preserve">A Tabela 1 é o resultado principal: o modelo do sistema no ponto de operação, que na validação foi o argmax, com N = 3, no corte por tempo, com o recall com o pcap inteiro fora do treino ao lado. A Tabela 2 traz o alarme falso com cada pcap benigno fora do treino.</w:t>
      </w:r>
    </w:p>
    <w:p>
      <w:pPr>
        <w:pStyle w:val="Normal"/>
        <w:keepNext w:val="true"/>
        <w:spacing w:before="240" w:after="120"/>
        <w:jc w:val="both"/>
      </w:pPr>
      <w:r>
        <w:rPr>
          <w:rFonts w:cs="Times;Sylfaen" w:ascii="Times;Sylfaen" w:hAnsi="Times;Sylfaen"/>
          <w:b/>
          <w:bCs/>
          <w:sz w:val="20"/>
          <w:szCs w:val="20"/>
        </w:rPr>
        <w:t xml:space="preserve">Tabela 1.</w:t>
      </w:r>
      <w:r>
        <w:rPr>
          <w:rFonts w:cs="Times;Sylfaen" w:ascii="Times;Sylfaen" w:hAnsi="Times;Sylfaen"/>
          <w:sz w:val="20"/>
          <w:szCs w:val="20"/>
        </w:rPr>
        <w:t xml:space="preserve"> Modelo do sistema por categoria. Precisão, recall e F1 no corte por tempo, no ponto de operação, na média das sementes 42, 1 e 2; janelas de teste da semente 42. Recall com o pcap fora: cada pcap sai inteiro do treino, um por vez, e é medido nas suas janelas de teste, somando os pcaps da categoria, com a categoria mais provável; em DDoS+DoS, quatro pcaps foram retirados.</w:t>
      </w:r>
    </w:p>
    <w:tbl>
      <w:tblPr>
        <w:tblW w:w="9354" w:type="dxa"/>
        <w:jc w:val="center"/>
        <w:tblBorders>
          <w:top w:val="single" w:sz="8" w:space="0" w:color="000000"/>
          <w:bottom w:val="single" w:sz="8" w:space="0" w:color="000000"/>
        </w:tblBorders>
        <w:tblLayout w:type="fixed"/>
        <w:tblCellMar>
          <w:left w:w="57" w:type="dxa"/>
          <w:right w:w="57" w:type="dxa"/>
        </w:tblCellMar>
        <w:tblLook w:val="0000"/>
      </w:tblPr>
      <w:tblGrid>
        <w:gridCol w:w="1500"/>
        <w:gridCol w:w="1250"/>
        <w:gridCol w:w="1050"/>
        <w:gridCol w:w="1000"/>
        <w:gridCol w:w="950"/>
        <w:gridCol w:w="3604"/>
      </w:tblGrid>
      <w:tr>
        <w:trPr>
          <w:cantSplit/>
          <w:tblHeader/>
        </w:trPr>
        <w:tc>
          <w:tcPr>
            <w:tcW w:w="1500" w:type="dxa"/>
            <w:tcBorders>
              <w:bottom w:val="single" w:sz="8" w:space="0" w:color="000000"/>
            </w:tcBorders>
            <w:vAlign w:val="center"/>
          </w:tcPr>
          <w:p>
            <w:pPr>
              <w:pStyle w:val="Normal"/>
              <w:spacing w:before="20" w:after="20"/>
              <w:jc w:val="left"/>
            </w:pPr>
            <w:r>
              <w:rPr>
                <w:rFonts w:cs="Times;Sylfaen" w:ascii="Times;Sylfaen" w:hAnsi="Times;Sylfaen"/>
                <w:b/>
                <w:bCs/>
                <w:sz w:val="20"/>
                <w:szCs w:val="20"/>
              </w:rPr>
              <w:t xml:space="preserve">Categoria</w:t>
            </w:r>
          </w:p>
        </w:tc>
        <w:tc>
          <w:tcPr>
            <w:tcW w:w="125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Janelas de teste</w:t>
            </w:r>
          </w:p>
        </w:tc>
        <w:tc>
          <w:tcPr>
            <w:tcW w:w="105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Precisão</w:t>
            </w:r>
          </w:p>
        </w:tc>
        <w:tc>
          <w:tcPr>
            <w:tcW w:w="100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Recall</w:t>
            </w:r>
          </w:p>
        </w:tc>
        <w:tc>
          <w:tcPr>
            <w:tcW w:w="95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F1</w:t>
            </w:r>
          </w:p>
        </w:tc>
        <w:tc>
          <w:tcPr>
            <w:tcW w:w="3604"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Recall com o pcap fora do treino</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DDoS+DoS</w:t>
            </w:r>
          </w:p>
        </w:tc>
        <w:tc>
          <w:tcPr>
            <w:tcW w:w="1250" w:type="dxa"/>
            <w:vAlign w:val="center"/>
          </w:tcPr>
          <w:p>
            <w:pPr>
              <w:pStyle w:val="Normal"/>
              <w:spacing w:before="20" w:after="20"/>
              <w:jc w:val="center"/>
            </w:pPr>
            <w:r>
              <w:rPr>
                <w:rFonts w:cs="Times;Sylfaen" w:ascii="Times;Sylfaen" w:hAnsi="Times;Sylfaen"/>
                <w:sz w:val="20"/>
                <w:szCs w:val="20"/>
              </w:rPr>
              <w:t xml:space="preserve">214.373</w:t>
            </w:r>
          </w:p>
        </w:tc>
        <w:tc>
          <w:tcPr>
            <w:tcW w:w="1050" w:type="dxa"/>
            <w:vAlign w:val="center"/>
          </w:tcPr>
          <w:p>
            <w:pPr>
              <w:pStyle w:val="Normal"/>
              <w:spacing w:before="20" w:after="20"/>
              <w:jc w:val="center"/>
            </w:pPr>
            <w:r>
              <w:rPr>
                <w:rFonts w:cs="Times;Sylfaen" w:ascii="Times;Sylfaen" w:hAnsi="Times;Sylfaen"/>
                <w:sz w:val="20"/>
                <w:szCs w:val="20"/>
              </w:rPr>
              <w:t xml:space="preserve">99,8%</w:t>
            </w:r>
          </w:p>
        </w:tc>
        <w:tc>
          <w:tcPr>
            <w:tcW w:w="1000" w:type="dxa"/>
            <w:vAlign w:val="center"/>
          </w:tcPr>
          <w:p>
            <w:pPr>
              <w:pStyle w:val="Normal"/>
              <w:spacing w:before="20" w:after="20"/>
              <w:jc w:val="center"/>
            </w:pPr>
            <w:r>
              <w:rPr>
                <w:rFonts w:cs="Times;Sylfaen" w:ascii="Times;Sylfaen" w:hAnsi="Times;Sylfaen"/>
                <w:sz w:val="20"/>
                <w:szCs w:val="20"/>
              </w:rPr>
              <w:t xml:space="preserve">98,4%</w:t>
            </w:r>
          </w:p>
        </w:tc>
        <w:tc>
          <w:tcPr>
            <w:tcW w:w="950" w:type="dxa"/>
            <w:vAlign w:val="center"/>
          </w:tcPr>
          <w:p>
            <w:pPr>
              <w:pStyle w:val="Normal"/>
              <w:spacing w:before="20" w:after="20"/>
              <w:jc w:val="center"/>
            </w:pPr>
            <w:r>
              <w:rPr>
                <w:rFonts w:cs="Times;Sylfaen" w:ascii="Times;Sylfaen" w:hAnsi="Times;Sylfaen"/>
                <w:sz w:val="20"/>
                <w:szCs w:val="20"/>
              </w:rPr>
              <w:t xml:space="preserve">99,1%</w:t>
            </w:r>
          </w:p>
        </w:tc>
        <w:tc>
          <w:tcPr>
            <w:tcW w:w="3604" w:type="dxa"/>
            <w:vAlign w:val="center"/>
          </w:tcPr>
          <w:p>
            <w:pPr>
              <w:pStyle w:val="Normal"/>
              <w:spacing w:before="20" w:after="20"/>
              <w:jc w:val="center"/>
            </w:pPr>
            <w:r>
              <w:rPr>
                <w:rFonts w:cs="Times;Sylfaen" w:ascii="Times;Sylfaen" w:hAnsi="Times;Sylfaen"/>
                <w:sz w:val="20"/>
                <w:szCs w:val="20"/>
              </w:rPr>
              <w:t xml:space="preserve">74,2%</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Mirai</w:t>
            </w:r>
          </w:p>
        </w:tc>
        <w:tc>
          <w:tcPr>
            <w:tcW w:w="1250" w:type="dxa"/>
            <w:vAlign w:val="center"/>
          </w:tcPr>
          <w:p>
            <w:pPr>
              <w:pStyle w:val="Normal"/>
              <w:spacing w:before="20" w:after="20"/>
              <w:jc w:val="center"/>
            </w:pPr>
            <w:r>
              <w:rPr>
                <w:rFonts w:cs="Times;Sylfaen" w:ascii="Times;Sylfaen" w:hAnsi="Times;Sylfaen"/>
                <w:sz w:val="20"/>
                <w:szCs w:val="20"/>
              </w:rPr>
              <w:t xml:space="preserve">24.458</w:t>
            </w:r>
          </w:p>
        </w:tc>
        <w:tc>
          <w:tcPr>
            <w:tcW w:w="1050" w:type="dxa"/>
            <w:vAlign w:val="center"/>
          </w:tcPr>
          <w:p>
            <w:pPr>
              <w:pStyle w:val="Normal"/>
              <w:spacing w:before="20" w:after="20"/>
              <w:jc w:val="center"/>
            </w:pPr>
            <w:r>
              <w:rPr>
                <w:rFonts w:cs="Times;Sylfaen" w:ascii="Times;Sylfaen" w:hAnsi="Times;Sylfaen"/>
                <w:sz w:val="20"/>
                <w:szCs w:val="20"/>
              </w:rPr>
              <w:t xml:space="preserve">100,0%</w:t>
            </w:r>
          </w:p>
        </w:tc>
        <w:tc>
          <w:tcPr>
            <w:tcW w:w="1000" w:type="dxa"/>
            <w:vAlign w:val="center"/>
          </w:tcPr>
          <w:p>
            <w:pPr>
              <w:pStyle w:val="Normal"/>
              <w:spacing w:before="20" w:after="20"/>
              <w:jc w:val="center"/>
            </w:pPr>
            <w:r>
              <w:rPr>
                <w:rFonts w:cs="Times;Sylfaen" w:ascii="Times;Sylfaen" w:hAnsi="Times;Sylfaen"/>
                <w:sz w:val="20"/>
                <w:szCs w:val="20"/>
              </w:rPr>
              <w:t xml:space="preserve">99,2%</w:t>
            </w:r>
          </w:p>
        </w:tc>
        <w:tc>
          <w:tcPr>
            <w:tcW w:w="950" w:type="dxa"/>
            <w:vAlign w:val="center"/>
          </w:tcPr>
          <w:p>
            <w:pPr>
              <w:pStyle w:val="Normal"/>
              <w:spacing w:before="20" w:after="20"/>
              <w:jc w:val="center"/>
            </w:pPr>
            <w:r>
              <w:rPr>
                <w:rFonts w:cs="Times;Sylfaen" w:ascii="Times;Sylfaen" w:hAnsi="Times;Sylfaen"/>
                <w:sz w:val="20"/>
                <w:szCs w:val="20"/>
              </w:rPr>
              <w:t xml:space="preserve">99,6%</w:t>
            </w:r>
          </w:p>
        </w:tc>
        <w:tc>
          <w:tcPr>
            <w:tcW w:w="3604" w:type="dxa"/>
            <w:vAlign w:val="center"/>
          </w:tcPr>
          <w:p>
            <w:pPr>
              <w:pStyle w:val="Normal"/>
              <w:spacing w:before="20" w:after="20"/>
              <w:jc w:val="center"/>
            </w:pPr>
            <w:r>
              <w:rPr>
                <w:rFonts w:cs="Times;Sylfaen" w:ascii="Times;Sylfaen" w:hAnsi="Times;Sylfaen"/>
                <w:sz w:val="20"/>
                <w:szCs w:val="20"/>
              </w:rPr>
              <w:t xml:space="preserve">55,3%</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Recon</w:t>
            </w:r>
          </w:p>
        </w:tc>
        <w:tc>
          <w:tcPr>
            <w:tcW w:w="1250" w:type="dxa"/>
            <w:vAlign w:val="center"/>
          </w:tcPr>
          <w:p>
            <w:pPr>
              <w:pStyle w:val="Normal"/>
              <w:spacing w:before="20" w:after="20"/>
              <w:jc w:val="center"/>
            </w:pPr>
            <w:r>
              <w:rPr>
                <w:rFonts w:cs="Times;Sylfaen" w:ascii="Times;Sylfaen" w:hAnsi="Times;Sylfaen"/>
                <w:sz w:val="20"/>
                <w:szCs w:val="20"/>
              </w:rPr>
              <w:t xml:space="preserve">10.982</w:t>
            </w:r>
          </w:p>
        </w:tc>
        <w:tc>
          <w:tcPr>
            <w:tcW w:w="1050" w:type="dxa"/>
            <w:vAlign w:val="center"/>
          </w:tcPr>
          <w:p>
            <w:pPr>
              <w:pStyle w:val="Normal"/>
              <w:spacing w:before="20" w:after="20"/>
              <w:jc w:val="center"/>
            </w:pPr>
            <w:r>
              <w:rPr>
                <w:rFonts w:cs="Times;Sylfaen" w:ascii="Times;Sylfaen" w:hAnsi="Times;Sylfaen"/>
                <w:sz w:val="20"/>
                <w:szCs w:val="20"/>
              </w:rPr>
              <w:t xml:space="preserve">85,7%</w:t>
            </w:r>
          </w:p>
        </w:tc>
        <w:tc>
          <w:tcPr>
            <w:tcW w:w="1000" w:type="dxa"/>
            <w:vAlign w:val="center"/>
          </w:tcPr>
          <w:p>
            <w:pPr>
              <w:pStyle w:val="Normal"/>
              <w:spacing w:before="20" w:after="20"/>
              <w:jc w:val="center"/>
            </w:pPr>
            <w:r>
              <w:rPr>
                <w:rFonts w:cs="Times;Sylfaen" w:ascii="Times;Sylfaen" w:hAnsi="Times;Sylfaen"/>
                <w:sz w:val="20"/>
                <w:szCs w:val="20"/>
              </w:rPr>
              <w:t xml:space="preserve">55,0%</w:t>
            </w:r>
          </w:p>
        </w:tc>
        <w:tc>
          <w:tcPr>
            <w:tcW w:w="950" w:type="dxa"/>
            <w:vAlign w:val="center"/>
          </w:tcPr>
          <w:p>
            <w:pPr>
              <w:pStyle w:val="Normal"/>
              <w:spacing w:before="20" w:after="20"/>
              <w:jc w:val="center"/>
            </w:pPr>
            <w:r>
              <w:rPr>
                <w:rFonts w:cs="Times;Sylfaen" w:ascii="Times;Sylfaen" w:hAnsi="Times;Sylfaen"/>
                <w:sz w:val="20"/>
                <w:szCs w:val="20"/>
              </w:rPr>
              <w:t xml:space="preserve">67,0%</w:t>
            </w:r>
          </w:p>
        </w:tc>
        <w:tc>
          <w:tcPr>
            <w:tcW w:w="3604" w:type="dxa"/>
            <w:vAlign w:val="center"/>
          </w:tcPr>
          <w:p>
            <w:pPr>
              <w:pStyle w:val="Normal"/>
              <w:spacing w:before="20" w:after="20"/>
              <w:jc w:val="center"/>
            </w:pPr>
            <w:r>
              <w:rPr>
                <w:rFonts w:cs="Times;Sylfaen" w:ascii="Times;Sylfaen" w:hAnsi="Times;Sylfaen"/>
                <w:sz w:val="20"/>
                <w:szCs w:val="20"/>
              </w:rPr>
              <w:t xml:space="preserve">24,9%</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Spoofing</w:t>
            </w:r>
          </w:p>
        </w:tc>
        <w:tc>
          <w:tcPr>
            <w:tcW w:w="1250" w:type="dxa"/>
            <w:vAlign w:val="center"/>
          </w:tcPr>
          <w:p>
            <w:pPr>
              <w:pStyle w:val="Normal"/>
              <w:spacing w:before="20" w:after="20"/>
              <w:jc w:val="center"/>
            </w:pPr>
            <w:r>
              <w:rPr>
                <w:rFonts w:cs="Times;Sylfaen" w:ascii="Times;Sylfaen" w:hAnsi="Times;Sylfaen"/>
                <w:sz w:val="20"/>
                <w:szCs w:val="20"/>
              </w:rPr>
              <w:t xml:space="preserve">7.007</w:t>
            </w:r>
          </w:p>
        </w:tc>
        <w:tc>
          <w:tcPr>
            <w:tcW w:w="1050" w:type="dxa"/>
            <w:vAlign w:val="center"/>
          </w:tcPr>
          <w:p>
            <w:pPr>
              <w:pStyle w:val="Normal"/>
              <w:spacing w:before="20" w:after="20"/>
              <w:jc w:val="center"/>
            </w:pPr>
            <w:r>
              <w:rPr>
                <w:rFonts w:cs="Times;Sylfaen" w:ascii="Times;Sylfaen" w:hAnsi="Times;Sylfaen"/>
                <w:sz w:val="20"/>
                <w:szCs w:val="20"/>
              </w:rPr>
              <w:t xml:space="preserve">99,9%</w:t>
            </w:r>
          </w:p>
        </w:tc>
        <w:tc>
          <w:tcPr>
            <w:tcW w:w="1000" w:type="dxa"/>
            <w:vAlign w:val="center"/>
          </w:tcPr>
          <w:p>
            <w:pPr>
              <w:pStyle w:val="Normal"/>
              <w:spacing w:before="20" w:after="20"/>
              <w:jc w:val="center"/>
            </w:pPr>
            <w:r>
              <w:rPr>
                <w:rFonts w:cs="Times;Sylfaen" w:ascii="Times;Sylfaen" w:hAnsi="Times;Sylfaen"/>
                <w:sz w:val="20"/>
                <w:szCs w:val="20"/>
              </w:rPr>
              <w:t xml:space="preserve">79,9%</w:t>
            </w:r>
          </w:p>
        </w:tc>
        <w:tc>
          <w:tcPr>
            <w:tcW w:w="950" w:type="dxa"/>
            <w:vAlign w:val="center"/>
          </w:tcPr>
          <w:p>
            <w:pPr>
              <w:pStyle w:val="Normal"/>
              <w:spacing w:before="20" w:after="20"/>
              <w:jc w:val="center"/>
            </w:pPr>
            <w:r>
              <w:rPr>
                <w:rFonts w:cs="Times;Sylfaen" w:ascii="Times;Sylfaen" w:hAnsi="Times;Sylfaen"/>
                <w:sz w:val="20"/>
                <w:szCs w:val="20"/>
              </w:rPr>
              <w:t xml:space="preserve">88,8%</w:t>
            </w:r>
          </w:p>
        </w:tc>
        <w:tc>
          <w:tcPr>
            <w:tcW w:w="3604" w:type="dxa"/>
            <w:vAlign w:val="center"/>
          </w:tcPr>
          <w:p>
            <w:pPr>
              <w:pStyle w:val="Normal"/>
              <w:spacing w:before="20" w:after="20"/>
              <w:jc w:val="center"/>
            </w:pPr>
            <w:r>
              <w:rPr>
                <w:rFonts w:cs="Times;Sylfaen" w:ascii="Times;Sylfaen" w:hAnsi="Times;Sylfaen"/>
                <w:sz w:val="20"/>
                <w:szCs w:val="20"/>
              </w:rPr>
              <w:t xml:space="preserve">63,0%</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Web</w:t>
            </w:r>
          </w:p>
        </w:tc>
        <w:tc>
          <w:tcPr>
            <w:tcW w:w="1250" w:type="dxa"/>
            <w:vAlign w:val="center"/>
          </w:tcPr>
          <w:p>
            <w:pPr>
              <w:pStyle w:val="Normal"/>
              <w:spacing w:before="20" w:after="20"/>
              <w:jc w:val="center"/>
            </w:pPr>
            <w:r>
              <w:rPr>
                <w:rFonts w:cs="Times;Sylfaen" w:ascii="Times;Sylfaen" w:hAnsi="Times;Sylfaen"/>
                <w:sz w:val="20"/>
                <w:szCs w:val="20"/>
              </w:rPr>
              <w:t xml:space="preserve">465</w:t>
            </w:r>
          </w:p>
        </w:tc>
        <w:tc>
          <w:tcPr>
            <w:tcW w:w="1050" w:type="dxa"/>
            <w:vAlign w:val="center"/>
          </w:tcPr>
          <w:p>
            <w:pPr>
              <w:pStyle w:val="Normal"/>
              <w:spacing w:before="20" w:after="20"/>
              <w:jc w:val="center"/>
            </w:pPr>
            <w:r>
              <w:rPr>
                <w:rFonts w:cs="Times;Sylfaen" w:ascii="Times;Sylfaen" w:hAnsi="Times;Sylfaen"/>
                <w:sz w:val="20"/>
                <w:szCs w:val="20"/>
              </w:rPr>
              <w:t xml:space="preserve">67,4%</w:t>
            </w:r>
          </w:p>
        </w:tc>
        <w:tc>
          <w:tcPr>
            <w:tcW w:w="1000" w:type="dxa"/>
            <w:vAlign w:val="center"/>
          </w:tcPr>
          <w:p>
            <w:pPr>
              <w:pStyle w:val="Normal"/>
              <w:spacing w:before="20" w:after="20"/>
              <w:jc w:val="center"/>
            </w:pPr>
            <w:r>
              <w:rPr>
                <w:rFonts w:cs="Times;Sylfaen" w:ascii="Times;Sylfaen" w:hAnsi="Times;Sylfaen"/>
                <w:sz w:val="20"/>
                <w:szCs w:val="20"/>
              </w:rPr>
              <w:t xml:space="preserve">35,1%</w:t>
            </w:r>
          </w:p>
        </w:tc>
        <w:tc>
          <w:tcPr>
            <w:tcW w:w="950" w:type="dxa"/>
            <w:vAlign w:val="center"/>
          </w:tcPr>
          <w:p>
            <w:pPr>
              <w:pStyle w:val="Normal"/>
              <w:spacing w:before="20" w:after="20"/>
              <w:jc w:val="center"/>
            </w:pPr>
            <w:r>
              <w:rPr>
                <w:rFonts w:cs="Times;Sylfaen" w:ascii="Times;Sylfaen" w:hAnsi="Times;Sylfaen"/>
                <w:sz w:val="20"/>
                <w:szCs w:val="20"/>
              </w:rPr>
              <w:t xml:space="preserve">46,2%</w:t>
            </w:r>
          </w:p>
        </w:tc>
        <w:tc>
          <w:tcPr>
            <w:tcW w:w="3604" w:type="dxa"/>
            <w:vAlign w:val="center"/>
          </w:tcPr>
          <w:p>
            <w:pPr>
              <w:pStyle w:val="Normal"/>
              <w:spacing w:before="20" w:after="20"/>
              <w:jc w:val="center"/>
            </w:pPr>
            <w:r>
              <w:rPr>
                <w:rFonts w:cs="Times;Sylfaen" w:ascii="Times;Sylfaen" w:hAnsi="Times;Sylfaen"/>
                <w:sz w:val="20"/>
                <w:szCs w:val="20"/>
              </w:rPr>
              <w:t xml:space="preserve">29,4% (51,8% vistas como algum ataque)</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BruteForce</w:t>
            </w:r>
          </w:p>
        </w:tc>
        <w:tc>
          <w:tcPr>
            <w:tcW w:w="1250" w:type="dxa"/>
            <w:vAlign w:val="center"/>
          </w:tcPr>
          <w:p>
            <w:pPr>
              <w:pStyle w:val="Normal"/>
              <w:spacing w:before="20" w:after="20"/>
              <w:jc w:val="center"/>
            </w:pPr>
            <w:r>
              <w:rPr>
                <w:rFonts w:cs="Times;Sylfaen" w:ascii="Times;Sylfaen" w:hAnsi="Times;Sylfaen"/>
                <w:sz w:val="20"/>
                <w:szCs w:val="20"/>
              </w:rPr>
              <w:t xml:space="preserve">273</w:t>
            </w:r>
          </w:p>
        </w:tc>
        <w:tc>
          <w:tcPr>
            <w:tcW w:w="1050" w:type="dxa"/>
            <w:vAlign w:val="center"/>
          </w:tcPr>
          <w:p>
            <w:pPr>
              <w:pStyle w:val="Normal"/>
              <w:spacing w:before="20" w:after="20"/>
              <w:jc w:val="center"/>
            </w:pPr>
            <w:r>
              <w:rPr>
                <w:rFonts w:cs="Times;Sylfaen" w:ascii="Times;Sylfaen" w:hAnsi="Times;Sylfaen"/>
                <w:sz w:val="20"/>
                <w:szCs w:val="20"/>
              </w:rPr>
              <w:t xml:space="preserve">98,6%</w:t>
            </w:r>
          </w:p>
        </w:tc>
        <w:tc>
          <w:tcPr>
            <w:tcW w:w="1000" w:type="dxa"/>
            <w:vAlign w:val="center"/>
          </w:tcPr>
          <w:p>
            <w:pPr>
              <w:pStyle w:val="Normal"/>
              <w:spacing w:before="20" w:after="20"/>
              <w:jc w:val="center"/>
            </w:pPr>
            <w:r>
              <w:rPr>
                <w:rFonts w:cs="Times;Sylfaen" w:ascii="Times;Sylfaen" w:hAnsi="Times;Sylfaen"/>
                <w:sz w:val="20"/>
                <w:szCs w:val="20"/>
              </w:rPr>
              <w:t xml:space="preserve">34,4%</w:t>
            </w:r>
          </w:p>
        </w:tc>
        <w:tc>
          <w:tcPr>
            <w:tcW w:w="950" w:type="dxa"/>
            <w:vAlign w:val="center"/>
          </w:tcPr>
          <w:p>
            <w:pPr>
              <w:pStyle w:val="Normal"/>
              <w:spacing w:before="20" w:after="20"/>
              <w:jc w:val="center"/>
            </w:pPr>
            <w:r>
              <w:rPr>
                <w:rFonts w:cs="Times;Sylfaen" w:ascii="Times;Sylfaen" w:hAnsi="Times;Sylfaen"/>
                <w:sz w:val="20"/>
                <w:szCs w:val="20"/>
              </w:rPr>
              <w:t xml:space="preserve">51,0%</w:t>
            </w:r>
          </w:p>
        </w:tc>
        <w:tc>
          <w:tcPr>
            <w:tcW w:w="3604" w:type="dxa"/>
            <w:vAlign w:val="center"/>
          </w:tcPr>
          <w:p>
            <w:pPr>
              <w:pStyle w:val="Normal"/>
              <w:spacing w:before="20" w:after="20"/>
              <w:jc w:val="center"/>
            </w:pPr>
            <w:r>
              <w:rPr>
                <w:rFonts w:cs="Times;Sylfaen" w:ascii="Times;Sylfaen" w:hAnsi="Times;Sylfaen"/>
                <w:sz w:val="20"/>
                <w:szCs w:val="20"/>
              </w:rPr>
              <w:t xml:space="preserve">0,0% (um pcap só; 56,9% vistas como algum ataque)</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Benign</w:t>
            </w:r>
          </w:p>
        </w:tc>
        <w:tc>
          <w:tcPr>
            <w:tcW w:w="1250" w:type="dxa"/>
            <w:vAlign w:val="center"/>
          </w:tcPr>
          <w:p>
            <w:pPr>
              <w:pStyle w:val="Normal"/>
              <w:spacing w:before="20" w:after="20"/>
              <w:jc w:val="center"/>
            </w:pPr>
            <w:r>
              <w:rPr>
                <w:rFonts w:cs="Times;Sylfaen" w:ascii="Times;Sylfaen" w:hAnsi="Times;Sylfaen"/>
                <w:sz w:val="20"/>
                <w:szCs w:val="20"/>
              </w:rPr>
              <w:t xml:space="preserve">16.008</w:t>
            </w:r>
          </w:p>
        </w:tc>
        <w:tc>
          <w:tcPr>
            <w:tcW w:w="1050" w:type="dxa"/>
            <w:vAlign w:val="center"/>
          </w:tcPr>
          <w:p>
            <w:pPr>
              <w:pStyle w:val="Normal"/>
              <w:spacing w:before="20" w:after="20"/>
              <w:jc w:val="center"/>
            </w:pPr>
            <w:r>
              <w:rPr>
                <w:rFonts w:cs="Times;Sylfaen" w:ascii="Times;Sylfaen" w:hAnsi="Times;Sylfaen"/>
                <w:sz w:val="20"/>
                <w:szCs w:val="20"/>
              </w:rPr>
              <w:t xml:space="preserve">63,3%</w:t>
            </w:r>
          </w:p>
        </w:tc>
        <w:tc>
          <w:tcPr>
            <w:tcW w:w="1000" w:type="dxa"/>
            <w:vAlign w:val="center"/>
          </w:tcPr>
          <w:p>
            <w:pPr>
              <w:pStyle w:val="Normal"/>
              <w:spacing w:before="20" w:after="20"/>
              <w:jc w:val="center"/>
            </w:pPr>
            <w:r>
              <w:rPr>
                <w:rFonts w:cs="Times;Sylfaen" w:ascii="Times;Sylfaen" w:hAnsi="Times;Sylfaen"/>
                <w:sz w:val="20"/>
                <w:szCs w:val="20"/>
              </w:rPr>
              <w:t xml:space="preserve">99,1%</w:t>
            </w:r>
          </w:p>
        </w:tc>
        <w:tc>
          <w:tcPr>
            <w:tcW w:w="950" w:type="dxa"/>
            <w:vAlign w:val="center"/>
          </w:tcPr>
          <w:p>
            <w:pPr>
              <w:pStyle w:val="Normal"/>
              <w:spacing w:before="20" w:after="20"/>
              <w:jc w:val="center"/>
            </w:pPr>
            <w:r>
              <w:rPr>
                <w:rFonts w:cs="Times;Sylfaen" w:ascii="Times;Sylfaen" w:hAnsi="Times;Sylfaen"/>
                <w:sz w:val="20"/>
                <w:szCs w:val="20"/>
              </w:rPr>
              <w:t xml:space="preserve">77,3%</w:t>
            </w:r>
          </w:p>
        </w:tc>
        <w:tc>
          <w:tcPr>
            <w:tcW w:w="3604" w:type="dxa"/>
            <w:vAlign w:val="center"/>
          </w:tcPr>
          <w:p>
            <w:pPr>
              <w:pStyle w:val="Normal"/>
              <w:spacing w:before="20" w:after="20"/>
              <w:jc w:val="center"/>
            </w:pPr>
            <w:r>
              <w:rPr>
                <w:rFonts w:cs="Times;Sylfaen" w:ascii="Times;Sylfaen" w:hAnsi="Times;Sylfaen"/>
                <w:sz w:val="20"/>
                <w:szCs w:val="20"/>
              </w:rPr>
              <w:t xml:space="preserve">Tabela 2</w:t>
            </w:r>
          </w:p>
        </w:tc>
      </w:tr>
    </w:tbl>
    <w:p>
      <w:pPr>
        <w:pStyle w:val="Normal"/>
        <w:keepNext w:val="true"/>
        <w:spacing w:before="240" w:after="120"/>
        <w:jc w:val="both"/>
      </w:pPr>
      <w:r>
        <w:rPr>
          <w:rFonts w:cs="Times;Sylfaen" w:ascii="Times;Sylfaen" w:hAnsi="Times;Sylfaen"/>
          <w:b/>
          <w:bCs/>
          <w:sz w:val="20"/>
          <w:szCs w:val="20"/>
        </w:rPr>
        <w:t xml:space="preserve">Tabela 2.</w:t>
      </w:r>
      <w:r>
        <w:rPr>
          <w:rFonts w:cs="Times;Sylfaen" w:ascii="Times;Sylfaen" w:hAnsi="Times;Sylfaen"/>
          <w:sz w:val="20"/>
          <w:szCs w:val="20"/>
        </w:rPr>
        <w:t xml:space="preserve"> Benigno classificado como ataque com cada pcap benigno fora do treino, um por vez, no ponto de operação escolhido na validação de cada rotação, na média das sementes 42, 1 e 2, e os alarmes com 3 janelas seguidas. A hora é a soma da duração das janelas do pcap.</w:t>
      </w:r>
    </w:p>
    <w:tbl>
      <w:tblPr>
        <w:tblW w:w="9354" w:type="dxa"/>
        <w:jc w:val="center"/>
        <w:tblBorders>
          <w:top w:val="single" w:sz="8" w:space="0" w:color="000000"/>
          <w:bottom w:val="single" w:sz="8" w:space="0" w:color="000000"/>
        </w:tblBorders>
        <w:tblLayout w:type="fixed"/>
        <w:tblCellMar>
          <w:left w:w="57" w:type="dxa"/>
          <w:right w:w="57" w:type="dxa"/>
        </w:tblCellMar>
        <w:tblLook w:val="0000"/>
      </w:tblPr>
      <w:tblGrid>
        <w:gridCol w:w="1750"/>
        <w:gridCol w:w="900"/>
        <w:gridCol w:w="2150"/>
        <w:gridCol w:w="1000"/>
        <w:gridCol w:w="900"/>
        <w:gridCol w:w="1050"/>
        <w:gridCol w:w="1604"/>
      </w:tblGrid>
      <w:tr>
        <w:trPr>
          <w:cantSplit/>
          <w:tblHeader/>
        </w:trPr>
        <w:tc>
          <w:tcPr>
            <w:tcW w:w="1750" w:type="dxa"/>
            <w:tcBorders>
              <w:bottom w:val="single" w:sz="8" w:space="0" w:color="000000"/>
            </w:tcBorders>
            <w:vAlign w:val="center"/>
          </w:tcPr>
          <w:p>
            <w:pPr>
              <w:pStyle w:val="Normal"/>
              <w:spacing w:before="20" w:after="20"/>
              <w:jc w:val="left"/>
            </w:pPr>
            <w:r>
              <w:rPr>
                <w:rFonts w:cs="Times;Sylfaen" w:ascii="Times;Sylfaen" w:hAnsi="Times;Sylfaen"/>
                <w:b/>
                <w:bCs/>
                <w:sz w:val="20"/>
                <w:szCs w:val="20"/>
              </w:rPr>
              <w:t xml:space="preserve">Pcap fora do treino</w:t>
            </w:r>
          </w:p>
        </w:tc>
        <w:tc>
          <w:tcPr>
            <w:tcW w:w="90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Janelas</w:t>
            </w:r>
          </w:p>
        </w:tc>
        <w:tc>
          <w:tcPr>
            <w:tcW w:w="215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Regra escolhida</w:t>
            </w:r>
          </w:p>
        </w:tc>
        <w:tc>
          <w:tcPr>
            <w:tcW w:w="100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Como ataque</w:t>
            </w:r>
          </w:p>
        </w:tc>
        <w:tc>
          <w:tcPr>
            <w:tcW w:w="90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Alarmes</w:t>
            </w:r>
          </w:p>
        </w:tc>
        <w:tc>
          <w:tcPr>
            <w:tcW w:w="105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Alarmes por hora</w:t>
            </w:r>
          </w:p>
        </w:tc>
        <w:tc>
          <w:tcPr>
            <w:tcW w:w="1604"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Como ataque, modelo de 10/10</w:t>
            </w:r>
          </w:p>
        </w:tc>
      </w:tr>
      <w:tr>
        <w:trPr>
          <w:cantSplit/>
        </w:trPr>
        <w:tc>
          <w:tcPr>
            <w:tcW w:w="1750" w:type="dxa"/>
            <w:vAlign w:val="center"/>
          </w:tcPr>
          <w:p>
            <w:pPr>
              <w:pStyle w:val="Normal"/>
              <w:spacing w:before="20" w:after="20"/>
              <w:jc w:val="left"/>
            </w:pPr>
            <w:r>
              <w:rPr>
                <w:rFonts w:cs="Times;Sylfaen" w:ascii="Times;Sylfaen" w:hAnsi="Times;Sylfaen"/>
                <w:sz w:val="20"/>
                <w:szCs w:val="20"/>
              </w:rPr>
              <w:t xml:space="preserve">BenignTraffic2.pcap</w:t>
            </w:r>
          </w:p>
        </w:tc>
        <w:tc>
          <w:tcPr>
            <w:tcW w:w="900" w:type="dxa"/>
            <w:vAlign w:val="center"/>
          </w:tcPr>
          <w:p>
            <w:pPr>
              <w:pStyle w:val="Normal"/>
              <w:spacing w:before="20" w:after="20"/>
              <w:jc w:val="center"/>
            </w:pPr>
            <w:r>
              <w:rPr>
                <w:rFonts w:cs="Times;Sylfaen" w:ascii="Times;Sylfaen" w:hAnsi="Times;Sylfaen"/>
                <w:sz w:val="20"/>
                <w:szCs w:val="20"/>
              </w:rPr>
              <w:t xml:space="preserve">31.032</w:t>
            </w:r>
          </w:p>
        </w:tc>
        <w:tc>
          <w:tcPr>
            <w:tcW w:w="2150" w:type="dxa"/>
            <w:vAlign w:val="center"/>
          </w:tcPr>
          <w:p>
            <w:pPr>
              <w:pStyle w:val="Normal"/>
              <w:spacing w:before="20" w:after="20"/>
              <w:jc w:val="center"/>
            </w:pPr>
            <w:r>
              <w:rPr>
                <w:rFonts w:cs="Times;Sylfaen" w:ascii="Times;Sylfaen" w:hAnsi="Times;Sylfaen"/>
                <w:sz w:val="20"/>
                <w:szCs w:val="20"/>
              </w:rPr>
              <w:t xml:space="preserve">argmax</w:t>
            </w:r>
          </w:p>
        </w:tc>
        <w:tc>
          <w:tcPr>
            <w:tcW w:w="1000" w:type="dxa"/>
            <w:vAlign w:val="center"/>
          </w:tcPr>
          <w:p>
            <w:pPr>
              <w:pStyle w:val="Normal"/>
              <w:spacing w:before="20" w:after="20"/>
              <w:jc w:val="center"/>
            </w:pPr>
            <w:r>
              <w:rPr>
                <w:rFonts w:cs="Times;Sylfaen" w:ascii="Times;Sylfaen" w:hAnsi="Times;Sylfaen"/>
                <w:sz w:val="20"/>
                <w:szCs w:val="20"/>
              </w:rPr>
              <w:t xml:space="preserve">0,9%</w:t>
            </w:r>
          </w:p>
        </w:tc>
        <w:tc>
          <w:tcPr>
            <w:tcW w:w="900" w:type="dxa"/>
            <w:vAlign w:val="center"/>
          </w:tcPr>
          <w:p>
            <w:pPr>
              <w:pStyle w:val="Normal"/>
              <w:spacing w:before="20" w:after="20"/>
              <w:jc w:val="center"/>
            </w:pPr>
            <w:r>
              <w:rPr>
                <w:rFonts w:cs="Times;Sylfaen" w:ascii="Times;Sylfaen" w:hAnsi="Times;Sylfaen"/>
                <w:sz w:val="20"/>
                <w:szCs w:val="20"/>
              </w:rPr>
              <w:t xml:space="preserve">4,3</w:t>
            </w:r>
          </w:p>
        </w:tc>
        <w:tc>
          <w:tcPr>
            <w:tcW w:w="1050" w:type="dxa"/>
            <w:vAlign w:val="center"/>
          </w:tcPr>
          <w:p>
            <w:pPr>
              <w:pStyle w:val="Normal"/>
              <w:spacing w:before="20" w:after="20"/>
              <w:jc w:val="center"/>
            </w:pPr>
            <w:r>
              <w:rPr>
                <w:rFonts w:cs="Times;Sylfaen" w:ascii="Times;Sylfaen" w:hAnsi="Times;Sylfaen"/>
                <w:sz w:val="20"/>
                <w:szCs w:val="20"/>
              </w:rPr>
              <w:t xml:space="preserve">0,5</w:t>
            </w:r>
          </w:p>
        </w:tc>
        <w:tc>
          <w:tcPr>
            <w:tcW w:w="1604" w:type="dxa"/>
            <w:vAlign w:val="center"/>
          </w:tcPr>
          <w:p>
            <w:pPr>
              <w:pStyle w:val="Normal"/>
              <w:spacing w:before="20" w:after="20"/>
              <w:jc w:val="center"/>
            </w:pPr>
            <w:r>
              <w:rPr>
                <w:rFonts w:cs="Times;Sylfaen" w:ascii="Times;Sylfaen" w:hAnsi="Times;Sylfaen"/>
                <w:sz w:val="20"/>
                <w:szCs w:val="20"/>
              </w:rPr>
              <w:t xml:space="preserve">1,1%</w:t>
            </w:r>
          </w:p>
        </w:tc>
      </w:tr>
      <w:tr>
        <w:trPr>
          <w:cantSplit/>
        </w:trPr>
        <w:tc>
          <w:tcPr>
            <w:tcW w:w="1750" w:type="dxa"/>
            <w:vAlign w:val="center"/>
          </w:tcPr>
          <w:p>
            <w:pPr>
              <w:pStyle w:val="Normal"/>
              <w:spacing w:before="20" w:after="20"/>
              <w:jc w:val="left"/>
            </w:pPr>
            <w:r>
              <w:rPr>
                <w:rFonts w:cs="Times;Sylfaen" w:ascii="Times;Sylfaen" w:hAnsi="Times;Sylfaen"/>
                <w:sz w:val="20"/>
                <w:szCs w:val="20"/>
              </w:rPr>
              <w:t xml:space="preserve">BenignTraffic.pcap</w:t>
            </w:r>
          </w:p>
        </w:tc>
        <w:tc>
          <w:tcPr>
            <w:tcW w:w="900" w:type="dxa"/>
            <w:vAlign w:val="center"/>
          </w:tcPr>
          <w:p>
            <w:pPr>
              <w:pStyle w:val="Normal"/>
              <w:spacing w:before="20" w:after="20"/>
              <w:jc w:val="center"/>
            </w:pPr>
            <w:r>
              <w:rPr>
                <w:rFonts w:cs="Times;Sylfaen" w:ascii="Times;Sylfaen" w:hAnsi="Times;Sylfaen"/>
                <w:sz w:val="20"/>
                <w:szCs w:val="20"/>
              </w:rPr>
              <w:t xml:space="preserve">36.228</w:t>
            </w:r>
          </w:p>
        </w:tc>
        <w:tc>
          <w:tcPr>
            <w:tcW w:w="2150" w:type="dxa"/>
            <w:vAlign w:val="center"/>
          </w:tcPr>
          <w:p>
            <w:pPr>
              <w:pStyle w:val="Normal"/>
              <w:spacing w:before="20" w:after="20"/>
              <w:jc w:val="center"/>
            </w:pPr>
            <w:r>
              <w:rPr>
                <w:rFonts w:cs="Times;Sylfaen" w:ascii="Times;Sylfaen" w:hAnsi="Times;Sylfaen"/>
                <w:sz w:val="20"/>
                <w:szCs w:val="20"/>
              </w:rPr>
              <w:t xml:space="preserve">limiar, t de 0,52 a 0,53</w:t>
            </w:r>
          </w:p>
        </w:tc>
        <w:tc>
          <w:tcPr>
            <w:tcW w:w="1000" w:type="dxa"/>
            <w:vAlign w:val="center"/>
          </w:tcPr>
          <w:p>
            <w:pPr>
              <w:pStyle w:val="Normal"/>
              <w:spacing w:before="20" w:after="20"/>
              <w:jc w:val="center"/>
            </w:pPr>
            <w:r>
              <w:rPr>
                <w:rFonts w:cs="Times;Sylfaen" w:ascii="Times;Sylfaen" w:hAnsi="Times;Sylfaen"/>
                <w:sz w:val="20"/>
                <w:szCs w:val="20"/>
              </w:rPr>
              <w:t xml:space="preserve">6,0%</w:t>
            </w:r>
          </w:p>
        </w:tc>
        <w:tc>
          <w:tcPr>
            <w:tcW w:w="900" w:type="dxa"/>
            <w:vAlign w:val="center"/>
          </w:tcPr>
          <w:p>
            <w:pPr>
              <w:pStyle w:val="Normal"/>
              <w:spacing w:before="20" w:after="20"/>
              <w:jc w:val="center"/>
            </w:pPr>
            <w:r>
              <w:rPr>
                <w:rFonts w:cs="Times;Sylfaen" w:ascii="Times;Sylfaen" w:hAnsi="Times;Sylfaen"/>
                <w:sz w:val="20"/>
                <w:szCs w:val="20"/>
              </w:rPr>
              <w:t xml:space="preserve">124,0</w:t>
            </w:r>
          </w:p>
        </w:tc>
        <w:tc>
          <w:tcPr>
            <w:tcW w:w="1050" w:type="dxa"/>
            <w:vAlign w:val="center"/>
          </w:tcPr>
          <w:p>
            <w:pPr>
              <w:pStyle w:val="Normal"/>
              <w:spacing w:before="20" w:after="20"/>
              <w:jc w:val="center"/>
            </w:pPr>
            <w:r>
              <w:rPr>
                <w:rFonts w:cs="Times;Sylfaen" w:ascii="Times;Sylfaen" w:hAnsi="Times;Sylfaen"/>
                <w:sz w:val="20"/>
                <w:szCs w:val="20"/>
              </w:rPr>
              <w:t xml:space="preserve">13,5</w:t>
            </w:r>
          </w:p>
        </w:tc>
        <w:tc>
          <w:tcPr>
            <w:tcW w:w="1604" w:type="dxa"/>
            <w:vAlign w:val="center"/>
          </w:tcPr>
          <w:p>
            <w:pPr>
              <w:pStyle w:val="Normal"/>
              <w:spacing w:before="20" w:after="20"/>
              <w:jc w:val="center"/>
            </w:pPr>
            <w:r>
              <w:rPr>
                <w:rFonts w:cs="Times;Sylfaen" w:ascii="Times;Sylfaen" w:hAnsi="Times;Sylfaen"/>
                <w:sz w:val="20"/>
                <w:szCs w:val="20"/>
              </w:rPr>
              <w:t xml:space="preserve">36,1%</w:t>
            </w:r>
          </w:p>
        </w:tc>
      </w:tr>
      <w:tr>
        <w:trPr>
          <w:cantSplit/>
        </w:trPr>
        <w:tc>
          <w:tcPr>
            <w:tcW w:w="1750" w:type="dxa"/>
            <w:vAlign w:val="center"/>
          </w:tcPr>
          <w:p>
            <w:pPr>
              <w:pStyle w:val="Normal"/>
              <w:spacing w:before="20" w:after="20"/>
              <w:jc w:val="left"/>
            </w:pPr>
            <w:r>
              <w:rPr>
                <w:rFonts w:cs="Times;Sylfaen" w:ascii="Times;Sylfaen" w:hAnsi="Times;Sylfaen"/>
                <w:sz w:val="20"/>
                <w:szCs w:val="20"/>
              </w:rPr>
              <w:t xml:space="preserve">BenignTraffic1.pcap</w:t>
            </w:r>
          </w:p>
        </w:tc>
        <w:tc>
          <w:tcPr>
            <w:tcW w:w="900" w:type="dxa"/>
            <w:vAlign w:val="center"/>
          </w:tcPr>
          <w:p>
            <w:pPr>
              <w:pStyle w:val="Normal"/>
              <w:spacing w:before="20" w:after="20"/>
              <w:jc w:val="center"/>
            </w:pPr>
            <w:r>
              <w:rPr>
                <w:rFonts w:cs="Times;Sylfaen" w:ascii="Times;Sylfaen" w:hAnsi="Times;Sylfaen"/>
                <w:sz w:val="20"/>
                <w:szCs w:val="20"/>
              </w:rPr>
              <w:t xml:space="preserve">29.549</w:t>
            </w:r>
          </w:p>
        </w:tc>
        <w:tc>
          <w:tcPr>
            <w:tcW w:w="2150" w:type="dxa"/>
            <w:vAlign w:val="center"/>
          </w:tcPr>
          <w:p>
            <w:pPr>
              <w:pStyle w:val="Normal"/>
              <w:spacing w:before="20" w:after="20"/>
              <w:jc w:val="center"/>
            </w:pPr>
            <w:r>
              <w:rPr>
                <w:rFonts w:cs="Times;Sylfaen" w:ascii="Times;Sylfaen" w:hAnsi="Times;Sylfaen"/>
                <w:sz w:val="20"/>
                <w:szCs w:val="20"/>
              </w:rPr>
              <w:t xml:space="preserve">argmax</w:t>
            </w:r>
          </w:p>
        </w:tc>
        <w:tc>
          <w:tcPr>
            <w:tcW w:w="1000" w:type="dxa"/>
            <w:vAlign w:val="center"/>
          </w:tcPr>
          <w:p>
            <w:pPr>
              <w:pStyle w:val="Normal"/>
              <w:spacing w:before="20" w:after="20"/>
              <w:jc w:val="center"/>
            </w:pPr>
            <w:r>
              <w:rPr>
                <w:rFonts w:cs="Times;Sylfaen" w:ascii="Times;Sylfaen" w:hAnsi="Times;Sylfaen"/>
                <w:sz w:val="20"/>
                <w:szCs w:val="20"/>
              </w:rPr>
              <w:t xml:space="preserve">0,8%</w:t>
            </w:r>
          </w:p>
        </w:tc>
        <w:tc>
          <w:tcPr>
            <w:tcW w:w="900" w:type="dxa"/>
            <w:vAlign w:val="center"/>
          </w:tcPr>
          <w:p>
            <w:pPr>
              <w:pStyle w:val="Normal"/>
              <w:spacing w:before="20" w:after="20"/>
              <w:jc w:val="center"/>
            </w:pPr>
            <w:r>
              <w:rPr>
                <w:rFonts w:cs="Times;Sylfaen" w:ascii="Times;Sylfaen" w:hAnsi="Times;Sylfaen"/>
                <w:sz w:val="20"/>
                <w:szCs w:val="20"/>
              </w:rPr>
              <w:t xml:space="preserve">6,0</w:t>
            </w:r>
          </w:p>
        </w:tc>
        <w:tc>
          <w:tcPr>
            <w:tcW w:w="1050" w:type="dxa"/>
            <w:vAlign w:val="center"/>
          </w:tcPr>
          <w:p>
            <w:pPr>
              <w:pStyle w:val="Normal"/>
              <w:spacing w:before="20" w:after="20"/>
              <w:jc w:val="center"/>
            </w:pPr>
            <w:r>
              <w:rPr>
                <w:rFonts w:cs="Times;Sylfaen" w:ascii="Times;Sylfaen" w:hAnsi="Times;Sylfaen"/>
                <w:sz w:val="20"/>
                <w:szCs w:val="20"/>
              </w:rPr>
              <w:t xml:space="preserve">0,8</w:t>
            </w:r>
          </w:p>
        </w:tc>
        <w:tc>
          <w:tcPr>
            <w:tcW w:w="1604" w:type="dxa"/>
            <w:vAlign w:val="center"/>
          </w:tcPr>
          <w:p>
            <w:pPr>
              <w:pStyle w:val="Normal"/>
              <w:spacing w:before="20" w:after="20"/>
              <w:jc w:val="center"/>
            </w:pPr>
            <w:r>
              <w:rPr>
                <w:rFonts w:cs="Times;Sylfaen" w:ascii="Times;Sylfaen" w:hAnsi="Times;Sylfaen"/>
                <w:sz w:val="20"/>
                <w:szCs w:val="20"/>
              </w:rPr>
              <w:t xml:space="preserve">1,0%</w:t>
            </w:r>
          </w:p>
        </w:tc>
      </w:tr>
    </w:tbl>
    <w:p>
      <w:pPr>
        <w:pStyle w:val="Normal"/>
        <w:tabs>
          <w:tab w:val="clear" w:pos="708"/>
          <w:tab w:val="left" w:pos="720" w:leader="none"/>
        </w:tabs>
        <w:spacing w:before="120" w:after="0"/>
        <w:ind w:firstLine="708" w:end="0"/>
        <w:jc w:val="both"/>
      </w:pPr>
      <w:r>
        <w:rPr>
          <w:rFonts w:cs="Times;Sylfaen" w:ascii="Times;Sylfaen" w:hAnsi="Times;Sylfaen"/>
        </w:rPr>
        <w:t xml:space="preserve">No corte por tempo, DDoS+DoS e Mirai passam de 98% de recall e de precisão. Recon (55,0%), Web (35,1%) e BruteForce (34,4%) ficam bem abaixo. O que Recon e Web perdem vai sobretudo para Benign (Figura 3), e BruteForce perde 72 janelas para Recon e 62 para Benign, o que explica a precisão de 63,3% da categoria benigna. O macro-F1 é de 75,6% (de 75,4% a 75,7% entre as sementes), e 0,85% das janelas benignas de teste viram ataque. Com o melhor limiar (t = 0,61), que perdeu na validação, o teste teria 1,0% do benigno como ataque, e o recall de Recon e o de Spoofing cairiam 4,6 e 6,6 pontos (o intervalo de 95% da diferença não inclui zero). Com o pcap inteiro fora do treino, o recall cai em todas as categorias com mais de um pcap: Recon fica em 24,9% (0,5% no VulnerabilityScan.pcap), Spoofing em 63,0% (40,3% no DNS_Spoofing.pcap), Web em 29,4%, Mirai em 55,3% (0% no Mirai-udpplain.pcap) e DDoS+DoS em 74,2% (39,8% no DDoS-SlowLoris.pcap). BruteForce tem um pcap só: sem ele, a categoria some do treino. O alarme falso depende do pcap benigno que fica de fora, de 0,8% a 6,0% das janelas, e com 3 janelas seguidas o pior pcap dá 13,5 alarmes por hora; nessa rotação, a validação escolheu o limiar, e com o argmax seriam 5,4% das janelas. O fundo da parte de teste classificado como ataque é de 13,3%. Dos 33 pcaps de ataque com trecho de teste, 32 alarmam com a regra das 3 janelas: o Recon-PingSweep.pcap, com 18 janelas de atacante no trecho, não alarma, e o BrowserHijacking.pcap não alarma em uma das três sementes.</w:t>
      </w:r>
    </w:p>
    <w:p>
      <w:pPr>
        <w:pStyle w:val="Normal"/>
        <w:tabs>
          <w:tab w:val="clear" w:pos="708"/>
          <w:tab w:val="left" w:pos="720" w:leader="none"/>
        </w:tabs>
        <w:spacing w:before="120" w:after="0"/>
        <w:ind w:firstLine="708" w:end="0"/>
        <w:jc w:val="both"/>
      </w:pPr>
      <w:r>
        <w:rPr>
          <w:rFonts w:cs="Times;Sylfaen" w:ascii="Times;Sylfaen" w:hAnsi="Times;Sylfaen"/>
        </w:rPr>
        <w:t xml:space="preserve">Em relação ao modelo de 10/10, cada um no seu ponto de operação, o modelo do sistema troca recall por alarme falso: o recall de Recon vai de 82,1% para 55,0% e o de Spoofing, de 99,4% para 79,9%, enquanto o alarme falso no BenignTraffic.pcap fora do treino vai de 36,1% para 6,0% e o fundo classificado como ataque, de 65,9% para 13,3%.</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[FIGURA 3: matriz de confusão do modelo do sistema no ponto de operação, que na validação foi o argmax, na parte de teste do corte por tempo, semente 42. Legenda: cada linha soma 100% das janelas de teste da categoria real. A linha Benign vem de um único pcap fora do treino, o BenignTraffic2.pcap; com os outros dois fora do treino, o alarme falso vai a 0,8% e a 6,0% (Tabela 2). Com o pcap inteiro fora do treino, o recall é menor que o da diagonal em todas as categorias com mais de um pcap, e bem menor em Recon, Spoofing e Mirai (Tabela 1); o Spoofing depende ainda de um artefato da captura (seção 4.2).]</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métricas dos agentes (qualidade da recomendação, custo em tokens, tempo entre detecção e remediação) nos cenários DDoS, port scan e brute force, e comparação entre as configurações local, nuvem e híbrida.]</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4.2 Limitações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Atalho da janela no dataset oficial:</w:t>
      </w:r>
      <w:r>
        <w:rPr>
          <w:rFonts w:cs="Times;Sylfaen" w:ascii="Times;Sylfaen" w:hAnsi="Times;Sylfaen"/>
        </w:rPr>
        <w:t xml:space="preserve"> o modelo treinado no MERGED_CSV aprende o tamanho da janela, e não o comportamento do tráfego (seção 3.3; Figura 4). A regeração em janela única resolve isso ao custo de treinar só com os pcaps disponíveis, e os resultados valem para a janela de 100.</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Tráfego de fundo no treino:</w:t>
      </w:r>
      <w:r>
        <w:rPr>
          <w:rFonts w:cs="Times;Sylfaen" w:ascii="Times;Sylfaen" w:hAnsi="Times;Sylfaen"/>
        </w:rPr>
        <w:t xml:space="preserve"> entre 3,3% e 66,9% das janelas de 100 dos pcaps de varredura, força bruta, Web e spoofing não contêm nenhum quadro do atacante (na janela de 10, entre 33% e 87%; Figura 5). O treino do sistema põe as da parte de treino como benignas, e parte delas pode conter efeito do ataque: o modelo aprende a chamar de benigno o que se parece com elas, e o recall de Recon e o de Spoofing caem (seção 4.1). O fundo da parte de teste não tem rótulo e fica fora do teste; o modelo classifica 13,3% dele como ataque, no ponto de operação, uma estimativa do alarme durante um ataque, e não um erro medido.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 regra que adotou o fundo no treino:</w:t>
      </w:r>
      <w:r>
        <w:rPr>
          <w:rFonts w:cs="Times;Sylfaen" w:ascii="Times;Sylfaen" w:hAnsi="Times;Sylfaen"/>
        </w:rPr>
        <w:t xml:space="preserve"> a condição sobre o Recon-PortScan.pcap foi atendida pela média, com queda de 3,53 pontos no trecho de teste do pcap, mas o intervalo de 95% da queda vai de 1,77 a 5,29 pontos e não exclui uma queda acima do limite de 5. No pcap inteiro, a queda é de 6,26 pontos, e por ele a condição falharia.</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Web e BruteForce:</w:t>
      </w:r>
      <w:r>
        <w:rPr>
          <w:rFonts w:cs="Times;Sylfaen" w:ascii="Times;Sylfaen" w:hAnsi="Times;Sylfaen"/>
        </w:rPr>
        <w:t xml:space="preserve"> recall de 35,1% e de 34,4% no corte por tempo, no ponto de operação, confundidos com Recon e com tráfego benigno. Os intervalos são largos: no modelo de 10/10, por blocos, de 19,2% a 52,0% em BruteForce, que tem um tamanho efetivo de 15 janelas de teste. Com o fundo no treino, essas categorias são menos reconhecidas como ataque numa captura nova: com o pcap fora do treino, Web visto como algum ataque cai de 77,1% para 51,8% e BruteForce, de 76,4% para 56,9%, em relação ao modelo de 10/10 (o intervalo de 95% da diferença não inclui zero), embora o recall de Web na categoria certa não mude. Os pcaps dessas classes são curtos, e o grupo não tem captura própria.</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Outra captura da mesma categoria:</w:t>
      </w:r>
      <w:r>
        <w:rPr>
          <w:rFonts w:cs="Times;Sylfaen" w:ascii="Times;Sylfaen" w:hAnsi="Times;Sylfaen"/>
        </w:rPr>
        <w:t xml:space="preserve"> com o pcap inteiro fora do treino, o recall de Recon fica em 24,9%, o de Spoofing em 63,0%, o de Mirai em 55,3% e o de Web em 29,4% (Tabela 1). Cada pcap de Recon e de Web é uma técnica diferente, e tirar o pcap tira também a técnica do treino. BruteForce tem um pcap só.</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Uma rede diferente da do dataset:</w:t>
      </w:r>
      <w:r>
        <w:rPr>
          <w:rFonts w:cs="Times;Sylfaen" w:ascii="Times;Sylfaen" w:hAnsi="Times;Sylfaen"/>
        </w:rPr>
        <w:t xml:space="preserve"> o classificador foi treinado e testado só com o tráfego do laboratório do CICIoT2023, com os mesmos dispositivos, os mesmos sete atacantes e o mesmo tráfego normal; mesmo as medidas com o pcap inteiro fora do treino vêm dessa rede. O desempenho numa rede real, com outros dispositivos e outro tráfego normal, não foi medido, e o recall e o alarme falso podem ser outros. O TTL (Time To Live) e o tamanho dos quadros, que pesam nas decisões do modelo, dependem dos dispositivos e de como o tráfego é capturado (itens abaixo).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Tráfego que não é de IoT:</w:t>
      </w:r>
      <w:r>
        <w:rPr>
          <w:rFonts w:cs="Times;Sylfaen" w:ascii="Times;Sylfaen" w:hAnsi="Times;Sylfaen"/>
        </w:rPr>
        <w:t xml:space="preserve"> o tráfego benigno do treino é só de dispositivos IoT. No teste de captura de 25/10 (seção 3.1), o tráfego normal de um notebook deu 8 das 23 janelas como Spoofing e abriu um incidente de Spoofing, com confiança de 0,54. Computadores e celulares têm outro tráfego normal, e o sistema foi pensado para vigiar a rede dos aparelhos IoT.</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IPv6:</w:t>
      </w:r>
      <w:r>
        <w:rPr>
          <w:rFonts w:cs="Times;Sylfaen" w:ascii="Times;Sylfaen" w:hAnsi="Times;Sylfaen"/>
        </w:rPr>
        <w:t xml:space="preserve"> o extrator só mede quadros IPv4 e ARP, como o código dos autores, e ignora o IPv6. No mesmo teste, 2.674 dos 5.000 quadros (53%) eram IPv6. Um ataque feito só por IPv6 não é visto.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Tráfego que não cruza o gateway:</w:t>
      </w:r>
      <w:r>
        <w:rPr>
          <w:rFonts w:cs="Times;Sylfaen" w:ascii="Times;Sylfaen" w:hAnsi="Times;Sylfaen"/>
        </w:rPr>
        <w:t xml:space="preserve"> o sistema só vê o que passa pelo ponto de captura. Numa rede em que o gateway não é o ponto de acesso, nem separa a rede IoT das outras, o ataque de um aparelho contra outro da mesma rede não chega a ele. Sensores em Zigbee ou Bluetooth, fora da rede IP (Internet Protocol), também ficam de fora.</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DDoS vindo da internet:</w:t>
      </w:r>
      <w:r>
        <w:rPr>
          <w:rFonts w:cs="Times;Sylfaen" w:ascii="Times;Sylfaen" w:hAnsi="Times;Sylfaen"/>
        </w:rPr>
        <w:t xml:space="preserve"> um flood volumétrico de fora lota o link da operadora antes de chegar ao gateway. Bloquear as origens no gateway não libera o link; isso pede ação do provedor.</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Alarme falso conforme o pcap benigno:</w:t>
      </w:r>
      <w:r>
        <w:rPr>
          <w:rFonts w:cs="Times;Sylfaen" w:ascii="Times;Sylfaen" w:hAnsi="Times;Sylfaen"/>
        </w:rPr>
        <w:t xml:space="preserve"> com cada pcap benigno fora do treino, a fração classificada como ataque vai de 0,8% a 6,0% no ponto de operação (Tabela 2). A regra foi escolhida com no máximo 1% de alarme falso na validação, que vem dos outros dois pcaps benignos, e o pcap de fora pode passar disso, como passa o BenignTraffic.pcap.</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Artefato de captura:</w:t>
      </w:r>
      <w:r>
        <w:rPr>
          <w:rFonts w:cs="Times;Sylfaen" w:ascii="Times;Sylfaen" w:hAnsi="Times;Sylfaen"/>
        </w:rPr>
        <w:t xml:space="preserve"> os pcaps não foram gravados todos do mesmo jeito. 84% das janelas de Spoofing têm quadro menor que 60 bytes, sem o preenchimento do Ethernet, e 88% das janelas benignas têm quadro maior que 1.514 bytes, que só existe com segmentação feita pela placa da máquina que capturou; numa rede real, os tamanhos seriam outros. O TTL também pesa: é a feature que mais derruba o recall do tráfego benigno quando permutada, e as janelas benignas com TTL médio até 64 viram ataque em 9,3% dos casos, contra 1,4% acima de 90. Medir o quadro como no fio foi testado e não adotado, porque piora as medidas com o pcap fora do treino sem melhorar o alarme falso (seção 3.3), e o artefato fica declarado como limitação. Os números do TTL são do modelo de 10/10.</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Cenários da PoC:</w:t>
      </w:r>
      <w:r>
        <w:rPr>
          <w:rFonts w:cs="Times;Sylfaen" w:ascii="Times;Sylfaen" w:hAnsi="Times;Sylfaen"/>
        </w:rPr>
        <w:t xml:space="preserve"> DDoS, port scan e brute force. O cenário de exfiltração foi retirado com o orientador: o CICIoT2023 não tem essa classe, e os datasets de referência também não a cobrem com dados rotulados suficientes. O dataset secundário foi dispensado pelo mesmo motivo; o trabalho usa só o CICIoT2023.</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Teste por arquivo inteiro:</w:t>
      </w:r>
      <w:r>
        <w:rPr>
          <w:rFonts w:cs="Times;Sylfaen" w:ascii="Times;Sylfaen" w:hAnsi="Times;Sylfaen"/>
        </w:rPr>
        <w:t xml:space="preserve"> só BenignTraffic, DDoS-SYN_Flood e DoS-SYN_Flood têm mais de um arquivo, e o último fica inteiro no teste. Os sete arquivos desses rótulos estão entre os 20 pcaps com cerca de 2.048.000.000 bytes, o tamanho em que o tcpdump -C 2048 corta o arquivo: são partes da mesma gravação, e não capturas independentes. Nas demais classes a divisão é por tempo dentro do mesmo pcap, o que tende a superestimar o resultado.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Separação entre DDoS e DoS:</w:t>
      </w:r>
      <w:r>
        <w:rPr>
          <w:rFonts w:cs="Times;Sylfaen" w:ascii="Times;Sylfaen" w:hAnsi="Times;Sylfaen"/>
        </w:rPr>
        <w:t xml:space="preserve"> por janela, as faixas de IPs de origem das duas categorias se cruzam, e a contagem inclui os IPs da vítima e do tráfego de fundo. No nível do incidente, a regra pela parcela da maior origem acerta 19 de 20 incidentes dos pcaps de DoS e 34 de 63 dos de DDoS: ela tende a dizer DoS.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Quem atacou:</w:t>
      </w:r>
      <w:r>
        <w:rPr>
          <w:rFonts w:cs="Times;Sylfaen" w:ascii="Times;Sylfaen" w:hAnsi="Times;Sylfaen"/>
        </w:rPr>
        <w:t xml:space="preserve"> o atacante do incidente é escolhido pela presença dos endereços nas janelas do incidente contra o tráfego benigno; nos pcaps de ataque, a primeira origem listada é um atacante em 119 de 231 incidentes, e nunca no spoofing, em que o quadro ARP só traz o IP anunciado, e não o do atacante. Uma origem errada é contida pela política de risco: bloquear uma origem da rede local é de risco alto e só acontece com a aprovação de uma pessoa.</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O artefato de captura na implantação:</w:t>
      </w:r>
      <w:r>
        <w:rPr>
          <w:rFonts w:cs="Times;Sylfaen" w:ascii="Times;Sylfaen" w:hAnsi="Times;Sylfaen"/>
        </w:rPr>
        <w:t xml:space="preserve"> com os quadros como passam no fio, completados até 60 bytes e limitados a 1.514, o modelo do sistema dá 26 alarmes nas 8 horas do BenignTraffic2.pcap, contra 4 com os quadros como o dataset gravou. Uma implantação que capture como o fio precisaria retreinar o modelo com os quadros normalizados.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O atacante também gera tráfego comum:</w:t>
      </w:r>
      <w:r>
        <w:rPr>
          <w:rFonts w:cs="Times;Sylfaen" w:ascii="Times;Sylfaen" w:hAnsi="Times;Sylfaen"/>
        </w:rPr>
        <w:t xml:space="preserve"> 27,1% das janelas de 100 dos pcaps benignos têm ao menos um quadro de um MAC atacante, e entram no treino como benignas.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Ambiente simulado e efeito fixo:</w:t>
      </w:r>
      <w:r>
        <w:rPr>
          <w:rFonts w:cs="Times;Sylfaen" w:ascii="Times;Sylfaen" w:hAnsi="Times;Sylfaen"/>
        </w:rPr>
        <w:t xml:space="preserve"> o servidor MCP da PoC atende incidentes de pcaps reproduzidos, e não de uma captura ao vivo, e aplicar uma ação é só gravar o evento no log, sem rede em que ela aja. A verificação do efeito responde sempre que o ataque cessou. Os experimentos medem se os agentes escolhem uma ação aceitável no alvo certo e em quanto tempo ela é executada, e não se ela faria o ataque parar; o caso em que o agente de decisão propõe outra ação porque a primeira não resolveu não é exercitado. </w:t>
      </w:r>
      <w:r>
        <w:rPr>
          <w:rFonts w:cs="Times;Sylfaen" w:ascii="Times;Sylfaen" w:hAnsi="Times;Sylfaen"/>
          <w:highlight w:val="yellow"/>
        </w:rPr>
        <w:t xml:space="preserve">[Se houver tempo: o efeito de bloquear_ip medido no próprio pcap, tirando os pacotes da origem bloqueada a partir do bloqueio.]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Aprovação nos experimentos:</w:t>
      </w:r>
      <w:r>
        <w:rPr>
          <w:rFonts w:cs="Times;Sylfaen" w:ascii="Times;Sylfaen" w:hAnsi="Times;Sylfaen"/>
        </w:rPr>
        <w:t xml:space="preserve"> as ações de risco alto são aprovadas por uma regra fixa (seção 3.6), e o tempo até a remediação não inclui o de uma pessoa decidir, que numa operação real pode passar de minutos.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Teto por hora e rota de menor capacidade:</w:t>
      </w:r>
      <w:r>
        <w:rPr>
          <w:rFonts w:cs="Times;Sylfaen" w:ascii="Times;Sylfaen" w:hAnsi="Times;Sylfaen"/>
        </w:rPr>
        <w:t xml:space="preserve"> a regra por tempo dos incidentes (seção 3.5) não foi implementada nem medida, e tem uma brecha. Um atacante pode gastar a cota da nuvem com ruído, rajadas que bastam para abrir incidentes, para que o ataque real caia na rota local ou, passado o segundo teto, só na saída do classificador. O estrago é limitado porque a política de risco, a troca de endereços por rótulos e a aprovação humana estão no servidor e valem nas duas rotas: um modelo mais fraco pode recomendar pior, mas não executa ação de risco alto sem aprovação. A comparação entre as configurações (seção 4.1) mede quanto se perde na rota local.</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Incidentes falsos de confiança alta:</w:t>
      </w:r>
      <w:r>
        <w:rPr>
          <w:rFonts w:cs="Times;Sylfaen" w:ascii="Times;Sylfaen" w:hAnsi="Times;Sylfaen"/>
        </w:rPr>
        <w:t xml:space="preserve"> o limiar de 0,6 da triagem não pega os incidentes falsos em que o classificador está seguro do erro. 25 dos 57 falsos da avaliação dos 38 pcaps têm confiança de 0,8 ou mais, quase todos de um pcap de ataque com a categoria errada e com milhares de janelas, e nenhum limiar de confiança os separa dos verdadeiros sem marcar boa parte dos ataques. Neles, a resposta proposta parte da categoria errada, e só a aprovação humana segura o erro, apenas nas ações de risco alto.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O que pode ficar fora do calendário</w:t>
      </w:r>
      <w:r>
        <w:rPr>
          <w:rFonts w:cs="Times;Sylfaen" w:ascii="Times;Sylfaen" w:hAnsi="Times;Sylfaen"/>
        </w:rPr>
        <w:t xml:space="preserve"> </w:t>
      </w:r>
      <w:r>
        <w:rPr>
          <w:rFonts w:cs="Times;Sylfaen" w:ascii="Times;Sylfaen" w:hAnsi="Times;Sylfaen"/>
          <w:highlight w:val="yellow"/>
        </w:rPr>
        <w:t xml:space="preserve">[CONFERIR na revisão final]</w:t>
      </w:r>
      <w:r>
        <w:rPr>
          <w:rFonts w:cs="Times;Sylfaen" w:ascii="Times;Sylfaen" w:hAnsi="Times;Sylfaen"/>
        </w:rPr>
        <w:t xml:space="preserve">: se não couberem antes da submissão, o teste de tool poisoning (seção 3.6) e a ligação dos agentes à interface ficam de fora, e a aprovação na PoC é feita pelo comando de terminal.</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Modelo local:</w:t>
      </w:r>
      <w:r>
        <w:rPr>
          <w:rFonts w:cs="Times;Sylfaen" w:ascii="Times;Sylfaen" w:hAnsi="Times;Sylfaen"/>
        </w:rPr>
        <w:t xml:space="preserve"> os agentes de triagem e execução rodam num Qwen de 27 bilhões de parâmetros, mais fraco que o de fronteira; a comparação entre as configurações mede esse custo. É uma variante sem censura cujo nome exato a equipe não conhece, servida por um servidor de inferência compatível com a API da OpenAI, com hardware e quantização desconhecidos. Isso pesa na reprodutibilidade: quem repetir o trabalho com o Qwen normal, o publicado para o Ollama, deve esperar o comportamento que ele teve na comparação, em que entrou em laço em metade das triagens. Mesmo com temperatura 0 e semente fixa, o texto das respostas varia entre repetições, e cada caso dos experimentos é repetido. Um modelo desse tamanho pede placa de vídeo ou bastante memória, além do que o gateway precisa para a captura, o classificador e o servidor MCP (seção 3.5). Para o público-alvo, uma casa ou um pequeno negócio, esse hardware é caro. A saída é a configuração híbrida com um modelo local menor, de qualidade não medida neste trabalho, ou um serviço contratado que rode o modelo para vários clientes; nesse caso o dado sai da rede atendida, mas vai para quem foi contratado, e não para um provedor de IA.</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[FIGURA 4: teste da janela. FIGURA 5: janelas sem atacante.]</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5. Conclusão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escrever por último: retomar problema e objetivos, responder à pergunta de pesquisa com os resultados, contribuições, limitações (seção 4.2) e trabalhos futuros, como captura ao vivo, dataset próprio e a ação de revogação de credenciais.]</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6. Referências bibliográficas</w:t>
      </w:r>
    </w:p>
    <w:p>
      <w:pPr>
        <w:pStyle w:val="Normal"/>
        <w:tabs>
          <w:tab w:val="clear" w:pos="708"/>
          <w:tab w:val="left" w:pos="720" w:leader="none"/>
        </w:tabs>
        <w:spacing w:before="120" w:after="0"/>
        <w:jc w:val="left"/>
      </w:pPr>
      <w:r>
        <w:rPr>
          <w:rFonts w:cs="Times;Sylfaen" w:ascii="Times;Sylfaen" w:hAnsi="Times;Sylfaen"/>
        </w:rPr>
        <w:t xml:space="preserve">BEURER-KELLNER, L.; FISCHER, M. </w:t>
      </w:r>
      <w:r>
        <w:rPr>
          <w:rFonts w:cs="Times;Sylfaen" w:ascii="Times;Sylfaen" w:hAnsi="Times;Sylfaen"/>
          <w:b/>
          <w:bCs/>
        </w:rPr>
        <w:t xml:space="preserve">MCP security notification</w:t>
      </w:r>
      <w:r>
        <w:rPr>
          <w:rFonts w:cs="Times;Sylfaen" w:ascii="Times;Sylfaen" w:hAnsi="Times;Sylfaen"/>
        </w:rPr>
        <w:t xml:space="preserve">: tool poisoning attacks. Zurique: Invariant Labs, 1 abr. 2025. Disponível em: https://invariantlabs.ai/blog/mcp-security-notification-tool-poisoning-attacks. Acesso em: 26 out. 2026.</w:t>
      </w:r>
    </w:p>
    <w:p>
      <w:pPr>
        <w:pStyle w:val="Normal"/>
        <w:tabs>
          <w:tab w:val="clear" w:pos="708"/>
          <w:tab w:val="left" w:pos="720" w:leader="none"/>
        </w:tabs>
        <w:spacing w:before="120" w:after="0"/>
        <w:jc w:val="left"/>
      </w:pPr>
      <w:r>
        <w:rPr>
          <w:rFonts w:cs="Times;Sylfaen" w:ascii="Times;Sylfaen" w:hAnsi="Times;Sylfaen"/>
        </w:rPr>
        <w:t xml:space="preserve">CANADIAN INSTITUTE FOR CYBERSECURITY. </w:t>
      </w:r>
      <w:r>
        <w:rPr>
          <w:rFonts w:cs="Times;Sylfaen" w:ascii="Times;Sylfaen" w:hAnsi="Times;Sylfaen"/>
          <w:b/>
          <w:bCs/>
        </w:rPr>
        <w:t xml:space="preserve">CIC IoT Dataset 2023</w:t>
      </w:r>
      <w:r>
        <w:rPr>
          <w:rFonts w:cs="Times;Sylfaen" w:ascii="Times;Sylfaen" w:hAnsi="Times;Sylfaen"/>
        </w:rPr>
        <w:t xml:space="preserve">. Fredericton: University of New Brunswick, 2023. Disponível em: https://cicresearch.ca/IOTDataset/CIC_IOT_Dataset2023/. Acesso em: 11 out. 2026.</w:t>
      </w:r>
    </w:p>
    <w:p>
      <w:pPr>
        <w:pStyle w:val="Normal"/>
        <w:tabs>
          <w:tab w:val="clear" w:pos="708"/>
          <w:tab w:val="left" w:pos="720" w:leader="none"/>
        </w:tabs>
        <w:spacing w:before="120" w:after="0"/>
        <w:jc w:val="left"/>
      </w:pPr>
      <w:r>
        <w:rPr>
          <w:rFonts w:cs="Times;Sylfaen" w:ascii="Times;Sylfaen" w:hAnsi="Times;Sylfaen"/>
        </w:rPr>
        <w:t xml:space="preserve">DARKTRACE. </w:t>
      </w:r>
      <w:r>
        <w:rPr>
          <w:rFonts w:cs="Times;Sylfaen" w:ascii="Times;Sylfaen" w:hAnsi="Times;Sylfaen"/>
          <w:b/>
          <w:bCs/>
        </w:rPr>
        <w:t xml:space="preserve">Darktrace leading the future of network detection and response with recognition from KuppingerCole</w:t>
      </w:r>
      <w:r>
        <w:rPr>
          <w:rFonts w:cs="Times;Sylfaen" w:ascii="Times;Sylfaen" w:hAnsi="Times;Sylfaen"/>
        </w:rPr>
        <w:t xml:space="preserve">. Blog, 18 nov. 2024. Disponível em: https://www.darktrace.com/blog/darktrace-leading-the-future-of-network-detection-and-response-with-recognition-from-kuppingercole. Acesso em: 26 out. 2026.</w:t>
      </w:r>
    </w:p>
    <w:p>
      <w:pPr>
        <w:pStyle w:val="Normal"/>
        <w:tabs>
          <w:tab w:val="clear" w:pos="708"/>
          <w:tab w:val="left" w:pos="720" w:leader="none"/>
        </w:tabs>
        <w:spacing w:before="120" w:after="0"/>
        <w:jc w:val="left"/>
      </w:pPr>
      <w:r>
        <w:rPr>
          <w:rFonts w:cs="Times;Sylfaen" w:ascii="Times;Sylfaen" w:hAnsi="Times;Sylfaen"/>
        </w:rPr>
        <w:t xml:space="preserve">DOMÉNECH, J.; LEÓN, O.; PEGUEROLES, J.; SIDDIQUI, M. S. Evaluating and enhancing intrusion detection systems in IoMT: the importance of domain-specific datasets. </w:t>
      </w:r>
      <w:r>
        <w:rPr>
          <w:rFonts w:cs="Times;Sylfaen" w:ascii="Times;Sylfaen" w:hAnsi="Times;Sylfaen"/>
          <w:b/>
          <w:bCs/>
        </w:rPr>
        <w:t xml:space="preserve">Internet of Things</w:t>
      </w:r>
      <w:r>
        <w:rPr>
          <w:rFonts w:cs="Times;Sylfaen" w:ascii="Times;Sylfaen" w:hAnsi="Times;Sylfaen"/>
        </w:rPr>
        <w:t xml:space="preserve">, v. 32, 101631, 2025. DOI: 10.1016/j.iot.2025.101631. Disponível em: https://www.sciencedirect.com/science/article/pii/S2542660525001453. Acesso em: 26 out. 2026.</w:t>
      </w:r>
    </w:p>
    <w:p>
      <w:pPr>
        <w:pStyle w:val="Normal"/>
        <w:tabs>
          <w:tab w:val="clear" w:pos="708"/>
          <w:tab w:val="left" w:pos="720" w:leader="none"/>
        </w:tabs>
        <w:spacing w:before="120" w:after="0"/>
        <w:jc w:val="left"/>
      </w:pPr>
      <w:r>
        <w:rPr>
          <w:rFonts w:cs="Times;Sylfaen" w:ascii="Times;Sylfaen" w:hAnsi="Times;Sylfaen"/>
        </w:rPr>
        <w:t xml:space="preserve">ENGELEN, G.; RIMMER, V.; JOOSEN, W. Troubleshooting an intrusion detection dataset: the CICIDS2017 case study. In: IEEE SECURITY AND PRIVACY WORKSHOPS (SPW), 2021, San Francisco. </w:t>
      </w:r>
      <w:r>
        <w:rPr>
          <w:rFonts w:cs="Times;Sylfaen" w:ascii="Times;Sylfaen" w:hAnsi="Times;Sylfaen"/>
          <w:b/>
          <w:bCs/>
        </w:rPr>
        <w:t xml:space="preserve">Proceedings</w:t>
      </w:r>
      <w:r>
        <w:rPr>
          <w:rFonts w:cs="Times;Sylfaen" w:ascii="Times;Sylfaen" w:hAnsi="Times;Sylfaen"/>
        </w:rPr>
        <w:t xml:space="preserve"> [...]. [S. l.]: IEEE, 2021. p. 7-12. DOI: 10.1109/SPW53761.2021.00009.</w:t>
      </w:r>
    </w:p>
    <w:p>
      <w:pPr>
        <w:pStyle w:val="Normal"/>
        <w:tabs>
          <w:tab w:val="clear" w:pos="708"/>
          <w:tab w:val="left" w:pos="720" w:leader="none"/>
        </w:tabs>
        <w:spacing w:before="120" w:after="0"/>
        <w:jc w:val="left"/>
      </w:pPr>
      <w:r>
        <w:rPr>
          <w:rFonts w:cs="Times;Sylfaen" w:ascii="Times;Sylfaen" w:hAnsi="Times;Sylfaen"/>
        </w:rPr>
        <w:t xml:space="preserve">GRESHAKE, K.; ABDELNABI, S.; MISHRA, S.; ENDRES, C.; HOLZ, T.; FRITZ, M. Not what you've signed up for: compromising real-world LLM-integrated applications with indirect prompt injection. In: ACM WORKSHOP ON ARTIFICIAL INTELLIGENCE AND SECURITY (AISEC), 16., 2023, Copenhague. </w:t>
      </w:r>
      <w:r>
        <w:rPr>
          <w:rFonts w:cs="Times;Sylfaen" w:ascii="Times;Sylfaen" w:hAnsi="Times;Sylfaen"/>
          <w:b/>
          <w:bCs/>
        </w:rPr>
        <w:t xml:space="preserve">Proceedings</w:t>
      </w:r>
      <w:r>
        <w:rPr>
          <w:rFonts w:cs="Times;Sylfaen" w:ascii="Times;Sylfaen" w:hAnsi="Times;Sylfaen"/>
        </w:rPr>
        <w:t xml:space="preserve"> [...]. Nova York: ACM, 2023. p. 79-90. DOI: 10.1145/3605764.3623985.</w:t>
      </w:r>
    </w:p>
    <w:p>
      <w:pPr>
        <w:pStyle w:val="Normal"/>
        <w:tabs>
          <w:tab w:val="clear" w:pos="708"/>
          <w:tab w:val="left" w:pos="720" w:leader="none"/>
        </w:tabs>
        <w:spacing w:before="120" w:after="0"/>
        <w:jc w:val="left"/>
      </w:pPr>
      <w:r>
        <w:rPr>
          <w:rFonts w:cs="Times;Sylfaen" w:ascii="Times;Sylfaen" w:hAnsi="Times;Sylfaen"/>
        </w:rPr>
        <w:t xml:space="preserve">HOU, X.; ZHAO, Y.; WANG, S.; WANG, H. Model Context Protocol (MCP): landscape, security threats, and future research directions. </w:t>
      </w:r>
      <w:r>
        <w:rPr>
          <w:rFonts w:cs="Times;Sylfaen" w:ascii="Times;Sylfaen" w:hAnsi="Times;Sylfaen"/>
          <w:b/>
          <w:bCs/>
        </w:rPr>
        <w:t xml:space="preserve">ACM Transactions on Software Engineering and Methodology</w:t>
      </w:r>
      <w:r>
        <w:rPr>
          <w:rFonts w:cs="Times;Sylfaen" w:ascii="Times;Sylfaen" w:hAnsi="Times;Sylfaen"/>
        </w:rPr>
        <w:t xml:space="preserve">, v. 35, n. 10, p. 1-37, 2026. DOI: 10.1145/3796519. Acesso em: 26 out. 2026.</w:t>
      </w:r>
    </w:p>
    <w:p>
      <w:pPr>
        <w:pStyle w:val="Normal"/>
        <w:tabs>
          <w:tab w:val="clear" w:pos="708"/>
          <w:tab w:val="left" w:pos="720" w:leader="none"/>
        </w:tabs>
        <w:spacing w:before="120" w:after="0"/>
        <w:jc w:val="left"/>
      </w:pPr>
      <w:r>
        <w:rPr>
          <w:rFonts w:cs="Times;Sylfaen" w:ascii="Times;Sylfaen" w:hAnsi="Times;Sylfaen"/>
        </w:rPr>
        <w:t xml:space="preserve">KELLY, D.; GLAVIN, F. G.; BARRETT, E. </w:t>
      </w:r>
      <w:r>
        <w:rPr>
          <w:rFonts w:cs="Times;Sylfaen" w:ascii="Times;Sylfaen" w:hAnsi="Times;Sylfaen"/>
          <w:b/>
          <w:bCs/>
        </w:rPr>
        <w:t xml:space="preserve">Denial of Wallet</w:t>
      </w:r>
      <w:r>
        <w:rPr>
          <w:rFonts w:cs="Times;Sylfaen" w:ascii="Times;Sylfaen" w:hAnsi="Times;Sylfaen"/>
        </w:rPr>
        <w:t xml:space="preserve">: defining a looming threat to serverless computing. arXiv, 2021. Disponível em: https://arxiv.org/abs/2104.08031. Acesso em: 11 out. 2026.</w:t>
      </w:r>
    </w:p>
    <w:p>
      <w:pPr>
        <w:pStyle w:val="Normal"/>
        <w:tabs>
          <w:tab w:val="clear" w:pos="708"/>
          <w:tab w:val="left" w:pos="720" w:leader="none"/>
        </w:tabs>
        <w:spacing w:before="120" w:after="0"/>
        <w:jc w:val="left"/>
      </w:pPr>
      <w:r>
        <w:rPr>
          <w:rFonts w:cs="Times;Sylfaen" w:ascii="Times;Sylfaen" w:hAnsi="Times;Sylfaen"/>
        </w:rPr>
        <w:t xml:space="preserve">LIU, L.; ENGELEN, G.; LYNAR, T.; ESSAM, D.; JOOSEN, W. Error prevalence in NIDS datasets: a case study on CIC-IDS-2017 and CSE-CIC-IDS-2018. In: IEEE CONFERENCE ON COMMUNICATIONS AND NETWORK SECURITY (CNS), 2022, Austin. </w:t>
      </w:r>
      <w:r>
        <w:rPr>
          <w:rFonts w:cs="Times;Sylfaen" w:ascii="Times;Sylfaen" w:hAnsi="Times;Sylfaen"/>
          <w:b/>
          <w:bCs/>
        </w:rPr>
        <w:t xml:space="preserve">Proceedings</w:t>
      </w:r>
      <w:r>
        <w:rPr>
          <w:rFonts w:cs="Times;Sylfaen" w:ascii="Times;Sylfaen" w:hAnsi="Times;Sylfaen"/>
        </w:rPr>
        <w:t xml:space="preserve"> [...]. [S. l.]: IEEE, 2022. p. 254-263. DOI: 10.1109/CNS56114.2022.9947235.</w:t>
      </w:r>
    </w:p>
    <w:p>
      <w:pPr>
        <w:pStyle w:val="Normal"/>
        <w:tabs>
          <w:tab w:val="clear" w:pos="708"/>
          <w:tab w:val="left" w:pos="720" w:leader="none"/>
        </w:tabs>
        <w:spacing w:before="120" w:after="0"/>
        <w:jc w:val="left"/>
      </w:pPr>
      <w:r>
        <w:rPr>
          <w:rFonts w:cs="Times;Sylfaen" w:ascii="Times;Sylfaen" w:hAnsi="Times;Sylfaen"/>
        </w:rPr>
        <w:t xml:space="preserve">NETO, E. C. P.; DADKHAH, S.; FERREIRA, R.; ZOHOURIAN, A.; LU, R.; GHORBANI, A. A. CICIoT2023: a real-time dataset and benchmark for large-scale attacks in IoT environment. </w:t>
      </w:r>
      <w:r>
        <w:rPr>
          <w:rFonts w:cs="Times;Sylfaen" w:ascii="Times;Sylfaen" w:hAnsi="Times;Sylfaen"/>
          <w:b/>
          <w:bCs/>
        </w:rPr>
        <w:t xml:space="preserve">Sensors</w:t>
      </w:r>
      <w:r>
        <w:rPr>
          <w:rFonts w:cs="Times;Sylfaen" w:ascii="Times;Sylfaen" w:hAnsi="Times;Sylfaen"/>
        </w:rPr>
        <w:t xml:space="preserve">, v. 23, n. 13, 5941, 2023. DOI: 10.3390/s23135941.</w:t>
      </w:r>
    </w:p>
    <w:p>
      <w:pPr>
        <w:pStyle w:val="Normal"/>
        <w:tabs>
          <w:tab w:val="clear" w:pos="708"/>
          <w:tab w:val="left" w:pos="720" w:leader="none"/>
        </w:tabs>
        <w:spacing w:before="120" w:after="0"/>
        <w:jc w:val="left"/>
      </w:pPr>
      <w:r>
        <w:rPr>
          <w:rFonts w:cs="Times;Sylfaen" w:ascii="Times;Sylfaen" w:hAnsi="Times;Sylfaen"/>
        </w:rPr>
        <w:t xml:space="preserve">NETSKOPE. </w:t>
      </w:r>
      <w:r>
        <w:rPr>
          <w:rFonts w:cs="Times;Sylfaen" w:ascii="Times;Sylfaen" w:hAnsi="Times;Sylfaen"/>
          <w:b/>
          <w:bCs/>
        </w:rPr>
        <w:t xml:space="preserve">Netskope introduces SkopeAI</w:t>
      </w:r>
      <w:r>
        <w:rPr>
          <w:rFonts w:cs="Times;Sylfaen" w:ascii="Times;Sylfaen" w:hAnsi="Times;Sylfaen"/>
        </w:rPr>
        <w:t xml:space="preserve">: revolutionary AI-driven security for the future of data protection and cyber threat defense. 25 jul. 2023. Disponível em: https://www.netskope.com/fr/press-releases/netskope-introduces-skopeai-revolutionary-ai-driven-security-for-the-future-of-data-protection-and-cyber-threat-defense. Acesso em: 11 out. 2026.</w:t>
      </w:r>
    </w:p>
    <w:p>
      <w:pPr>
        <w:pStyle w:val="Normal"/>
        <w:tabs>
          <w:tab w:val="clear" w:pos="708"/>
          <w:tab w:val="left" w:pos="720" w:leader="none"/>
        </w:tabs>
        <w:spacing w:before="120" w:after="0"/>
        <w:jc w:val="left"/>
      </w:pPr>
      <w:r>
        <w:rPr>
          <w:rFonts w:cs="Times;Sylfaen" w:ascii="Times;Sylfaen" w:hAnsi="Times;Sylfaen"/>
        </w:rPr>
        <w:t xml:space="preserve">OLIVEIRA, B. S.; GREGORIN, M. Q.; ROLING, J. V.; GUIMARÃES, P. H. C. </w:t>
      </w:r>
      <w:r>
        <w:rPr>
          <w:rFonts w:cs="Times;Sylfaen" w:ascii="Times;Sylfaen" w:hAnsi="Times;Sylfaen"/>
          <w:b/>
          <w:bCs/>
        </w:rPr>
        <w:t xml:space="preserve">SentryIoT</w:t>
      </w:r>
      <w:r>
        <w:rPr>
          <w:rFonts w:cs="Times;Sylfaen" w:ascii="Times;Sylfaen" w:hAnsi="Times;Sylfaen"/>
        </w:rPr>
        <w:t xml:space="preserve">: MultiAgent NIDR. [S. l.]: GitHub, 2026. Repositório de código. Disponível em: https://github.com/stermiix/SentryIoT. Acesso em: 11 out. 2026.</w:t>
      </w:r>
    </w:p>
    <w:p>
      <w:pPr>
        <w:pStyle w:val="Normal"/>
        <w:tabs>
          <w:tab w:val="clear" w:pos="708"/>
          <w:tab w:val="left" w:pos="720" w:leader="none"/>
        </w:tabs>
        <w:spacing w:before="120" w:after="0"/>
        <w:jc w:val="left"/>
      </w:pPr>
      <w:r>
        <w:rPr>
          <w:rFonts w:cs="Times;Sylfaen" w:ascii="Times;Sylfaen" w:hAnsi="Times;Sylfaen"/>
        </w:rPr>
        <w:t xml:space="preserve">RADOSEVICH, B.; HALLORAN, J. </w:t>
      </w:r>
      <w:r>
        <w:rPr>
          <w:rFonts w:cs="Times;Sylfaen" w:ascii="Times;Sylfaen" w:hAnsi="Times;Sylfaen"/>
          <w:b/>
          <w:bCs/>
        </w:rPr>
        <w:t xml:space="preserve">MCP safety audit</w:t>
      </w:r>
      <w:r>
        <w:rPr>
          <w:rFonts w:cs="Times;Sylfaen" w:ascii="Times;Sylfaen" w:hAnsi="Times;Sylfaen"/>
        </w:rPr>
        <w:t xml:space="preserve">: LLMs with the Model Context Protocol allow major security exploits. arXiv, 2025. Disponível em: https://arxiv.org/abs/2504.03767. Acesso em: 26 out. 2026.</w:t>
      </w:r>
    </w:p>
    <w:p>
      <w:pPr>
        <w:pStyle w:val="Normal"/>
        <w:tabs>
          <w:tab w:val="clear" w:pos="708"/>
          <w:tab w:val="left" w:pos="720" w:leader="none"/>
        </w:tabs>
        <w:spacing w:before="120" w:after="0"/>
        <w:jc w:val="left"/>
      </w:pPr>
      <w:r>
        <w:rPr>
          <w:rFonts w:cs="Times;Sylfaen" w:ascii="Times;Sylfaen" w:hAnsi="Times;Sylfaen"/>
        </w:rPr>
        <w:t xml:space="preserve">VECTRA AI. </w:t>
      </w:r>
      <w:r>
        <w:rPr>
          <w:rFonts w:cs="Times;Sylfaen" w:ascii="Times;Sylfaen" w:hAnsi="Times;Sylfaen"/>
          <w:b/>
          <w:bCs/>
        </w:rPr>
        <w:t xml:space="preserve">Vectra advances security AI to deliver Attack Signal Intelligence</w:t>
      </w:r>
      <w:r>
        <w:rPr>
          <w:rFonts w:cs="Times;Sylfaen" w:ascii="Times;Sylfaen" w:hAnsi="Times;Sylfaen"/>
        </w:rPr>
        <w:t xml:space="preserve">. Comunicado de imprensa, 12 out. 2022. Republicado em: Dark Reading. Disponível em: https://www.darkreading.com/operations/vectra-advances-security-ai-to-deliver-attack-signal-intelligence-empowering-security-teams-to-investigate-and-respond-to-attacks-in-real-time. Acesso em: 26 out. 2026.</w:t>
      </w:r>
    </w:p>
    <w:p>
      <w:pPr>
        <w:pStyle w:val="Normal"/>
        <w:tabs>
          <w:tab w:val="clear" w:pos="708"/>
          <w:tab w:val="left" w:pos="720" w:leader="none"/>
        </w:tabs>
        <w:spacing w:before="120" w:after="0"/>
        <w:jc w:val="left"/>
      </w:pPr>
      <w:r>
        <w:rPr>
          <w:rFonts w:cs="Times;Sylfaen" w:ascii="Times;Sylfaen" w:hAnsi="Times;Sylfaen"/>
        </w:rPr>
        <w:t xml:space="preserve">YAO, S.; ZHAO, J.; YU, D.; DU, N.; SHAFRAN, I.; NARASIMHAN, K.; CAO, Y. ReAct: synergizing reasoning and acting in language models. In: INTERNATIONAL CONFERENCE ON LEARNING REPRESENTATIONS (ICLR), 11., 2023, Kigali. </w:t>
      </w:r>
      <w:r>
        <w:rPr>
          <w:rFonts w:cs="Times;Sylfaen" w:ascii="Times;Sylfaen" w:hAnsi="Times;Sylfaen"/>
          <w:b/>
          <w:bCs/>
        </w:rPr>
        <w:t xml:space="preserve">Proceedings</w:t>
      </w:r>
      <w:r>
        <w:rPr>
          <w:rFonts w:cs="Times;Sylfaen" w:ascii="Times;Sylfaen" w:hAnsi="Times;Sylfaen"/>
        </w:rPr>
        <w:t xml:space="preserve"> [...]. [S. l.]: [s. n.], 2023. Disponível em: https://arxiv.org/abs/2210.03629 (versão 3, a do ICLR). Acesso em: 26 out. 2026.</w:t>
      </w:r>
    </w:p>
    <w:p>
      <w:pPr>
        <w:pStyle w:val="Normal"/>
        <w:tabs>
          <w:tab w:val="clear" w:pos="708"/>
          <w:tab w:val="left" w:pos="720" w:leader="none"/>
        </w:tabs>
        <w:spacing w:before="120" w:after="0"/>
        <w:jc w:val="left"/>
      </w:pPr>
      <w:r>
        <w:rPr>
          <w:rFonts w:cs="Times;Sylfaen" w:ascii="Times;Sylfaen" w:hAnsi="Times;Sylfaen"/>
          <w:highlight w:val="yellow"/>
        </w:rPr>
        <w:t xml:space="preserve">[PENDENTE: acrescentar as referências do TCC I que continuarem citadas (por exemplo, FERRAG et al., 2024).]</w:t>
      </w:r>
    </w:p>
    <w:sectPr>
      <w:type w:val="continuous"/>
      <w:pgSz w:w="11906" w:h="16838"/>
      <w:pgMar w:left="1418" w:right="1134" w:gutter="0" w:header="709" w:top="1843" w:footer="0" w:bottom="1247"/>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Helvetica">
    <w:altName w:val="Arial"/>
    <w:charset w:val="00" w:characterSet="windows-1252"/>
    <w:family w:val="swiss"/>
    <w:pitch w:val="variable"/>
  </w:font>
  <w:font w:name="Helvetica-Black">
    <w:altName w:val="Times New Roman"/>
    <w:charset w:val="00" w:characterSet="windows-1252"/>
    <w:family w:val="swiss"/>
    <w:pitch w:val="variable"/>
  </w:font>
  <w:font w:name="Arial Narrow">
    <w:charset w:val="00" w:characterSet="windows-1252"/>
    <w:family w:val="swiss"/>
    <w:pitch w:val="variable"/>
  </w:font>
  <w:font w:name="Times">
    <w:altName w:val="Times New Roman"/>
    <w:charset w:val="00" w:characterSet="windows-1252"/>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Arial" w:hAnsi="Arial" w:cs="Arial"/>
        <w:b/>
        <w:bCs/>
        <w:sz w:val="20"/>
      </w:rPr>
    </w:pPr>
    <w:r>
      <w:rPr>
        <w:rFonts w:cs="Arial" w:ascii="Arial" w:hAnsi="Arial"/>
        <w:b/>
        <w:bCs/>
        <w:sz w:val="16"/>
        <w:szCs w:val="16"/>
      </w:rPr>
      <w:drawing>
        <wp:inline distT="0" distB="0" distL="0" distR="0">
          <wp:extent cx="2527935" cy="55435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
                  <a:srcRect l="-3" t="-15" r="-3" b="-15"/>
                  <a:stretch>
                    <a:fillRect/>
                  </a:stretch>
                </pic:blipFill>
                <pic:spPr bwMode="auto">
                  <a:xfrm>
                    <a:off x="0" y="0"/>
                    <a:ext cx="2527935" cy="554355"/>
                  </a:xfrm>
                  <a:prstGeom prst="rect">
                    <a:avLst/>
                  </a:prstGeom>
                </pic:spPr>
              </pic:pic>
            </a:graphicData>
          </a:graphic>
        </wp:inline>
      </w:drawing>
      <mc:AlternateContent>
        <mc:Choice Requires="wps">
          <w:drawing>
            <wp:anchor behindDoc="1" distT="0" distB="0" distL="114935" distR="114935" simplePos="0" locked="0" layoutInCell="1" allowOverlap="1" relativeHeight="11">
              <wp:simplePos x="0" y="0"/>
              <wp:positionH relativeFrom="column">
                <wp:posOffset>21590</wp:posOffset>
              </wp:positionH>
              <wp:positionV relativeFrom="paragraph">
                <wp:posOffset>563245</wp:posOffset>
              </wp:positionV>
              <wp:extent cx="5920105" cy="1270"/>
              <wp:effectExtent l="635" t="6350" r="635" b="6350"/>
              <wp:wrapNone/>
              <wp:docPr id="2" name=""/>
              <a:graphic xmlns:a="http://schemas.openxmlformats.org/drawingml/2006/main">
                <a:graphicData uri="http://schemas.microsoft.com/office/word/2010/wordprocessingShape">
                  <wps:wsp>
                    <wps:cNvCnPr/>
                    <wps:spPr>
                      <a:xfrm>
                        <a:off x="0" y="0"/>
                        <a:ext cx="5920560" cy="1440"/>
                      </a:xfrm>
                      <a:prstGeom prst="straightConnector1">
                        <a:avLst/>
                      </a:prstGeom>
                      <a:ln w="12600">
                        <a:solidFill>
                          <a:srgbClr val="ff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7pt;margin-top:44.35pt;width:466.15pt;height:0.05pt" type="_x0000_t32">
              <v:stroke color="red" weight="12600" joinstyle="miter" endcap="flat"/>
              <v:fill o:detectmouseclick="t" on="false"/>
              <w10:wrap type="none"/>
            </v:shape>
          </w:pict>
        </mc:Fallback>
      </mc:AlternateContent>
    </w:r>
  </w:p>
  <w:p>
    <w:pPr>
      <w:pStyle w:val="Header"/>
      <w:rPr>
        <w:rFonts w:ascii="Arial" w:hAnsi="Arial" w:cs="Arial"/>
        <w:b/>
        <w:bCs/>
        <w:sz w:val="20"/>
      </w:rPr>
    </w:pPr>
    <w:r>
      <w:rPr>
        <w:rFonts w:cs="Arial" w:ascii="Arial" w:hAnsi="Arial"/>
        <w:b/>
        <w:bCs/>
        <w:sz w:val="20"/>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abstractNum w:abstractNumId="3">
    <w:lvl w:ilvl="0">
      <w:start w:val="1"/>
      <w:numFmt w:val="bullet"/>
      <w:lvlText w:val=""/>
      <w:lvlJc w:val="start"/>
      <w:pPr>
        <w:tabs>
          <w:tab w:val="num" w:pos="717"/>
        </w:tabs>
        <w:ind w:start="717"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pt-BR" w:bidi="ar-SA" w:eastAsia="zh-CN"/>
    </w:rPr>
  </w:style>
  <w:style w:type="paragraph" w:styleId="Heading1">
    <w:name w:val="Heading 1"/>
    <w:basedOn w:val="Normal"/>
    <w:next w:val="Normal"/>
    <w:qFormat/>
    <w:pPr>
      <w:keepNext w:val="true"/>
      <w:numPr>
        <w:ilvl w:val="0"/>
        <w:numId w:val="1"/>
      </w:numPr>
      <w:spacing w:lineRule="auto" w:line="276" w:before="240" w:after="60"/>
      <w:outlineLvl w:val="0"/>
    </w:pPr>
    <w:rPr>
      <w:rFonts w:ascii="Cambria" w:hAnsi="Cambria" w:cs="Cambria"/>
      <w:b/>
      <w:bCs/>
      <w:kern w:val="2"/>
      <w:sz w:val="32"/>
      <w:szCs w:val="32"/>
    </w:rPr>
  </w:style>
  <w:style w:type="paragraph" w:styleId="Heading2">
    <w:name w:val="Heading 2"/>
    <w:basedOn w:val="Normal"/>
    <w:next w:val="Normal"/>
    <w:qFormat/>
    <w:pPr>
      <w:keepNext w:val="true"/>
      <w:numPr>
        <w:ilvl w:val="1"/>
        <w:numId w:val="1"/>
      </w:numPr>
      <w:jc w:val="both"/>
      <w:outlineLvl w:val="1"/>
    </w:pPr>
    <w:rPr>
      <w:rFonts w:ascii="Arial" w:hAnsi="Arial" w:cs="Arial"/>
      <w:b/>
      <w:sz w:val="28"/>
      <w:szCs w:val="20"/>
    </w:rPr>
  </w:style>
  <w:style w:type="paragraph" w:styleId="Heading3">
    <w:name w:val="Heading 3"/>
    <w:basedOn w:val="Normal"/>
    <w:next w:val="Normal"/>
    <w:qFormat/>
    <w:pPr>
      <w:keepNext w:val="true"/>
      <w:numPr>
        <w:ilvl w:val="2"/>
        <w:numId w:val="1"/>
      </w:numPr>
      <w:spacing w:before="240" w:after="60"/>
      <w:outlineLvl w:val="2"/>
    </w:pPr>
    <w:rPr>
      <w:rFonts w:ascii="Cambria" w:hAnsi="Cambria" w:cs="Cambria"/>
      <w:b/>
      <w:bCs/>
      <w:sz w:val="26"/>
      <w:szCs w:val="26"/>
    </w:rPr>
  </w:style>
  <w:style w:type="paragraph" w:styleId="Heading5">
    <w:name w:val="Heading 5"/>
    <w:basedOn w:val="Normal"/>
    <w:next w:val="Normal"/>
    <w:qFormat/>
    <w:pPr>
      <w:numPr>
        <w:ilvl w:val="4"/>
        <w:numId w:val="1"/>
      </w:numPr>
      <w:spacing w:before="240" w:after="60"/>
      <w:outlineLvl w:val="4"/>
    </w:pPr>
    <w:rPr>
      <w:rFonts w:ascii="Calibri" w:hAnsi="Calibri" w:cs="Calibri"/>
      <w:b/>
      <w:bCs/>
      <w:i/>
      <w:iCs/>
      <w:sz w:val="26"/>
      <w:szCs w:val="26"/>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style>
  <w:style w:type="character" w:styleId="WW8Num3z0">
    <w:name w:val="WW8Num3z0"/>
    <w:qFormat/>
    <w:rPr>
      <w:b w:val="false"/>
    </w:rPr>
  </w:style>
  <w:style w:type="character" w:styleId="WW8Num4z0">
    <w:name w:val="WW8Num4z0"/>
    <w:qFormat/>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9z0">
    <w:name w:val="WW8Num9z0"/>
    <w:qFormat/>
    <w:rPr>
      <w:b/>
      <w:i w:val="false"/>
    </w:rPr>
  </w:style>
  <w:style w:type="character" w:styleId="WW8Num11z0">
    <w:name w:val="WW8Num11z0"/>
    <w:qFormat/>
    <w:rPr/>
  </w:style>
  <w:style w:type="character" w:styleId="WW8Num11z1">
    <w:name w:val="WW8Num11z1"/>
    <w:qFormat/>
    <w:rPr>
      <w:rFonts w:cs="Arial"/>
    </w:rPr>
  </w:style>
  <w:style w:type="character" w:styleId="WW8Num12z0">
    <w:name w:val="WW8Num12z0"/>
    <w:qFormat/>
    <w:rPr>
      <w:b/>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WW8Num14z0">
    <w:name w:val="WW8Num14z0"/>
    <w:qFormat/>
    <w:rPr>
      <w:b/>
    </w:rPr>
  </w:style>
  <w:style w:type="character" w:styleId="WW8Num15z0">
    <w:name w:val="WW8Num15z0"/>
    <w:qFormat/>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b/>
    </w:rPr>
  </w:style>
  <w:style w:type="character" w:styleId="WW8Num19z0">
    <w:name w:val="WW8Num19z0"/>
    <w:qFormat/>
    <w:rPr/>
  </w:style>
  <w:style w:type="character" w:styleId="WW8Num20z0">
    <w:name w:val="WW8Num20z0"/>
    <w:qFormat/>
    <w:rPr/>
  </w:style>
  <w:style w:type="character" w:styleId="WW8Num21z0">
    <w:name w:val="WW8Num21z0"/>
    <w:qFormat/>
    <w:rPr>
      <w:b/>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style>
  <w:style w:type="character" w:styleId="WW8Num27z0">
    <w:name w:val="WW8Num27z0"/>
    <w:qFormat/>
    <w:rPr/>
  </w:style>
  <w:style w:type="character" w:styleId="WW8Num28z0">
    <w:name w:val="WW8Num28z0"/>
    <w:qFormat/>
    <w:rPr/>
  </w:style>
  <w:style w:type="character" w:styleId="WW8Num29z0">
    <w:name w:val="WW8Num29z0"/>
    <w:qFormat/>
    <w:rPr>
      <w:rFonts w:ascii="Calibri" w:hAnsi="Calibri" w:cs="Arial"/>
    </w:rPr>
  </w:style>
  <w:style w:type="character" w:styleId="WW8Num30z0">
    <w:name w:val="WW8Num30z0"/>
    <w:qFormat/>
    <w:rPr/>
  </w:style>
  <w:style w:type="character" w:styleId="WW8Num31z0">
    <w:name w:val="WW8Num31z0"/>
    <w:qFormat/>
    <w:rPr/>
  </w:style>
  <w:style w:type="character" w:styleId="WW8Num33z0">
    <w:name w:val="WW8Num33z0"/>
    <w:qFormat/>
    <w:rPr>
      <w:b/>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Fontepargpadro">
    <w:name w:val="Fonte parág. padrão"/>
    <w:qFormat/>
    <w:rPr/>
  </w:style>
  <w:style w:type="character" w:styleId="Ttulo2Char">
    <w:name w:val="Título 2 Char"/>
    <w:qFormat/>
    <w:rPr>
      <w:rFonts w:ascii="Arial" w:hAnsi="Arial" w:cs="Arial"/>
      <w:b/>
      <w:sz w:val="28"/>
      <w:lang w:val="pt-BR"/>
    </w:rPr>
  </w:style>
  <w:style w:type="character" w:styleId="CorpodetextoChar">
    <w:name w:val="Corpo de texto Char"/>
    <w:qFormat/>
    <w:rPr>
      <w:sz w:val="24"/>
      <w:szCs w:val="24"/>
      <w:lang w:val="pt-BR"/>
    </w:rPr>
  </w:style>
  <w:style w:type="character" w:styleId="Hyperlink">
    <w:name w:val="Hyperlink"/>
    <w:rPr>
      <w:color w:val="0000FF"/>
      <w:u w:val="single"/>
    </w:rPr>
  </w:style>
  <w:style w:type="character" w:styleId="RodapChar">
    <w:name w:val="Rodapé Char"/>
    <w:qFormat/>
    <w:rPr>
      <w:sz w:val="24"/>
      <w:szCs w:val="24"/>
    </w:rPr>
  </w:style>
  <w:style w:type="character" w:styleId="TextosemFormataoChar">
    <w:name w:val="Texto sem Formatação Char"/>
    <w:qFormat/>
    <w:rPr>
      <w:rFonts w:ascii="Calibri" w:hAnsi="Calibri" w:eastAsia="Calibri" w:cs="Calibri"/>
      <w:sz w:val="22"/>
      <w:szCs w:val="21"/>
    </w:rPr>
  </w:style>
  <w:style w:type="character" w:styleId="RecuodecorpodetextoChar">
    <w:name w:val="Recuo de corpo de texto Char"/>
    <w:qFormat/>
    <w:rPr>
      <w:rFonts w:ascii="Arial" w:hAnsi="Arial" w:cs="Arial"/>
      <w:b/>
      <w:sz w:val="28"/>
    </w:rPr>
  </w:style>
  <w:style w:type="character" w:styleId="Ttulo3Char">
    <w:name w:val="Título 3 Char"/>
    <w:qFormat/>
    <w:rPr>
      <w:rFonts w:ascii="Cambria" w:hAnsi="Cambria" w:eastAsia="Times New Roman" w:cs="Times New Roman"/>
      <w:b/>
      <w:bCs/>
      <w:sz w:val="26"/>
      <w:szCs w:val="26"/>
    </w:rPr>
  </w:style>
  <w:style w:type="character" w:styleId="TtuloChar">
    <w:name w:val="Título Char"/>
    <w:qFormat/>
    <w:rPr>
      <w:rFonts w:ascii="Arial" w:hAnsi="Arial" w:cs="Arial"/>
      <w:sz w:val="28"/>
      <w:lang w:val="en-US"/>
    </w:rPr>
  </w:style>
  <w:style w:type="character" w:styleId="CabealhoChar">
    <w:name w:val="Cabeçalho Char"/>
    <w:qFormat/>
    <w:rPr>
      <w:sz w:val="24"/>
      <w:szCs w:val="24"/>
    </w:rPr>
  </w:style>
  <w:style w:type="character" w:styleId="Ttulo1Char">
    <w:name w:val="Título 1 Char"/>
    <w:qFormat/>
    <w:rPr>
      <w:rFonts w:ascii="Cambria" w:hAnsi="Cambria" w:cs="Cambria"/>
      <w:b/>
      <w:bCs/>
      <w:kern w:val="2"/>
      <w:sz w:val="32"/>
      <w:szCs w:val="32"/>
    </w:rPr>
  </w:style>
  <w:style w:type="character" w:styleId="Ttulo5Char">
    <w:name w:val="Título 5 Char"/>
    <w:qFormat/>
    <w:rPr>
      <w:rFonts w:ascii="Calibri" w:hAnsi="Calibri" w:eastAsia="Times New Roman" w:cs="Times New Roman"/>
      <w:b/>
      <w:bCs/>
      <w:i/>
      <w:iCs/>
      <w:sz w:val="26"/>
      <w:szCs w:val="26"/>
    </w:rPr>
  </w:style>
  <w:style w:type="character" w:styleId="Recuodecorpodetexto2Char">
    <w:name w:val="Recuo de corpo de texto 2 Char"/>
    <w:qFormat/>
    <w:rPr>
      <w:sz w:val="24"/>
      <w:szCs w:val="24"/>
    </w:rPr>
  </w:style>
  <w:style w:type="character" w:styleId="Strong">
    <w:name w:val="Strong"/>
    <w:qFormat/>
    <w:rPr>
      <w:b/>
      <w:bCs/>
    </w:rPr>
  </w:style>
  <w:style w:type="character" w:styleId="EditalChar">
    <w:name w:val="Edital Char"/>
    <w:qFormat/>
    <w:rPr>
      <w:rFonts w:ascii="Arial" w:hAnsi="Arial" w:cs="Arial"/>
      <w:szCs w:val="24"/>
    </w:rPr>
  </w:style>
  <w:style w:type="character" w:styleId="FollowedHyperlink">
    <w:name w:val="FollowedHyperlink"/>
    <w:rPr>
      <w:color w:val="800080"/>
      <w:u w:val="single"/>
    </w:rPr>
  </w:style>
  <w:style w:type="character" w:styleId="TextodenotaderodapChar">
    <w:name w:val="Texto de nota de rodapé Char"/>
    <w:qFormat/>
    <w:rPr>
      <w:rFonts w:ascii="Arial" w:hAnsi="Arial" w:cs="Arial"/>
    </w:rPr>
  </w:style>
  <w:style w:type="character" w:styleId="FootnoteCharacters">
    <w:name w:val="Footnote Characters"/>
    <w:qFormat/>
    <w:rPr>
      <w:vertAlign w:val="superscript"/>
    </w:rPr>
  </w:style>
  <w:style w:type="character" w:styleId="apple-converted-space">
    <w:name w:val="apple-converted-space"/>
    <w:qFormat/>
    <w:rPr/>
  </w:style>
  <w:style w:type="character" w:styleId="Refdecomentrio">
    <w:name w:val="Ref. de comentário"/>
    <w:qFormat/>
    <w:rPr>
      <w:sz w:val="16"/>
      <w:szCs w:val="16"/>
    </w:rPr>
  </w:style>
  <w:style w:type="character" w:styleId="TextodecomentrioChar">
    <w:name w:val="Texto de comentário Char"/>
    <w:basedOn w:val="Fontepargpadro"/>
    <w:qFormat/>
    <w:rPr/>
  </w:style>
  <w:style w:type="character" w:styleId="AssuntodocomentrioChar">
    <w:name w:val="Assunto do comentário Char"/>
    <w:qFormat/>
    <w:rPr>
      <w:b/>
      <w:bCs/>
    </w:rPr>
  </w:style>
  <w:style w:type="character" w:styleId="Emphasis">
    <w:name w:val="Emphasis"/>
    <w:qFormat/>
    <w:rPr>
      <w:rFonts w:cs="Times New Roman"/>
      <w:i/>
      <w:iCs/>
    </w:rPr>
  </w:style>
  <w:style w:type="character" w:styleId="TextodebaloChar">
    <w:name w:val="Texto de balão Char"/>
    <w:qFormat/>
    <w:rPr>
      <w:rFonts w:ascii="Tahoma" w:hAnsi="Tahoma" w:cs="Tahoma"/>
      <w:sz w:val="16"/>
      <w:szCs w:val="16"/>
    </w:rPr>
  </w:style>
  <w:style w:type="character" w:styleId="PageNumber">
    <w:name w:val="Page Number"/>
    <w:rPr/>
  </w:style>
  <w:style w:type="paragraph" w:styleId="Heading">
    <w:name w:val="Heading"/>
    <w:basedOn w:val="Normal"/>
    <w:next w:val="BodyText"/>
    <w:qFormat/>
    <w:pPr>
      <w:jc w:val="center"/>
    </w:pPr>
    <w:rPr>
      <w:rFonts w:ascii="Arial" w:hAnsi="Arial" w:cs="Arial"/>
      <w:sz w:val="28"/>
      <w:szCs w:val="20"/>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Textodebalo">
    <w:name w:val="Texto de balão"/>
    <w:basedOn w:val="Normal"/>
    <w:qFormat/>
    <w:pPr/>
    <w:rPr>
      <w:rFonts w:ascii="Tahoma" w:hAnsi="Tahoma" w:cs="Tahoma"/>
      <w:sz w:val="16"/>
      <w:szCs w:val="16"/>
    </w:rPr>
  </w:style>
  <w:style w:type="paragraph" w:styleId="BodyTextIndent">
    <w:name w:val="Body Text Indent"/>
    <w:basedOn w:val="Normal"/>
    <w:pPr>
      <w:ind w:firstLine="720" w:start="0" w:end="0"/>
      <w:jc w:val="both"/>
    </w:pPr>
    <w:rPr>
      <w:rFonts w:ascii="Arial" w:hAnsi="Arial" w:cs="Arial"/>
      <w:b/>
      <w:sz w:val="28"/>
      <w:szCs w:val="20"/>
    </w:rPr>
  </w:style>
  <w:style w:type="paragraph" w:styleId="TextosemFormatao">
    <w:name w:val="Texto sem Formatação"/>
    <w:basedOn w:val="Normal"/>
    <w:qFormat/>
    <w:pPr/>
    <w:rPr>
      <w:rFonts w:ascii="Calibri" w:hAnsi="Calibri" w:eastAsia="Calibri" w:cs="Calibri"/>
      <w:sz w:val="22"/>
      <w:szCs w:val="21"/>
    </w:rPr>
  </w:style>
  <w:style w:type="paragraph" w:styleId="Recuodecorpodetexto2">
    <w:name w:val="Recuo de corpo de texto 2"/>
    <w:basedOn w:val="Normal"/>
    <w:qFormat/>
    <w:pPr>
      <w:spacing w:lineRule="auto" w:line="480" w:before="0" w:after="120"/>
      <w:ind w:hanging="0" w:start="283" w:end="0"/>
    </w:pPr>
    <w:rPr/>
  </w:style>
  <w:style w:type="paragraph" w:styleId="texto">
    <w:name w:val="texto"/>
    <w:qFormat/>
    <w:pPr>
      <w:widowControl/>
      <w:autoSpaceDE w:val="false"/>
      <w:bidi w:val="0"/>
      <w:spacing w:lineRule="atLeast" w:line="360"/>
      <w:ind w:firstLine="567" w:start="0" w:end="0"/>
      <w:jc w:val="both"/>
    </w:pPr>
    <w:rPr>
      <w:rFonts w:ascii="Helvetica" w:hAnsi="Helvetica" w:eastAsia="Times New Roman" w:cs="Helvetica"/>
      <w:color w:val="000000"/>
      <w:sz w:val="18"/>
      <w:szCs w:val="18"/>
      <w:lang w:val="pt-BR" w:bidi="ar-SA" w:eastAsia="zh-CN"/>
    </w:rPr>
  </w:style>
  <w:style w:type="paragraph" w:styleId="Facuttulo">
    <w:name w:val="Facu_título"/>
    <w:basedOn w:val="Normal"/>
    <w:qFormat/>
    <w:pPr>
      <w:autoSpaceDE w:val="false"/>
      <w:spacing w:before="240" w:after="60"/>
      <w:jc w:val="both"/>
    </w:pPr>
    <w:rPr>
      <w:rFonts w:ascii="Helvetica-Black;Times New Roman" w:hAnsi="Helvetica-Black;Times New Roman" w:cs="Helvetica-Black;Times New Roman"/>
      <w:caps/>
      <w:color w:val="FF0000"/>
      <w:sz w:val="20"/>
      <w:szCs w:val="20"/>
    </w:rPr>
  </w:style>
  <w:style w:type="paragraph" w:styleId="Faculdade1">
    <w:name w:val="Faculdade 1"/>
    <w:basedOn w:val="Normal"/>
    <w:qFormat/>
    <w:pPr>
      <w:pageBreakBefore/>
      <w:autoSpaceDE w:val="false"/>
      <w:spacing w:before="0" w:after="240"/>
    </w:pPr>
    <w:rPr>
      <w:rFonts w:ascii="Helvetica" w:hAnsi="Helvetica" w:cs="Helvetica"/>
      <w:b/>
      <w:color w:val="FF0000"/>
      <w:sz w:val="28"/>
      <w:szCs w:val="28"/>
    </w:rPr>
  </w:style>
  <w:style w:type="paragraph" w:styleId="Faculdade2">
    <w:name w:val="Faculdade 2"/>
    <w:basedOn w:val="Facuttulo"/>
    <w:qFormat/>
    <w:pPr>
      <w:spacing w:before="240" w:after="120"/>
    </w:pPr>
    <w:rPr>
      <w:sz w:val="22"/>
      <w:szCs w:val="22"/>
    </w:rPr>
  </w:style>
  <w:style w:type="paragraph" w:styleId="Cronograma">
    <w:name w:val="Cronograma"/>
    <w:basedOn w:val="Normal"/>
    <w:qFormat/>
    <w:pPr>
      <w:spacing w:lineRule="atLeast" w:line="260" w:before="60" w:after="0"/>
      <w:jc w:val="both"/>
    </w:pPr>
    <w:rPr>
      <w:rFonts w:ascii="Helvetica" w:hAnsi="Helvetica" w:cs="Helvetica"/>
      <w:sz w:val="18"/>
      <w:szCs w:val="18"/>
    </w:rPr>
  </w:style>
  <w:style w:type="paragraph" w:styleId="Edital">
    <w:name w:val="Edital"/>
    <w:qFormat/>
    <w:pPr>
      <w:widowControl/>
      <w:bidi w:val="0"/>
      <w:spacing w:before="0" w:after="120"/>
      <w:jc w:val="both"/>
    </w:pPr>
    <w:rPr>
      <w:rFonts w:ascii="Arial" w:hAnsi="Arial" w:eastAsia="Times New Roman" w:cs="Arial"/>
      <w:color w:val="auto"/>
      <w:sz w:val="20"/>
      <w:szCs w:val="24"/>
      <w:lang w:val="pt-BR" w:bidi="ar-SA" w:eastAsia="zh-CN"/>
    </w:rPr>
  </w:style>
  <w:style w:type="paragraph" w:styleId="Edital111">
    <w:name w:val="Edital 1.1.1"/>
    <w:basedOn w:val="Edital"/>
    <w:qFormat/>
    <w:pPr>
      <w:spacing w:before="0" w:after="60"/>
      <w:ind w:hanging="0" w:start="357" w:end="0"/>
    </w:pPr>
    <w:rPr/>
  </w:style>
  <w:style w:type="paragraph" w:styleId="GradeMdia1-nfase21">
    <w:name w:val="Grade Média 1 - Ênfase 21"/>
    <w:basedOn w:val="Normal"/>
    <w:qFormat/>
    <w:pPr>
      <w:spacing w:before="0" w:after="0"/>
      <w:ind w:hanging="0" w:start="720" w:end="0"/>
      <w:contextualSpacing/>
    </w:pPr>
    <w:rPr/>
  </w:style>
  <w:style w:type="paragraph" w:styleId="FootnoteText">
    <w:name w:val="Footnote Text"/>
    <w:basedOn w:val="Normal"/>
    <w:pPr>
      <w:spacing w:before="120" w:after="120"/>
      <w:jc w:val="both"/>
    </w:pPr>
    <w:rPr>
      <w:rFonts w:ascii="Arial" w:hAnsi="Arial" w:cs="Arial"/>
      <w:sz w:val="20"/>
      <w:szCs w:val="20"/>
    </w:rPr>
  </w:style>
  <w:style w:type="paragraph" w:styleId="Legenda">
    <w:name w:val="Legenda"/>
    <w:basedOn w:val="Normal"/>
    <w:next w:val="Normal"/>
    <w:qFormat/>
    <w:pPr>
      <w:spacing w:before="120" w:after="120"/>
      <w:jc w:val="both"/>
    </w:pPr>
    <w:rPr>
      <w:rFonts w:ascii="Arial" w:hAnsi="Arial" w:cs="Arial"/>
      <w:b/>
      <w:bCs/>
      <w:sz w:val="20"/>
      <w:szCs w:val="20"/>
    </w:rPr>
  </w:style>
  <w:style w:type="paragraph" w:styleId="SombreamentoMdio1-nfase11">
    <w:name w:val="Sombreamento Médio 1 - Ênfase 11"/>
    <w:qFormat/>
    <w:pPr>
      <w:widowControl/>
      <w:bidi w:val="0"/>
      <w:jc w:val="both"/>
    </w:pPr>
    <w:rPr>
      <w:rFonts w:ascii="Arial" w:hAnsi="Arial" w:eastAsia="Times New Roman" w:cs="Arial"/>
      <w:color w:val="auto"/>
      <w:sz w:val="24"/>
      <w:szCs w:val="28"/>
      <w:lang w:val="pt-BR" w:bidi="ar-SA" w:eastAsia="zh-CN"/>
    </w:rPr>
  </w:style>
  <w:style w:type="paragraph" w:styleId="ListaColorida-nfase11">
    <w:name w:val="Lista Colorida - Ênfase 11"/>
    <w:basedOn w:val="Normal"/>
    <w:qFormat/>
    <w:pPr>
      <w:spacing w:before="120" w:after="120"/>
      <w:ind w:hanging="0" w:start="720" w:end="0"/>
      <w:contextualSpacing/>
      <w:jc w:val="both"/>
    </w:pPr>
    <w:rPr>
      <w:rFonts w:eastAsia="Calibri"/>
    </w:rPr>
  </w:style>
  <w:style w:type="paragraph" w:styleId="GradeMdia21">
    <w:name w:val="Grade Média 21"/>
    <w:qFormat/>
    <w:pPr>
      <w:widowControl/>
      <w:bidi w:val="0"/>
      <w:jc w:val="both"/>
    </w:pPr>
    <w:rPr>
      <w:rFonts w:ascii="Arial" w:hAnsi="Arial" w:eastAsia="Times New Roman" w:cs="Arial"/>
      <w:color w:val="auto"/>
      <w:sz w:val="24"/>
      <w:szCs w:val="28"/>
      <w:lang w:val="pt-BR" w:bidi="ar-SA" w:eastAsia="zh-CN"/>
    </w:rPr>
  </w:style>
  <w:style w:type="paragraph" w:styleId="PargrafodaLista">
    <w:name w:val="Parágrafo da Lista"/>
    <w:basedOn w:val="Normal"/>
    <w:qFormat/>
    <w:pPr>
      <w:spacing w:before="0" w:after="0"/>
      <w:ind w:hanging="0" w:start="720" w:end="0"/>
      <w:contextualSpacing/>
    </w:pPr>
    <w:rPr/>
  </w:style>
  <w:style w:type="paragraph" w:styleId="Textodecomentrio">
    <w:name w:val="Texto de comentário"/>
    <w:basedOn w:val="Normal"/>
    <w:qFormat/>
    <w:pPr/>
    <w:rPr>
      <w:sz w:val="20"/>
      <w:szCs w:val="20"/>
    </w:rPr>
  </w:style>
  <w:style w:type="paragraph" w:styleId="Assuntodocomentrio">
    <w:name w:val="Assunto do comentário"/>
    <w:basedOn w:val="Textodecomentrio"/>
    <w:next w:val="Textodecomentrio"/>
    <w:qFormat/>
    <w:pPr/>
    <w:rPr>
      <w:b/>
      <w:bCs/>
    </w:rPr>
  </w:style>
  <w:style w:type="paragraph" w:styleId="SemEspaamento1">
    <w:name w:val="Sem Espaçamento1"/>
    <w:qFormat/>
    <w:pPr>
      <w:widowControl/>
      <w:bidi w:val="0"/>
    </w:pPr>
    <w:rPr>
      <w:rFonts w:ascii="Calibri" w:hAnsi="Calibri" w:eastAsia="Times New Roman" w:cs="Calibri"/>
      <w:color w:val="auto"/>
      <w:sz w:val="22"/>
      <w:szCs w:val="22"/>
      <w:lang w:val="pt-BR" w:bidi="ar-SA" w:eastAsia="zh-CN"/>
    </w:rPr>
  </w:style>
  <w:style w:type="paragraph" w:styleId="PargrafodaLista1">
    <w:name w:val="Parágrafo da Lista1"/>
    <w:basedOn w:val="Normal"/>
    <w:qFormat/>
    <w:pPr>
      <w:spacing w:before="0" w:after="120"/>
      <w:ind w:hanging="0" w:start="720" w:end="0"/>
      <w:contextualSpacing/>
    </w:pPr>
    <w:rPr>
      <w:rFonts w:ascii="Arial" w:hAnsi="Arial" w:eastAsia="Calibri" w:cs="Arial"/>
      <w:szCs w:val="20"/>
    </w:rPr>
  </w:style>
  <w:style w:type="paragraph" w:styleId="NormalWeb">
    <w:name w:val="Normal (Web)"/>
    <w:basedOn w:val="Normal"/>
    <w:qFormat/>
    <w:pPr>
      <w:spacing w:before="280" w:after="280"/>
    </w:pPr>
    <w:rPr/>
  </w:style>
  <w:style w:type="paragraph" w:styleId="yiv1098222021msonormal">
    <w:name w:val="yiv1098222021msonormal"/>
    <w:basedOn w:val="Normal"/>
    <w:qFormat/>
    <w:pPr>
      <w:spacing w:before="280" w:after="280"/>
    </w:pPr>
    <w:rPr/>
  </w:style>
  <w:style w:type="paragraph" w:styleId="Corpo">
    <w:name w:val="Corpo"/>
    <w:basedOn w:val="NormalWeb"/>
    <w:qFormat/>
    <w:pPr>
      <w:spacing w:lineRule="exact" w:line="320"/>
      <w:jc w:val="both"/>
    </w:pPr>
    <w:rPr>
      <w:rFonts w:ascii="Arial Narrow" w:hAnsi="Arial Narrow" w:cs="Arial"/>
      <w:bCs/>
    </w:rPr>
  </w:style>
  <w:style w:type="paragraph" w:styleId="BUL">
    <w:name w:val="BUL"/>
    <w:basedOn w:val="Normal"/>
    <w:qFormat/>
    <w:pPr>
      <w:numPr>
        <w:ilvl w:val="0"/>
        <w:numId w:val="3"/>
      </w:numPr>
      <w:spacing w:lineRule="exact" w:line="320" w:before="280" w:after="280"/>
      <w:jc w:val="both"/>
    </w:pPr>
    <w:rPr>
      <w:rFonts w:ascii="Arial Narrow" w:hAnsi="Arial Narrow" w:cs="Arial"/>
      <w:color w:val="000000"/>
    </w:rPr>
  </w:style>
  <w:style w:type="paragraph" w:styleId="Ttulo-boletim">
    <w:name w:val="Título-boletim"/>
    <w:basedOn w:val="Normal"/>
    <w:qFormat/>
    <w:pPr>
      <w:spacing w:before="120" w:after="120"/>
      <w:jc w:val="center"/>
    </w:pPr>
    <w:rPr>
      <w:b/>
      <w:color w:val="FF0000"/>
      <w:szCs w:val="28"/>
    </w:rPr>
  </w:style>
  <w:style w:type="paragraph" w:styleId="Ttulo-titulo">
    <w:name w:val="Título-titulo"/>
    <w:basedOn w:val="Normal"/>
    <w:qFormat/>
    <w:pPr>
      <w:jc w:val="center"/>
    </w:pPr>
    <w:rPr>
      <w:b/>
      <w:szCs w:val="28"/>
    </w:rPr>
  </w:style>
  <w:style w:type="paragraph" w:styleId="EstiloTtulo-titulo16pt">
    <w:name w:val="Estilo Título-titulo + 16 pt"/>
    <w:basedOn w:val="Ttulo-titulo"/>
    <w:qFormat/>
    <w:pPr/>
    <w:rPr>
      <w:bCs/>
    </w:rPr>
  </w:style>
  <w:style w:type="paragraph" w:styleId="Estilocorpo-boletim16ptNegritoCentralizado">
    <w:name w:val="Estilo corpo-boletim + 16 pt Negrito Centralizado"/>
    <w:basedOn w:val="Normal"/>
    <w:qFormat/>
    <w:pPr>
      <w:spacing w:lineRule="auto" w:line="480"/>
      <w:jc w:val="center"/>
    </w:pPr>
    <w:rPr>
      <w:b/>
      <w:bCs/>
      <w:szCs w:val="20"/>
    </w:rPr>
  </w:style>
  <w:style w:type="paragraph" w:styleId="subtitulo">
    <w:name w:val="sub titulo"/>
    <w:basedOn w:val="texto"/>
    <w:qFormat/>
    <w:pPr>
      <w:spacing w:lineRule="atLeast" w:line="280"/>
      <w:ind w:hanging="0" w:start="0" w:end="0"/>
    </w:pPr>
    <w:rPr>
      <w:rFonts w:ascii="Helvetica-Black;Times New Roman" w:hAnsi="Helvetica-Black;Times New Roman" w:cs="Helvetica-Black;Times New Roman"/>
      <w:caps/>
      <w:color w:val="FF0000"/>
      <w:sz w:val="20"/>
      <w:szCs w:val="20"/>
    </w:rPr>
  </w:style>
  <w:style w:type="paragraph" w:styleId="textoedital">
    <w:name w:val="texto edital"/>
    <w:qFormat/>
    <w:pPr>
      <w:widowControl/>
      <w:bidi w:val="0"/>
      <w:jc w:val="both"/>
    </w:pPr>
    <w:rPr>
      <w:rFonts w:ascii="Helvetica" w:hAnsi="Helvetica" w:eastAsia="Times New Roman" w:cs="Helvetica"/>
      <w:color w:val="000000"/>
      <w:sz w:val="20"/>
      <w:szCs w:val="20"/>
      <w:lang w:val="pt-BR" w:bidi="ar-SA" w:eastAsia="zh-CN"/>
    </w:rPr>
  </w:style>
  <w:style w:type="paragraph" w:styleId="tabelinhas">
    <w:name w:val="tabelinhas"/>
    <w:basedOn w:val="texto"/>
    <w:qFormat/>
    <w:pPr>
      <w:pBdr>
        <w:bottom w:val="single" w:sz="6" w:space="0" w:color="000000"/>
      </w:pBdr>
      <w:spacing w:lineRule="atLeast" w:line="320"/>
      <w:ind w:hanging="0" w:start="0" w:end="0"/>
      <w:jc w:val="start"/>
    </w:pPr>
    <w:rPr>
      <w:color w:val="000000"/>
      <w:sz w:val="16"/>
      <w:szCs w:val="16"/>
    </w:rPr>
  </w:style>
  <w:style w:type="paragraph" w:styleId="Faculdadetexto">
    <w:name w:val="Faculdade texto"/>
    <w:basedOn w:val="Normal"/>
    <w:qFormat/>
    <w:pPr>
      <w:spacing w:before="0" w:after="120"/>
      <w:ind w:firstLine="567" w:start="0" w:end="0"/>
      <w:jc w:val="both"/>
    </w:pPr>
    <w:rPr>
      <w:rFonts w:ascii="Helvetica" w:hAnsi="Helvetica" w:cs="Arial"/>
      <w:sz w:val="18"/>
      <w:szCs w:val="18"/>
    </w:rPr>
  </w:style>
  <w:style w:type="paragraph" w:styleId="align-left">
    <w:name w:val="align-left"/>
    <w:basedOn w:val="Normal"/>
    <w:qFormat/>
    <w:pPr>
      <w:spacing w:before="280" w:after="280"/>
    </w:pPr>
    <w:rPr>
      <w:lang w:val="en-US" w:eastAsia="zh-CN"/>
    </w:rPr>
  </w:style>
  <w:style w:type="paragraph" w:styleId="faculdadetexto1">
    <w:name w:val="faculdadetexto"/>
    <w:basedOn w:val="Normal"/>
    <w:qFormat/>
    <w:pPr/>
    <w:rPr/>
  </w:style>
  <w:style w:type="paragraph" w:styleId="SemEspaamento">
    <w:name w:val="Sem Espaçamento"/>
    <w:qFormat/>
    <w:pPr>
      <w:widowControl/>
      <w:bidi w:val="0"/>
    </w:pPr>
    <w:rPr>
      <w:rFonts w:ascii="Times New Roman" w:hAnsi="Times New Roman" w:eastAsia="Times New Roman" w:cs="Times New Roman"/>
      <w:color w:val="auto"/>
      <w:sz w:val="24"/>
      <w:szCs w:val="24"/>
      <w:lang w:val="pt-BR" w:bidi="ar-SA" w:eastAsia="zh-CN"/>
    </w:rPr>
  </w:style>
  <w:style w:type="paragraph" w:styleId="Default">
    <w:name w:val="Default"/>
    <w:qFormat/>
    <w:pPr>
      <w:widowControl/>
      <w:autoSpaceDE w:val="false"/>
      <w:bidi w:val="0"/>
    </w:pPr>
    <w:rPr>
      <w:rFonts w:ascii="Arial" w:hAnsi="Arial" w:eastAsia="Times New Roman" w:cs="Arial"/>
      <w:color w:val="000000"/>
      <w:sz w:val="24"/>
      <w:szCs w:val="24"/>
      <w:lang w:val="pt-BR" w:bidi="ar-SA" w:eastAsia="zh-CN"/>
    </w:rPr>
  </w:style>
  <w:style w:type="paragraph" w:styleId="Reviso">
    <w:name w:val="Revisão"/>
    <w:qFormat/>
    <w:pPr>
      <w:widowControl/>
      <w:bidi w:val="0"/>
    </w:pPr>
    <w:rPr>
      <w:rFonts w:ascii="Times New Roman" w:hAnsi="Times New Roman" w:eastAsia="Times New Roman" w:cs="Times New Roman"/>
      <w:color w:val="auto"/>
      <w:sz w:val="24"/>
      <w:szCs w:val="24"/>
      <w:lang w:val="pt-BR" w:bidi="ar-SA"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yperlink" Target="https://www.intelrealsense.com/depth-camera-d435i" TargetMode="External"/><Relationship Id="rId4" Type="http://schemas.openxmlformats.org/officeDocument/2006/relationships/hyperlink" Target="https://agrosmart.com.br/blog/imagens-de-satelite-agricultura-beneficios"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2025-08-14T17:45:00Z</dcterms:created>
  <dc:creator>Milton P. Filho</dc:creator>
  <dc:description/>
  <cp:keywords/>
  <dc:language>en-US</dc:language>
  <cp:lastModifiedBy>Matheus Queiroz Gregorin</cp:lastModifiedBy>
  <cp:lastPrinted>2021-03-03T09:12:00Z</cp:lastPrinted>
  <dcterms:modified xsi:type="dcterms:W3CDTF">2026-08-15T12:37:00Z</dcterms:modified>
  <cp:revision>5</cp:revision>
  <dc:subject/>
  <dc:title>Edital Vestibular SP Alphaville</dc:title>
</cp:coreProperties>
</file>