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Cambria" w:hAnsi="Cambria" w:cs="Arial"/>
        </w:rPr>
      </w:pPr>
      <w:r>
        <w:rPr>
          <w:rFonts w:cs="Arial" w:ascii="Cambria" w:hAnsi="Cambria"/>
        </w:rPr>
      </w:r>
    </w:p>
    <w:p>
      <w:pPr>
        <w:pStyle w:val="Normal"/>
        <w:jc w:val="both"/>
        <w:rPr>
          <w:rFonts w:ascii="Cambria" w:hAnsi="Cambria" w:cs="Arial"/>
        </w:rPr>
      </w:pPr>
      <w:r>
        <w:rPr>
          <w:rFonts w:cs="Arial" w:ascii="Cambria" w:hAnsi="Cambria"/>
        </w:rPr>
      </w:r>
    </w:p>
    <w:p>
      <w:pPr>
        <w:pStyle w:val="Normal"/>
        <w:rPr>
          <w:rFonts w:ascii="Cambria" w:hAnsi="Cambria" w:cs="Arial"/>
        </w:rPr>
      </w:pPr>
      <w:r>
        <w:rPr>
          <w:rFonts w:cs="Arial" w:ascii="Cambria" w:hAnsi="Cambria"/>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t>Detecção de Ataques em IoT com IA Preditiva via MCP</w:t>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jc w:val="center"/>
        <w:rPr>
          <w:rFonts w:ascii="Times;Sylfaen" w:hAnsi="Times;Sylfaen" w:cs="Times;Sylfaen"/>
          <w:bCs/>
          <w:vertAlign w:val="superscript"/>
        </w:rPr>
      </w:pPr>
      <w:r>
        <w:rPr>
          <w:rFonts w:cs="Times;Sylfaen" w:ascii="Times;Sylfaen" w:hAnsi="Times;Sylfaen"/>
          <w:bCs/>
        </w:rPr>
        <w:t xml:space="preserve">Bernardo Souza Oliveira </w:t>
      </w:r>
      <w:r>
        <w:rPr>
          <w:rFonts w:cs="Times;Sylfaen" w:ascii="Times;Sylfaen" w:hAnsi="Times;Sylfaen"/>
          <w:bCs/>
          <w:vertAlign w:val="superscript"/>
        </w:rPr>
        <w:t xml:space="preserve">1 </w:t>
      </w:r>
      <w:r>
        <w:rPr>
          <w:rFonts w:cs="Times;Sylfaen" w:ascii="Times;Sylfaen" w:hAnsi="Times;Sylfaen"/>
          <w:bCs/>
        </w:rPr>
        <w:tab/>
        <w:t xml:space="preserve">Matheus Queiroz Gregorin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José Victor Roling </w:t>
      </w:r>
      <w:r>
        <w:rPr>
          <w:rFonts w:cs="Times;Sylfaen" w:ascii="Times;Sylfaen" w:hAnsi="Times;Sylfaen"/>
          <w:bCs/>
          <w:vertAlign w:val="superscript"/>
        </w:rPr>
        <w:t>1</w:t>
      </w:r>
      <w:r>
        <w:rPr>
          <w:rFonts w:cs="Times;Sylfaen" w:ascii="Times;Sylfaen" w:hAnsi="Times;Sylfaen"/>
          <w:bCs/>
        </w:rPr>
        <w:t xml:space="preserve"> </w:t>
        <w:tab/>
        <w:t xml:space="preserve">Pedro Henrique Cagnoni Guimarães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Rodrigo Cardoso Silva </w:t>
      </w:r>
      <w:r>
        <w:rPr>
          <w:rFonts w:cs="Times;Sylfaen" w:ascii="Times;Sylfaen" w:hAnsi="Times;Sylfaen"/>
          <w:bCs/>
          <w:vertAlign w:val="superscript"/>
        </w:rPr>
        <w:t>1</w:t>
      </w:r>
    </w:p>
    <w:p>
      <w:pPr>
        <w:pStyle w:val="Normal"/>
        <w:tabs>
          <w:tab w:val="clear" w:pos="708"/>
          <w:tab w:val="left" w:pos="720" w:leader="none"/>
        </w:tabs>
        <w:spacing w:before="240" w:after="0"/>
        <w:jc w:val="center"/>
        <w:rPr/>
      </w:pPr>
      <w:r>
        <w:rPr>
          <w:rFonts w:cs="Times;Sylfaen" w:ascii="Times;Sylfaen" w:hAnsi="Times;Sylfaen"/>
          <w:szCs w:val="20"/>
          <w:vertAlign w:val="superscript"/>
        </w:rPr>
        <w:t>1</w:t>
      </w:r>
      <w:r>
        <w:rPr>
          <w:rFonts w:cs="Times;Sylfaen" w:ascii="Times;Sylfaen" w:hAnsi="Times;Sylfaen"/>
          <w:szCs w:val="20"/>
        </w:rPr>
        <w:t>Faculdade de Computação e Informática (FCI)</w:t>
        <w:br/>
        <w:t>Universidade Presbiteriana Mackenzie – São Paulo, SP – Brasil</w:t>
      </w:r>
    </w:p>
    <w:p>
      <w:pPr>
        <w:pStyle w:val="Normal"/>
        <w:tabs>
          <w:tab w:val="clear" w:pos="708"/>
          <w:tab w:val="left" w:pos="720" w:leader="none"/>
        </w:tabs>
        <w:spacing w:before="120" w:after="120"/>
        <w:jc w:val="center"/>
        <w:rPr>
          <w:rFonts w:ascii="Courier New" w:hAnsi="Courier New" w:cs="Courier New"/>
          <w:sz w:val="20"/>
          <w:szCs w:val="20"/>
        </w:rPr>
      </w:pPr>
      <w:r>
        <w:rPr>
          <w:rFonts w:cs="Courier New" w:ascii="Courier New" w:hAnsi="Courier New"/>
          <w:sz w:val="20"/>
          <w:szCs w:val="20"/>
        </w:rPr>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e-mails @mackenzista.com.br dos quatro alunos]</w:t>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 do Prof. Rodrigo @mackenzie.br]</w:t>
      </w:r>
    </w:p>
    <w:p>
      <w:pPr>
        <w:pStyle w:val="Normal"/>
        <w:tabs>
          <w:tab w:val="clear" w:pos="708"/>
          <w:tab w:val="left" w:pos="720" w:leader="none"/>
        </w:tabs>
        <w:spacing w:before="240" w:after="120"/>
        <w:jc w:val="center"/>
        <w:rPr/>
      </w:pPr>
      <w:r>
        <w:rPr/>
        <w:t>2026</w:t>
      </w:r>
    </w:p>
    <w:p>
      <w:pPr>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pPr>
    </w:p>
    <w:p>
      <w:pPr>
        <w:pStyle w:val="Normal"/>
        <w:tabs>
          <w:tab w:val="clear" w:pos="708"/>
          <w:tab w:val="left" w:pos="720" w:leader="none"/>
        </w:tabs>
        <w:spacing w:before="240" w:after="120"/>
        <w:jc w:val="center"/>
        <w:rPr>
          <w:rFonts w:ascii="Times;Sylfaen" w:hAnsi="Times;Sylfaen" w:cs="Times;Sylfaen"/>
          <w:i/>
          <w:i/>
          <w:iCs/>
        </w:rPr>
      </w:pPr>
      <w:r>
        <w:rPr>
          <w:rFonts w:cs="Times;Sylfaen" w:ascii="Times;Sylfaen" w:hAnsi="Times;Sylfaen"/>
          <w:i/>
          <w:iCs/>
        </w:rPr>
      </w:r>
    </w:p>
    <w:p>
      <w:pPr>
        <w:pStyle w:val="Normal"/>
        <w:tabs>
          <w:tab w:val="clear" w:pos="708"/>
          <w:tab w:val="left" w:pos="720" w:leader="none"/>
        </w:tabs>
        <w:ind w:start="454" w:end="454"/>
        <w:jc w:val="center"/>
        <w:rPr>
          <w:rFonts w:ascii="Times;Sylfaen" w:hAnsi="Times;Sylfaen" w:cs="Times;Sylfaen"/>
          <w:sz w:val="28"/>
          <w:szCs w:val="28"/>
        </w:rPr>
      </w:pPr>
      <w:r>
        <w:rPr>
          <w:rFonts w:cs="Times;Sylfaen" w:ascii="Times;Sylfaen" w:hAnsi="Times;Sylfaen"/>
          <w:sz w:val="28"/>
          <w:szCs w:val="28"/>
        </w:rPr>
        <w:t>Resumo</w:t>
      </w:r>
    </w:p>
    <w:p>
      <w:pPr>
        <w:pStyle w:val="Normal"/>
        <w:tabs>
          <w:tab w:val="clear" w:pos="708"/>
          <w:tab w:val="left" w:pos="720" w:leader="none"/>
        </w:tabs>
        <w:ind w:start="454" w:end="454"/>
        <w:jc w:val="center"/>
        <w:rPr>
          <w:rFonts w:ascii="Times;Sylfaen" w:hAnsi="Times;Sylfaen" w:cs="Times;Sylfaen"/>
          <w:sz w:val="20"/>
          <w:szCs w:val="20"/>
        </w:rPr>
      </w:pPr>
      <w:r>
        <w:rPr>
          <w:rFonts w:cs="Times;Sylfaen" w:ascii="Times;Sylfaen" w:hAnsi="Times;Sylfaen"/>
          <w:sz w:val="20"/>
          <w:szCs w:val="20"/>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escrever por último, com 150 a 250 palavras: contexto (ataques a redes IoT), motivação (detectar não basta, é preciso responder), objetivo, metodologia (Random Forest sobre o CICIoT2023 regerado + servidor MCP + três agentes em arquitetura híbrida) e resultados. Não prometer classificação em MQTT/CoAP nem captura ao vivo.]</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spacing w:before="120" w:after="120"/>
        <w:ind w:start="454" w:end="454"/>
        <w:jc w:val="both"/>
        <w:rPr/>
      </w:pPr>
      <w:r>
        <w:rPr>
          <w:rFonts w:cs="Times;Sylfaen" w:ascii="Times;Sylfaen" w:hAnsi="Times;Sylfaen"/>
          <w:b/>
          <w:bCs/>
        </w:rPr>
        <w:t>Palavras-chave:</w:t>
      </w:r>
      <w:r>
        <w:rPr>
          <w:rFonts w:cs="Times;Sylfaen" w:ascii="Times;Sylfaen" w:hAnsi="Times;Sylfaen"/>
        </w:rPr>
        <w:t xml:space="preserve"> detecção de intrusão; Internet das Coisas; Random Forest; sistemas multiagentes; Model Context Protocol.</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ind w:start="454" w:end="454"/>
        <w:jc w:val="center"/>
        <w:rPr>
          <w:rFonts w:ascii="Times;Sylfaen" w:hAnsi="Times;Sylfaen" w:cs="Times;Sylfaen"/>
          <w:sz w:val="28"/>
          <w:szCs w:val="28"/>
          <w:lang w:val="en-US"/>
        </w:rPr>
      </w:pPr>
      <w:r>
        <w:rPr>
          <w:rFonts w:cs="Times;Sylfaen" w:ascii="Times;Sylfaen" w:hAnsi="Times;Sylfaen"/>
          <w:sz w:val="28"/>
          <w:szCs w:val="28"/>
          <w:lang w:val="en-US"/>
        </w:rPr>
        <w:t>Abstract</w:t>
      </w:r>
    </w:p>
    <w:p>
      <w:pPr>
        <w:pStyle w:val="Normal"/>
        <w:tabs>
          <w:tab w:val="clear" w:pos="708"/>
          <w:tab w:val="left" w:pos="720" w:leader="none"/>
        </w:tabs>
        <w:ind w:start="454" w:end="454"/>
        <w:jc w:val="center"/>
        <w:rPr>
          <w:rFonts w:ascii="Times;Sylfaen" w:hAnsi="Times;Sylfaen" w:cs="Times;Sylfaen"/>
          <w:sz w:val="20"/>
          <w:szCs w:val="20"/>
          <w:lang w:val="en-US"/>
        </w:rPr>
      </w:pPr>
      <w:r>
        <w:rPr>
          <w:rFonts w:cs="Times;Sylfaen" w:ascii="Times;Sylfaen" w:hAnsi="Times;Sylfaen"/>
          <w:sz w:val="20"/>
          <w:szCs w:val="20"/>
          <w:lang w:val="en-US"/>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tradução do resumo.]</w:t>
      </w:r>
    </w:p>
    <w:p>
      <w:pPr>
        <w:pStyle w:val="Normal"/>
        <w:tabs>
          <w:tab w:val="clear" w:pos="708"/>
          <w:tab w:val="left" w:pos="720" w:leader="none"/>
        </w:tabs>
        <w:ind w:start="454" w:end="454"/>
        <w:jc w:val="both"/>
        <w:rPr>
          <w:rFonts w:ascii="Times;Sylfaen" w:hAnsi="Times;Sylfaen" w:cs="Times;Sylfaen"/>
          <w:i/>
          <w:i/>
          <w:iCs/>
          <w:lang w:val="en-GB"/>
        </w:rPr>
      </w:pPr>
      <w:r>
        <w:rPr>
          <w:rFonts w:cs="Times;Sylfaen" w:ascii="Times;Sylfaen" w:hAnsi="Times;Sylfaen"/>
          <w:i/>
          <w:iCs/>
          <w:lang w:val="en-GB"/>
        </w:rPr>
      </w:r>
    </w:p>
    <w:p>
      <w:pPr>
        <w:pStyle w:val="Normal"/>
        <w:tabs>
          <w:tab w:val="clear" w:pos="708"/>
          <w:tab w:val="left" w:pos="720" w:leader="none"/>
        </w:tabs>
        <w:spacing w:before="120" w:after="120"/>
        <w:ind w:start="454" w:end="454"/>
        <w:jc w:val="both"/>
        <w:rPr/>
      </w:pPr>
      <w:r>
        <w:rPr>
          <w:rFonts w:cs="Times;Sylfaen" w:ascii="Times;Sylfaen" w:hAnsi="Times;Sylfaen"/>
          <w:b/>
          <w:bCs/>
          <w:lang w:val="en-US"/>
        </w:rPr>
        <w:t>Keywords:</w:t>
      </w:r>
      <w:r>
        <w:rPr>
          <w:rFonts w:cs="Times;Sylfaen" w:ascii="Times;Sylfaen" w:hAnsi="Times;Sylfaen"/>
          <w:lang w:val="en-US"/>
        </w:rPr>
        <w:t xml:space="preserve"> intrusion detection; Internet of Things; Random Forest; multi-agent systems; Model Context Protocol.</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1. Introdução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enquadrar o trabalho como NIDR (detecção e resposta), e não como NIDS, conforme o reposicionamento pedido pela banca do TCC I. Seguir a ordem do template: contexto e problema; lacuna (detectores apontam o ataque, mas a resposta continua manual e exige especialista); objetivo geral em uma frase; objetivos específicos; contribuições; estrutura do artigo.]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contribuições a destacar: (1) classificador treinado em dados regerados dos pcaps com janela única; (2) medida do atalho da janela e das janelas sem atacante no CICIoT2023; (3) sistema de três agentes via MCP com aprovação humana; (4) comparação entre as configurações local, nuvem e híbrida em qualidade, custo e tempo.]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2. Referencial Teórico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2.1 Detecção de intrusão em redes IoT</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NIDS baseado em aprendizado de máquina, ataques típicos contra IoT (DDoS, DoS, Mirai, Recon, Spoofing, Web, BruteForce) e por que o Random Forest é referência nesse problema. Reaproveitar do artigo do TCC I.]</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2.2 Agentes de LLM e o Model Context Protocol</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o que é um agente de LLM, o laço ReAct, o MCP como interface entre modelo e ferramentas, e os riscos de segurança do MCP (injeção via dados, tool poisoning, confused deputy). Reaproveitar do TCC I e do levantamento do Pedro e do José Victor.]</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2.3 Trabalhos correlatos</w:t>
      </w:r>
    </w:p>
    <w:p>
      <w:pPr>
        <w:pStyle w:val="Normal"/>
        <w:tabs>
          <w:tab w:val="clear" w:pos="708"/>
          <w:tab w:val="left" w:pos="720" w:leader="none"/>
        </w:tabs>
        <w:spacing w:before="120" w:after="0"/>
        <w:ind w:firstLine="708" w:end="0"/>
        <w:jc w:val="both"/>
      </w:pPr>
      <w:r>
        <w:rPr>
          <w:rFonts w:cs="Times;Sylfaen" w:ascii="Times;Sylfaen" w:hAnsi="Times;Sylfaen"/>
        </w:rPr>
        <w:t xml:space="preserve">O CICIoT2023 reúne 33 ataques, agrupados em sete categorias, executados por dispositivos IoT maliciosos contra outros dispositivos numa topologia de 105 equipamentos (NETO et al., 2023). Os autores publicam os arquivos de captura (pcap), os CSVs processados e o código de extração das features (CANADIAN INSTITUTE FOR CYBERSECURITY, 2023). As features são calculadas sobre janelas de pacotes e agregadas pela média, com janelas de 100 pacotes nas classes de grande volume (DDoS, DoS e Mirai) e de 10 nas demais (NETO et al., 2023). Doménech et al. (2025) também registram essa diferença ao comparar o CICIoT2023 com o CICIoMT2024, e relatam queda de até 66,87% no F1 quando um modelo treinado num conjunto é avaliado no outro. </w:t>
      </w:r>
      <w:r>
        <w:rPr>
          <w:rFonts w:cs="Times;Sylfaen" w:ascii="Times;Sylfaen" w:hAnsi="Times;Sylfaen"/>
          <w:highlight w:val="yellow"/>
        </w:rPr>
        <w:t xml:space="preserve">[CONFERIR no PDF se Doménech et al. recomendam janela uniforme; se recomendarem, acrescentar aqui.]</w:t>
      </w:r>
    </w:p>
    <w:p>
      <w:pPr>
        <w:pStyle w:val="Normal"/>
        <w:tabs>
          <w:tab w:val="clear" w:pos="708"/>
          <w:tab w:val="left" w:pos="720" w:leader="none"/>
        </w:tabs>
        <w:spacing w:before="120" w:after="0"/>
        <w:ind w:firstLine="708" w:end="0"/>
        <w:jc w:val="both"/>
      </w:pPr>
      <w:r>
        <w:rPr>
          <w:rFonts w:cs="Times;Sylfaen" w:ascii="Times;Sylfaen" w:hAnsi="Times;Sylfaen"/>
        </w:rPr>
        <w:t xml:space="preserve">Problemas na construção de conjuntos de dados já foram documentados em outros datasets do mesmo instituto. Engelen, Rimmer e Joosen (2021) revisitaram o CICIDS2017 e encontraram falhas na geração do tráfego, na construção dos fluxos, na extração das features e na rotulagem, e regeneraram o conjunto com uma metodologia corrigida. Liu et al. (2022) estenderam a análise ao CSE-CIC-IDS-2018 e relataram erros até então não documentados em todo o ciclo de criação, da orquestração dos ataques aos rótulos.</w:t>
      </w:r>
    </w:p>
    <w:p>
      <w:pPr>
        <w:pStyle w:val="Normal"/>
        <w:tabs>
          <w:tab w:val="clear" w:pos="708"/>
          <w:tab w:val="left" w:pos="720" w:leader="none"/>
        </w:tabs>
        <w:spacing w:before="120" w:after="0"/>
        <w:ind w:firstLine="708" w:end="0"/>
        <w:jc w:val="both"/>
      </w:pPr>
      <w:r>
        <w:rPr>
          <w:rFonts w:cs="Times;Sylfaen" w:ascii="Times;Sylfaen" w:hAnsi="Times;Sylfaen"/>
        </w:rPr>
        <w:t xml:space="preserve">Este trabalho segue essa linha com duas contribuições próprias: um teste direto do efeito do tamanho da janela, extraindo os mesmos pcaps com janelas de 10 e de 100 pacotes, e a medida de quantas janelas rotuladas como ataque não contêm nenhum pacote dos dispositivos atacantes. Aqui, o rótulo de ataque depende da presença do atacante na janela.</w:t>
      </w:r>
    </w:p>
    <w:p>
      <w:pPr>
        <w:pStyle w:val="Normal"/>
        <w:tabs>
          <w:tab w:val="clear" w:pos="708"/>
          <w:tab w:val="left" w:pos="720" w:leader="none"/>
        </w:tabs>
        <w:spacing w:before="120" w:after="0"/>
        <w:ind w:firstLine="708" w:end="0"/>
        <w:jc w:val="both"/>
      </w:pPr>
      <w:r>
        <w:rPr>
          <w:rFonts w:cs="Times;Sylfaen" w:ascii="Times;Sylfaen" w:hAnsi="Times;Sylfaen"/>
        </w:rPr>
        <w:t xml:space="preserve">No mercado, a detecção de intrusão com aprendizado de máquina aparece em plataformas comerciais. A Darktrace aprende o comportamento normal de cada entidade da rede e examina os desvios, em vez de aplicar regras fixas (DARKTRACE, 2024). A Vectra AI automatiza a detecção, a triagem e a priorização de ameaças em redes, nuvem e identidades (VECTRA AI, 2022). A Netskope aplica técnicas semelhantes à proteção de dados e à defesa contra ameaças no contexto de acesso seguro à nuvem (NETSKOPE, 2023). Este trabalho difere dessas soluções por avaliar o pipeline completo num dataset público, com código aberto (OLIVEIRA et al., 2026), e por manter o dado da rede no ambiente local na configuração híbrida.</w:t>
      </w:r>
    </w:p>
    <w:p>
      <w:pPr>
        <w:pStyle w:val="Normal"/>
        <w:tabs>
          <w:tab w:val="clear" w:pos="708"/>
          <w:tab w:val="left" w:pos="720" w:leader="none"/>
        </w:tabs>
        <w:spacing w:before="120" w:after="0"/>
        <w:ind w:firstLine="708" w:end="0"/>
        <w:jc w:val="both"/>
      </w:pPr>
      <w:r>
        <w:rPr>
          <w:rFonts w:cs="Times;Sylfaen" w:ascii="Times;Sylfaen" w:hAnsi="Times;Sylfaen"/>
        </w:rPr>
        <w:t xml:space="preserve">O uso de modelos de linguagem pagos por chamada traz um risco adicional. Kelly, Glavin e Barrett (2021) definem o </w:t>
      </w:r>
      <w:r>
        <w:rPr>
          <w:rFonts w:cs="Times;Sylfaen" w:ascii="Times;Sylfaen" w:hAnsi="Times;Sylfaen"/>
          <w:i/>
          <w:iCs/>
        </w:rPr>
        <w:t xml:space="preserve">Denial of Wallet</w:t>
      </w:r>
      <w:r>
        <w:rPr>
          <w:rFonts w:cs="Times;Sylfaen" w:ascii="Times;Sylfaen" w:hAnsi="Times;Sylfaen"/>
        </w:rPr>
        <w:t xml:space="preserve"> como um ataque que força o esgotamento financeiro da vítima em plataformas cobradas por uso. Num sistema que aciona agentes de LLM a cada incidente, o atacante pode provocar o mesmo efeito gerando incidentes em volume. O sistema responde a esse risco com a política de acionamento, que agrupa as janelas em incidentes, e com o teto por hora de incidentes que vão ao modelo de fronteira (seção 3.5).</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3. Metodologia</w:t>
      </w:r>
    </w:p>
    <w:p>
      <w:pPr>
        <w:pStyle w:val="Normal"/>
        <w:tabs>
          <w:tab w:val="clear" w:pos="708"/>
          <w:tab w:val="left" w:pos="720" w:leader="none"/>
        </w:tabs>
        <w:spacing w:before="120" w:after="0"/>
        <w:ind w:firstLine="708" w:end="0"/>
        <w:jc w:val="both"/>
      </w:pPr>
      <w:r>
        <w:rPr>
          <w:rFonts w:cs="Times;Sylfaen" w:ascii="Times;Sylfaen" w:hAnsi="Times;Sylfaen"/>
        </w:rPr>
        <w:t xml:space="preserve">Em relação à proposta do TCC I, o trabalho mudou nos pontos a seguir. Não há classificação específica de MQTT e CoAP, porque as 39 features só têm indicador para HTTP, HTTPS, DNS, SSH, Telnet, SMTP, IRC e DHCP. A extração lê arquivo pcap, e a captura ao vivo fica como trabalho futuro. Não houve busca de hiperparâmetros por grid search: o Random Forest usa os parâmetros padrão do scikit-learn, porque a contribuição do trabalho está na camada MCP. O N-BaIoT deixou de ser o dataset secundário, e nenhum outro o substituiu. O cenário de exfiltração de dados saiu da PoC, porque o CICIoT2023 não tem essa classe. E os agentes rodam num modelo local, com modelos de nuvem só nos experimentos, em vez de um único modelo comercial em nuvem.</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3.1 Captura e extração de features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processa tráfego bruto em arquivo pcap, e não apenas o CSV pré-processado do dataset, o que responde ao avaliador 2 do TCC I. A captura da rede grava um arquivo pcap com o tcpdump, a mesma ferramenta com que os autores do dataset capturaram e fatiaram os pcaps; a extração das 39 features por janela de quadros é feita com a biblioteca dpkt, como no código dos autores do dataset, e não com o Scapy previsto no TCC I. No código dos autores, o Scapy só é importado para Zigbee e Bluetooth e não contribui para nenhuma das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Os pcaps, os CSVs e o código de extração dos autores vêm da página oficial do CICIoT2023 (CANADIAN INSTITUTE FOR CYBERSECURITY, 2023), e o código e os scripts dos experimentos deste trabalho estão no repositório do projeto (OLIVEIRA et al., 2026). O trabalho não faz coleta in loco em dispositivos IoT reais: seria inviável no prazo, e o tráfego capturado não teria rótulo. O papel da captura é cumprido pelos pcaps brutos do CICIoT2023, que o extrator lê da mesma forma que leria um arquivo gravado na rede. O Wireshark não é necessário ao sistema: serve para inspecionar capturas, e o pcapng que ele grava por padrão se converte em pcap com o editcap. O Scapy também não é usado, porque a extração precisa repetir o cálculo dos autores, feito com o dpkt.</w:t>
      </w:r>
    </w:p>
    <w:p>
      <w:pPr>
        <w:pStyle w:val="Normal"/>
        <w:tabs>
          <w:tab w:val="clear" w:pos="708"/>
          <w:tab w:val="left" w:pos="720" w:leader="none"/>
        </w:tabs>
        <w:spacing w:before="120" w:after="0"/>
        <w:ind w:firstLine="708" w:end="0"/>
        <w:jc w:val="both"/>
      </w:pPr>
      <w:r>
        <w:rPr>
          <w:rFonts w:cs="Times;Sylfaen" w:ascii="Times;Sylfaen" w:hAnsi="Times;Sylfaen"/>
        </w:rPr>
        <w:t xml:space="preserve">Numa implantação numa casa ou num pequeno comércio, o público-alvo do trabalho (seção 1), como um restaurante com televisores, câmeras, sensores e assistentes de voz na rede, o gateway do SentryIoT fica entre o modem da operadora e os aparelhos e, de preferência, é também o ponto de acesso Wi-Fi. No modo comum do Wi-Fi, um aparelho não fala direto com outro: todo quadro passa pelo ponto de acesso. Assim o gateway vê também o tráfego de um aparelho para outro, que é o dos ataques do CICIoT2023, em que os atacantes estão na mesma rede das vítimas. Os aparelhos IoT ficam numa rede própria, separada da de computadores e celulares, e o tráfego entre as redes também cruza o gateway, que é onde as ações do catálogo seriam aplicadas, no firewall dele. Ali o tcpdump grava a interface da rede IoT de forma contínua, com o quadro inteiro, porque um limite curto encolhe as colunas de tamanho, e um arquivo novo a cada intervalo. A gravação é feita na interface da rede, e não no enlace que leva várias redes com etiqueta de VLAN, porque o extrator descarta o quadro etiquetado, como o código dos autores. A PoC lê arquivos fechados; o extrator já recebe um quadro por vez, e a captura ao vivo fica como um adaptador futuro sobre ele. Num teste de 25/10, 5.000 quadros do Wi-Fi de um notebook, gravados com o tcpdump, passaram pelo reprodutor sem conversão, do extrator à abertura de incidentes: um arquivo gravado fora do dataset entra no sistema. Os achados desse teste estão nas Limitações.</w:t>
      </w:r>
    </w:p>
    <w:p>
      <w:pPr>
        <w:pStyle w:val="Normal"/>
        <w:tabs>
          <w:tab w:val="clear" w:pos="708"/>
          <w:tab w:val="left" w:pos="720" w:leader="none"/>
        </w:tabs>
        <w:spacing w:before="120" w:after="0"/>
        <w:ind w:firstLine="708" w:end="0"/>
        <w:jc w:val="both"/>
      </w:pPr>
      <w:r>
        <w:rPr>
          <w:rFonts w:cs="Times;Sylfaen" w:ascii="Times;Sylfaen" w:hAnsi="Times;Sylfaen"/>
        </w:rPr>
        <w:t xml:space="preserve">O extrator foi calibrado em duas etapas. Na primeira, contra os CSVs oficiais de 5 pcaps, um por família (DDoS, DoS, Mirai, Recon e BruteForce), somando 167.304 linhas, as 39 colunas foram reproduzidas sem nenhuma divergência, com tolerância relativa de 1e-9; o maior desvio relativo observado, de 9,88e-13, é da ordem do arredondamento de ponto flutuante. Na segunda, os 38 pcaps foram extraídos como os autores extraíram, em pedaços de 10 MB e com a janela da classe, e cada linha foi procurada entre as linhas do mesmo rótulo no MERGED_CSV inteiro, com os 39 valores iguais até cerca de 9 algarismos significativos. Em 15 rótulos, toda linha do MERGED_CSV tem par entre as nossas, o que não aconteceria se o cálculo divergisse em alguma janela; do nosso lado, entre 95,53% e 99,00% das linhas de cada pcap têm par, e o que falta vem dos arquivos do MERGED_CSV truncados na fonte oficial. Na regeração e na operação, o pcap é lido de uma vez, sem o fatiamento de 10 MB; as distribuições das duas leituras são praticamente iguais, com distância de Kolmogorov-Smirnov de no máximo 0,0102 entre as 39 colunas.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lê o pcap, e não registros NetFlow, outro ponto levantado pela banca do TCC I. Um registro NetFlow típico resume cada fluxo em poucos campos: endereços, portas, protocolo, quantidade de pacotes e de bytes, instantes de início e fim e, no máximo, a união das flags TCP do fluxo. É leve e não guarda conteúdo, mas perde o que as 39 features do CICIoT2023 medem quadro a quadro: a flag de cada pacote, o tamanho de cada quadro e a variação entre eles (Min, Max, Std), o intervalo entre chegadas (IAT) e a fração da janela em cada protocolo de aplicação. O custo do pcap é o volume, já que os 38 pcaps usados somam cerca de 46 GB, e a exposição do conteúdo dos pacotes na captura; o extrator guarda só os campos de cabeçalho que mede e os endereços da janela, e nenhum conteúdo de pacote chega aos agentes. Numa rede que só exporte NetFlow, o classificador teria de ser treinado de novo, com outro conjunto de features.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3.2 Pré-processamento e amostragem</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MERGED_CSV publicado pelos autores (45.019.234 linhas, 63 arquivos) foi amostrado com teto de 50.000 linhas por rótulo e semente fixa (42), preservando integralmente as classes raras. A amostra resultante tem 1.288.479 linhas. Os rótulos (34 classes) são normalizados e mapeados para 7 categorias, com DDoS e DoS juntos. As features descrevem os pacotes, e não quantas máquinas atacam: 29,5% das linhas do MERGED_CSV têm o vetor das 39 features igual ao de uma linha de outra categoria, quase sempre o mesmo flood rotulado como DDoS e como DoS. A separação entre os dois é feita depois, pela quantidade de endereços de origem do incidente, fora do modelo.</w:t>
      </w:r>
    </w:p>
    <w:p>
      <w:pPr>
        <w:pStyle w:val="Normal"/>
        <w:tabs>
          <w:tab w:val="clear" w:pos="708"/>
          <w:tab w:val="left" w:pos="720" w:leader="none"/>
        </w:tabs>
        <w:spacing w:before="120" w:after="0"/>
        <w:ind w:firstLine="708" w:end="0"/>
        <w:jc w:val="both"/>
      </w:pPr>
      <w:r>
        <w:rPr>
          <w:rFonts w:cs="Times;Sylfaen" w:ascii="Times;Sylfaen" w:hAnsi="Times;Sylfaen"/>
        </w:rPr>
        <w:t xml:space="preserve">Os dados de treino finais, porém, não vêm do MERGED_CSV: são regerados a partir dos pcaps com o nosso extrator. O motivo está na seção 3.3 e nas limitações do dataset: a janela de agregação varia com a classe e o rótulo é do arquivo inteiro. Na regeração, cada um dos 38 pcaps é extraído em janela única. Os 34 rótulos têm pcap: 31 com um arquivo, DDoS-SYN_Flood e DoS-SYN_Flood com dois cada e BenignTraffic com três. Numa captura benigna toda janela é benigna, e numa captura de ataque a janela só recebe o rótulo do arquivo se contém um quadro de um dos sete Raspberry Pi atacantes documentados pelos autores, e é descartada caso contrário. As janelas descartadas, o tráfego de fundo das capturas de ataque, ficam à parte; no treino do modelo do sistema, as da parte de treino de cada pcap entram como benignas (seção 3.3). A divisão treino/teste é por tempo dentro de cada pcap (os primeiros 70% das janelas para o treino) ou por arquivo inteiro quando o rótulo tem mais de um pcap (o último, pelo sufixo numérico do nome, fica no teste), o que evita que janelas vizinhas caiam dos dois lados. O teto de 50.000 janelas por rótulo e a semente 42 são mantidos.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3.3 Treino e avaliação do classificador</w:t>
      </w:r>
    </w:p>
    <w:p>
      <w:pPr>
        <w:pStyle w:val="Normal"/>
        <w:tabs>
          <w:tab w:val="clear" w:pos="708"/>
          <w:tab w:val="left" w:pos="720" w:leader="none"/>
        </w:tabs>
        <w:spacing w:before="120" w:after="0"/>
        <w:ind w:firstLine="708" w:end="0"/>
        <w:jc w:val="both"/>
      </w:pPr>
      <w:r>
        <w:rPr>
          <w:rFonts w:cs="Times;Sylfaen" w:ascii="Times;Sylfaen" w:hAnsi="Times;Sylfaen"/>
        </w:rPr>
        <w:t xml:space="preserve">As métricas do classificador são a precisão, o recall e o F1 de cada categoria e a taxa de falso positivo, com destaque para o tráfego benigno classificado como ataque. O resultado principal é a tabela por categoria no corte por tempo, no ponto de operação, com dois controles ao lado: o recall com o pcap inteiro fora do treino e o alarme falso com cada pcap benigno fora do treino. O macro-F1 é relatado, mas não é o número principal: dá o mesmo peso a categorias com 273 e com 214.373 janelas de teste e não mostra onde o modelo erra. A acurácia global também não é: DDoS e DoS somam 89,5% das linhas do MERGED_CSV, e, com as duas juntas, um modelo que respondesse DDoS+DoS para tudo acertaria 78,4% das janelas de teste do sistema.</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Random Forest (scikit-learn, 100 árvores, parâmetros padrão) foi treinado e avaliado na amostra do MERGED_CSV descrita acima, com 80% das linhas para o treino e 20% para o teste. Duas estratégias de divisão foram testadas: sorteio estratificado de linhas (15,11% dos vetores de teste também aparecem no treino, por causa de features repetidas) e divisão por grupos de vetores idênticos (0% de sobreposição). Duas priores de treino também foram comparadas: a proporção da própria amostra e a proporção natural do dataset completo, por peso de amostra.</w:t>
      </w:r>
    </w:p>
    <w:p>
      <w:pPr>
        <w:pStyle w:val="Normal"/>
        <w:tabs>
          <w:tab w:val="clear" w:pos="708"/>
          <w:tab w:val="left" w:pos="720" w:leader="none"/>
        </w:tabs>
        <w:spacing w:before="120" w:after="0"/>
        <w:ind w:firstLine="708" w:end="0"/>
        <w:jc w:val="both"/>
      </w:pPr>
      <w:r>
        <w:rPr>
          <w:rFonts w:cs="Times;Sylfaen" w:ascii="Times;Sylfaen" w:hAnsi="Times;Sylfaen"/>
        </w:rPr>
        <w:t xml:space="preserve">Na configuração tomada como referência (7 categorias, sorteio estratificado, priori da amostra, 39 features), a acurácia é de 93,81% na amostra de teste, ou 98,58% reponderada para a distribuição natural do dataset completo, e o macro-F1 é de 74,11% (69,96% reponderado). A divisão por grupos dá valores da mesma ordem, e a diferença entre as duas não se distingue do ruído entre sementes. Com a priori natural, o tráfego benigno classificado como ataque cai de 46,38% para 14,48%, mas o recall reponderado de Recon cai de 92,52% para 78,87%, e o de BruteForce, de 33,55% para 12,98%.</w:t>
      </w:r>
    </w:p>
    <w:p>
      <w:pPr>
        <w:pStyle w:val="Normal"/>
        <w:tabs>
          <w:tab w:val="clear" w:pos="708"/>
          <w:tab w:val="left" w:pos="720" w:leader="none"/>
        </w:tabs>
        <w:spacing w:before="120" w:after="0"/>
        <w:ind w:firstLine="708" w:end="0"/>
        <w:jc w:val="both"/>
      </w:pPr>
      <w:r>
        <w:rPr>
          <w:rFonts w:cs="Times;Sylfaen" w:ascii="Times;Sylfaen" w:hAnsi="Times;Sylfaen"/>
        </w:rPr>
        <w:t xml:space="preserve">Um teste adicional, isolando o efeito do tamanho da janela, mostrou que o modelo treinado nas janelas do MERGED_CSV (100 pacotes para DDoS, DoS e Mirai, 10 para as demais) não generaliza para uma janela única na operação: o recall de floods HTTP cai a menos de 2% quando extraídos em janela de 10, e o recall de varredura de portas e força bruta cai a 0 a 18% quando extraídos em janela de 100. Retirar as seis colunas que dependem do tamanho da janela não resolve. Foi esse resultado que levou à regeração dos dados (seção 3.2).</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do sistema é treinado de outra forma, nos dados regerados (seção 3.2): um Random Forest de 100 árvores, com os parâmetros padrão do scikit-learn e sem busca de hiperparâmetros, nas 39 features, em 7 categorias, com janela de 100 quadros, teto de 50.000 janelas por rótulo, semente 42 e a divisão por tempo e por arquivo descrita na seção 3.2. As janelas de fundo da parte de treino de cada pcap de ataque, sem nenhum quadro do atacante, entram no treino como benignas. São 567.732 janelas rotuladas e 40.966 de fundo no treino, e 273.566 janelas de teste.</w:t>
      </w:r>
    </w:p>
    <w:p>
      <w:pPr>
        <w:pStyle w:val="Normal"/>
        <w:tabs>
          <w:tab w:val="clear" w:pos="708"/>
          <w:tab w:val="left" w:pos="720" w:leader="none"/>
        </w:tabs>
        <w:spacing w:before="120" w:after="0"/>
        <w:ind w:firstLine="708" w:end="0"/>
        <w:jc w:val="both"/>
      </w:pPr>
      <w:r>
        <w:rPr>
          <w:rFonts w:cs="Times;Sylfaen" w:ascii="Times;Sylfaen" w:hAnsi="Times;Sylfaen"/>
        </w:rPr>
        <w:t xml:space="preserve">A janela de 100 quadros foi escolhida com os dois modelos treinados sem o fundo: macro-F1 de 82,3% contra 75,7% com janela de 10, e 1,9% contra 12,7% das janelas de um pcap benigno fora do treino classificadas como ataque.</w:t>
      </w:r>
    </w:p>
    <w:p>
      <w:pPr>
        <w:pStyle w:val="Normal"/>
        <w:tabs>
          <w:tab w:val="clear" w:pos="708"/>
          <w:tab w:val="left" w:pos="720" w:leader="none"/>
        </w:tabs>
        <w:spacing w:before="120" w:after="0"/>
        <w:ind w:firstLine="708" w:end="0"/>
        <w:jc w:val="both"/>
      </w:pPr>
      <w:r>
        <w:rPr>
          <w:rFonts w:cs="Times;Sylfaen" w:ascii="Times;Sylfaen" w:hAnsi="Times;Sylfaen"/>
        </w:rPr>
        <w:t xml:space="preserve">O tráfego de fundo entrou no treino depois de medido o que o modelo fazia com ele. Treinado sem o fundo, o modelo classificava como ataque 72,3% das janelas de fundo da parte de teste e, com o pcap BenignTraffic fora do treino, 38,5% das janelas desse pcap, 32% do pcap como Recon. Seis configurações de treino foram comparadas com três sementes (42, 1 e 2), por diferenças pareadas na mesma semente e nas mesmas janelas, com intervalo de 95% por reamostragem de blocos de 10 janelas vizinhas. O fundo como benigno baixa os dois números para 13,3% e 5,4%; normalizar o tamanho do quadro não os baixa. A equipe fixou antes da medida a regra para adotar o fundo no treino: na média das sementes, (a) benigno classificado como ataque abaixo de 10% no pior pcap benigno fora do treino, (b) recall de DDoS+DoS de pelo menos 98% no corte por tempo e (c) queda de no máximo 5 pontos no recall do pcap Recon-PortScan com o pcap fora do treino. As três foram atendidas, com 5,4%, 98,37% e queda de 3,53 pontos, mas o intervalo de 95% da diferença em (c) vai de −5,29 a −1,77 pontos e passa do limite na ponta inferior. A condição (c) foi medida no trecho de teste do pcap (850 janelas), como todas as medidas com o pcap fora do treino; no pcap inteiro (3.783 janelas), o recall vai de 89,7% para 83,4%, queda de 6,26 pontos, e por ele a condição falharia. A adoção foi mantida porque a regra foi aplicada como fixada e o ganho no alarme falso é grande.</w:t>
      </w:r>
    </w:p>
    <w:p>
      <w:pPr>
        <w:pStyle w:val="Normal"/>
        <w:tabs>
          <w:tab w:val="clear" w:pos="708"/>
          <w:tab w:val="left" w:pos="720" w:leader="none"/>
        </w:tabs>
        <w:spacing w:before="120" w:after="0"/>
        <w:ind w:firstLine="708" w:end="0"/>
        <w:jc w:val="both"/>
      </w:pPr>
      <w:r>
        <w:rPr>
          <w:rFonts w:cs="Times;Sylfaen" w:ascii="Times;Sylfaen" w:hAnsi="Times;Sylfaen"/>
        </w:rPr>
        <w:t xml:space="preserve">A decisão sobre cada janela segue um ponto de operação escolhido numa parte de validação, separada do teste: as últimas 15% da parte de treino de cada pcap, por tempo. Um modelo treinado no restante da parte de treino classifica todas as janelas da validação, 9.866 benignas e 321.428 de ataque. Concorrem a categoria mais provável (argmax) e o limiar, em que a janela é ataque se 1 − P(Benign) ≥ t, na categoria de ataque mais provável, com t de 0,01 em 0,01; entre os candidatos que deixam no máximo 1% das janelas benignas como ataque, vence o de maior recall de ataque. No modelo do sistema venceu o argmax, com 0,79% do benigno como ataque e 99,55% de recall de ataque, contra 0,95% e 99,51% no melhor limiar (t = 0,61). Um incidente só abre com 3 janelas de ataque seguidas. O modelo do sistema é o do treino inteiro, com a regra e o N gravados ao lado dele. Os relatórios do treino e do ponto de operação estão no repositório do projeto, em experimentos/resultados/regeracao.md e experimentos/resultados/ponto_de_operacao.md (OLIVEIRA et al., 2026).</w:t>
      </w:r>
    </w:p>
    <w:p>
      <w:pPr>
        <w:pStyle w:val="Normal"/>
        <w:tabs>
          <w:tab w:val="clear" w:pos="708"/>
          <w:tab w:val="left" w:pos="720" w:leader="none"/>
        </w:tabs>
        <w:spacing w:before="120" w:after="0"/>
        <w:ind w:firstLine="708" w:end="0"/>
        <w:jc w:val="both"/>
      </w:pPr>
      <w:r>
        <w:rPr>
          <w:rFonts w:cs="Times;Sylfaen" w:ascii="Times;Sylfaen" w:hAnsi="Times;Sylfaen"/>
        </w:rPr>
        <w:t xml:space="preserve">Os controles medem o que o corte por tempo não mostra: o recall de cada pcap quando nenhuma janela dele entra no treino, o alarme falso com cada um dos três pcaps benignos fora do treino, um por vez, e o fundo da parte de teste classificado como ataque. Os resultados estão na seção 4.1. Os controles do modelo anterior, de 10/10, que não foram refeitos para o do sistema (cinco sementes, importância por permutação, intervalos das classes raras e custo) estão no repositório do projeto.</w:t>
      </w:r>
    </w:p>
    <w:p>
      <w:pPr>
        <w:pStyle w:val="Normal"/>
        <w:tabs>
          <w:tab w:val="clear" w:pos="708"/>
          <w:tab w:val="left" w:pos="720" w:leader="none"/>
        </w:tabs>
        <w:spacing w:before="120" w:after="0"/>
        <w:ind w:firstLine="708" w:end="0"/>
        <w:jc w:val="both"/>
      </w:pPr>
      <w:r>
        <w:rPr>
          <w:rFonts w:cs="Times;Sylfaen" w:ascii="Times;Sylfaen" w:hAnsi="Times;Sylfaen"/>
        </w:rPr>
        <w:t xml:space="preserve">O Spoofing depende da captura. 84% das janelas de Spoofing têm quadro menor que 60 bytes, gravado sem o preenchimento do Ethernet, o que nas demais categorias quase não acontece. No modelo de 10/10, o fundo dos dois pcaps de spoofing, sem quadro do atacante, caía na categoria Spoofing em 97,7% e 99,5% das janelas, e com o quadro medido como no fio o recall de Spoofing caía de 99,4% para 88,2% no corte por tempo e de 97% para 66% com o pcap fora do treino. A medida como no fio não foi adotada, e o artefato fica como limitação (seção 4.2).</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3.4 Justificativa do Random Forest</w:t>
      </w:r>
    </w:p>
    <w:p>
      <w:pPr>
        <w:pStyle w:val="Normal"/>
        <w:tabs>
          <w:tab w:val="clear" w:pos="708"/>
          <w:tab w:val="left" w:pos="720" w:leader="none"/>
        </w:tabs>
        <w:spacing w:before="120" w:after="0"/>
        <w:ind w:firstLine="708" w:end="0"/>
        <w:jc w:val="both"/>
      </w:pPr>
      <w:r>
        <w:rPr>
          <w:rFonts w:cs="Times;Sylfaen" w:ascii="Times;Sylfaen" w:hAnsi="Times;Sylfaen"/>
        </w:rPr>
        <w:t xml:space="preserve">O modelo escolhido é o Random Forest, e não uma rede neural, por dois motivos: no benchmark publicado pelos autores do dataset (NETO et al., 2023), ele está entre os melhores modelos testados; e, mais importante para o restante do sistema, a importância de cada feature sai do próprio treino, sem um método de explicação à parte. Neste trabalho, a importância é medida por redução média de impureza e vale para o modelo inteiro. Para cada incidente, o servidor entrega aos agentes as features principais, com o valor de referência do tráfego benigno, e é esse o insumo da recomendação de mitigação. </w:t>
      </w:r>
      <w:r>
        <w:rPr>
          <w:rFonts w:cs="Times;Sylfaen" w:ascii="Times;Sylfaen" w:hAnsi="Times;Sylfaen"/>
          <w:highlight w:val="yellow"/>
        </w:rPr>
        <w:t xml:space="preserve">[PENDENTE: dizer como as features principais de um incidente são escolhidas; se for adotada atribuição por decisão, como o TreeSHAP, citar o método.]</w:t>
      </w:r>
      <w:r>
        <w:rPr>
          <w:rFonts w:cs="Times;Sylfaen" w:ascii="Times;Sylfaen" w:hAnsi="Times;Sylfaen"/>
        </w:rPr>
        <w:t xml:space="preserve"> O protocolo dos autores não é reproduzido aqui: o notebook publicado não treina o Random Forest, e os nossos dados de treino são regerados dos pcaps, então os números não se comparam diretamente com os do artigo do dataset.</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3.5 Servidor MCP e sistema multiagente</w:t>
      </w:r>
    </w:p>
    <w:p>
      <w:pPr>
        <w:pStyle w:val="Normal"/>
        <w:tabs>
          <w:tab w:val="clear" w:pos="708"/>
          <w:tab w:val="left" w:pos="720" w:leader="none"/>
        </w:tabs>
        <w:spacing w:before="120" w:after="0"/>
        <w:ind w:firstLine="708" w:end="0"/>
        <w:jc w:val="both"/>
      </w:pPr>
      <w:r>
        <w:rPr>
          <w:rFonts w:cs="Times;Sylfaen" w:ascii="Times;Sylfaen" w:hAnsi="Times;Sylfaen"/>
        </w:rPr>
        <w:t xml:space="preserve">O servidor da PoC é o servidor MCP em modo de reprodução, que atende os incidentes reais do reprodutor de tráfego. O contrato, na versão 0.3.0, tem 10 tools MCP divididas entre os três agentes (triagem, decisão e execução) e grava cada passo num log de eventos em JSONL. O incidente traz a categoria do modelo, que junta DDoS e DoS (DDoS+DoS), e a categoria depois da regra que separa os dois pela quantidade de origens. As respostas saem de um catálogo de cinco ações: limitar_taxa, bloquear_ip, isolar_dispositivo, revogar_credencial e fechar_porta, esta </w:t>
      </w:r>
      <w:r>
        <w:rPr>
          <w:rFonts w:cs="Times;Sylfaen" w:ascii="Times;Sylfaen" w:hAnsi="Times;Sylfaen"/>
          <w:highlight w:val="yellow"/>
        </w:rPr>
        <w:t xml:space="preserve">[a implementar]</w:t>
      </w:r>
      <w:r>
        <w:rPr>
          <w:rFonts w:cs="Times;Sylfaen" w:ascii="Times;Sylfaen" w:hAnsi="Times;Sylfaen"/>
        </w:rPr>
        <w:t xml:space="preserve">, que fecha no firewall do gateway o acesso a uma porta de um dispositivo, com o alvo no formato 23/tcp@destino-1. Para isso, o incidente passa a trazer as portas de destino mais frequentes, tiradas dos cabeçalhos TCP e UDP fora das 39 features, e o resumo lido pelo agente de decisão as mostra </w:t>
      </w:r>
      <w:r>
        <w:rPr>
          <w:rFonts w:cs="Times;Sylfaen" w:ascii="Times;Sylfaen" w:hAnsi="Times;Sylfaen"/>
          <w:highlight w:val="yellow"/>
        </w:rPr>
        <w:t xml:space="preserve">[a implementar]</w:t>
      </w:r>
      <w:r>
        <w:rPr>
          <w:rFonts w:cs="Times;Sylfaen" w:ascii="Times;Sylfaen" w:hAnsi="Times;Sylfaen"/>
        </w:rPr>
        <w:t xml:space="preserve">. Fora do catálogo, o agente pode propor uma ação nova, que é sempre de risco alto. A política de risco separa as ações de risco baixo, aplicadas sem aprovação, das de risco alto, que dependem de aprovação humana, e limita a 10 as propostas que aguardam aprovação em cada incidente, porque a fila é lida por uma pessoa e um agente enganado por conteúdo vindo da rede poderia enchê-la. Como a origem de um flood UDP ou ICMP pode ser forjada, bloquear uma origem da rede local é de risco alto, os endereços críticos (o servidor MCP, o host do modelo local e o resolvedor DNS) são protegidos, e o teto de medidas de risco baixo ativas vale por incidente (5) e para o sistema todo (10). O custo de tokens é contido de outra forma: os agentes recebem o resumo do incidente, e não as janelas, e o detalhe vem em fatias de até 20 janelas. Na PoC, a resposta é executada num ambiente simulado, com aprovação humana e possibilidade de desfazer, e a verificação do efeito responde sempre que o ataque cessou (seção 4.2).</w:t>
      </w:r>
    </w:p>
    <w:p>
      <w:pPr>
        <w:pStyle w:val="Normal"/>
        <w:tabs>
          <w:tab w:val="clear" w:pos="708"/>
          <w:tab w:val="left" w:pos="720" w:leader="none"/>
        </w:tabs>
        <w:spacing w:before="120" w:after="0"/>
        <w:ind w:firstLine="708" w:end="0"/>
        <w:jc w:val="both"/>
      </w:pPr>
      <w:r>
        <w:rPr>
          <w:rFonts w:cs="Times;Sylfaen" w:ascii="Times;Sylfaen" w:hAnsi="Times;Sylfaen"/>
        </w:rPr>
        <w:t xml:space="preserve">A arquitetura é híbrida (Figura 1): o agente de decisão roda num modelo de fronteira, pela nuvem, e coordena o incidente. Ele aceita ou descarta o veredito da triagem, propõe a ação e propõe outra quando o efeito verificado mostra que a anterior não resolveu. O encadeamento dos agentes (chamar a triagem, esperar a aprovação no log e chamar a execução) fica em código, num orquestrador que não é um quarto agente </w:t>
      </w:r>
      <w:r>
        <w:rPr>
          <w:rFonts w:cs="Times;Sylfaen" w:ascii="Times;Sylfaen" w:hAnsi="Times;Sylfaen"/>
          <w:highlight w:val="yellow"/>
        </w:rPr>
        <w:t xml:space="preserve">[a implementar]</w:t>
      </w:r>
      <w:r>
        <w:rPr>
          <w:rFonts w:cs="Times;Sylfaen" w:ascii="Times;Sylfaen" w:hAnsi="Times;Sylfaen"/>
        </w:rPr>
        <w:t xml:space="preserve">. Os agentes de triagem e de execução, com a verificação do efeito, rodam no modelo local, uma variante sem censura do Qwen3.8 de 27 bilhões de parâmetros (qwen3.8-27c), chamada por uma API compatível com a da OpenAI. Ela foi escolhida numa comparação com o Qwen normal (qwen3.8-27b) na triagem e na decisão: o normal entrou em laço em metade das triagens, e a variante sempre chegou a um veredito, com cerca de um terço dos tokens. A variante sem censura não recusa a análise de um ataque, mas obedece com mais facilidade a uma instrução escondida no tráfego, e por isso as garantias do sistema ficam no servidor, e não no modelo. A triagem marca como duvidoso todo incidente com confiança do classificador abaixo de 0,6: nos 235 incidentes da avaliação dos 38 pcaps, esse limiar pega 24 dos 57 incidentes falsos e marca 4 dos 178 verdadeiros. Na PoC, quem serve o modelo é um servidor de inferência compatível com a API da OpenAI, num gateway interno de outra organização, numa rede que não é da equipe, com hardware e quantização desconhecidos </w:t>
      </w:r>
      <w:r>
        <w:rPr>
          <w:rFonts w:cs="Times;Sylfaen" w:ascii="Times;Sylfaen" w:hAnsi="Times;Sylfaen"/>
          <w:highlight w:val="yellow"/>
        </w:rPr>
        <w:t xml:space="preserve">[CONFERIR com quem mantém o gateway: a variante exata e a quantização]</w:t>
      </w:r>
      <w:r>
        <w:rPr>
          <w:rFonts w:cs="Times;Sylfaen" w:ascii="Times;Sylfaen" w:hAnsi="Times;Sylfaen"/>
        </w:rPr>
        <w:t xml:space="preserve">, e os dados que passam por ele são os do CICIoT2023, públicos. Numa implantação, o modelo local fica num servidor dentro da rede atendida, no próprio gateway, se ele comportar, ou numa máquina ao lado, e o código não muda: só o endereço do servidor. A garantia de que nenhum endereço da rede chega à fronteira está no servidor, e não no prompt: o agente de decisão não tem as tools que devolvem endereços e lê o incidente por obter_resumo, montado pelo servidor com um rótulo neutro (origem-1, destino-1) no lugar de cada endereço. Ele propõe a ação com o rótulo; o servidor troca o rótulo pelo endereço e calcula o risco sobre o endereço real, e só o agente de execução, local e o único com credenciais, recebe o endereço. Toda resposta à linha de decisão passa ainda por um filtro que troca por um marcador qualquer endereço que tenha sobrado em texto livre. O veredito da triagem, texto livre escrito pelo modelo local, precisa passar pelo mesmo filtro antes de chegar ao agente de decisão </w:t>
      </w:r>
      <w:r>
        <w:rPr>
          <w:rFonts w:cs="Times;Sylfaen" w:ascii="Times;Sylfaen" w:hAnsi="Times;Sylfaen"/>
          <w:highlight w:val="yellow"/>
        </w:rPr>
        <w:t xml:space="preserve">[a implementar]</w:t>
      </w:r>
      <w:r>
        <w:rPr>
          <w:rFonts w:cs="Times;Sylfaen" w:ascii="Times;Sylfaen" w:hAnsi="Times;Sylfaen"/>
        </w:rPr>
        <w:t xml:space="preserve">. O orquestrador aceitará três configurações, tudo local, tudo na nuvem e híbrida, e a comparação entre elas em qualidade, custo e tempo é resultado do artigo. Isso responde ao ponto da banca sobre riscos de IA em nuvem e à alternativa on-premises.</w:t>
      </w:r>
    </w:p>
    <w:p>
      <w:pPr>
        <w:pStyle w:val="Normal"/>
        <w:tabs>
          <w:tab w:val="clear" w:pos="708"/>
          <w:tab w:val="left" w:pos="720" w:leader="none"/>
        </w:tabs>
        <w:spacing w:before="120" w:after="0"/>
        <w:ind w:firstLine="708" w:end="0"/>
        <w:jc w:val="both"/>
      </w:pPr>
      <w:r>
        <w:rPr>
          <w:rFonts w:cs="Times;Sylfaen" w:ascii="Times;Sylfaen" w:hAnsi="Times;Sylfaen"/>
        </w:rPr>
        <w:t xml:space="preserve">A busca na internet dos agentes fica desligada por padrão, e por isso nenhum dado da rede sai da máquina por ela; a comparação com a busca ligada fica como experimento. O custo em tokens será medido por chamada: cada chamada ao modelo vai gravar no log o agente, o modelo e os tokens de entrada e de saída </w:t>
      </w:r>
      <w:r>
        <w:rPr>
          <w:rFonts w:cs="Times;Sylfaen" w:ascii="Times;Sylfaen" w:hAnsi="Times;Sylfaen"/>
          <w:highlight w:val="yellow"/>
        </w:rPr>
        <w:t xml:space="preserve">[a implementar]</w:t>
      </w:r>
      <w:r>
        <w:rPr>
          <w:rFonts w:cs="Times;Sylfaen" w:ascii="Times;Sylfaen" w:hAnsi="Times;Sylfaen"/>
        </w:rPr>
        <w:t xml:space="preserve">, e o contador da interface mostra quantas chamadas um incidente gerou. O risco de Denial of Wallet é tratado pela política de acionamento, com a primeira versão no reprodutor de tráfego, que reúne as janelas do mesmo ataque num incidente só: um flood de 264 mil janelas vira 4 incidentes, um por sessão de captura, e as rajadas de uma varredura contra alvos diferentes reabrem o mesmo incidente. O que ainda passa é o ataque de pouco volume em rajadas espaçadas: o pcap DNS_Spoofing dá 51 incidentes em 28 horas. Nos experimentos, que reproduzem um pcap por vez, o teto é de 20 incidentes por pcap. Num sistema ligado o tempo todo não há pcap para contar, e o teto passa a ser por tempo </w:t>
      </w:r>
      <w:r>
        <w:rPr>
          <w:rFonts w:cs="Times;Sylfaen" w:ascii="Times;Sylfaen" w:hAnsi="Times;Sylfaen"/>
          <w:highlight w:val="yellow"/>
        </w:rPr>
        <w:t xml:space="preserve">[a implementar]</w:t>
      </w:r>
      <w:r>
        <w:rPr>
          <w:rFonts w:cs="Times;Sylfaen" w:ascii="Times;Sylfaen" w:hAnsi="Times;Sylfaen"/>
        </w:rPr>
        <w:t xml:space="preserve">. Até 10 incidentes por hora, somando todos os ataques, vão ao modelo de fronteira. Acima disso, o incidente abre normalmente e segue pela configuração tudo local, sem custo de tokens, e a pessoa que opera a rede é avisada de que ele será tratado só pelo modelo local, de menor capacidade. A rota local aceita até 5 incidentes esperando a vez; acima disso, a pessoa é avisada e fica só a saída do classificador, sem os agentes, até abrir vaga. Os dois valores são parâmetros: no pior caso medido, cerca de 2 incidentes por hora, o primeiro comporta uns 5 ataques lentos ao mesmo tempo. A política de risco, a troca de endereços por rótulos e a aprovação humana valem nas duas rotas, porque estão no servidor.</w:t>
      </w:r>
    </w:p>
    <w:p>
      <w:pPr>
        <w:pStyle w:val="Normal"/>
        <w:tabs>
          <w:tab w:val="clear" w:pos="708"/>
          <w:tab w:val="left" w:pos="720" w:leader="none"/>
        </w:tabs>
        <w:spacing w:before="120" w:after="0"/>
        <w:ind w:firstLine="708" w:end="0"/>
        <w:jc w:val="both"/>
      </w:pPr>
      <w:r>
        <w:rPr>
          <w:rFonts w:cs="Times;Sylfaen" w:ascii="Times;Sylfaen" w:hAnsi="Times;Sylfaen"/>
        </w:rPr>
        <w:t xml:space="preserve">A pessoa que opera a rede será avisada no instante em que o incidente abrir, antes dos agentes </w:t>
      </w:r>
      <w:r>
        <w:rPr>
          <w:rFonts w:cs="Times;Sylfaen" w:ascii="Times;Sylfaen" w:hAnsi="Times;Sylfaen"/>
          <w:highlight w:val="yellow"/>
        </w:rPr>
        <w:t xml:space="preserve">[a implementar no modo ao vivo da interface]</w:t>
      </w:r>
      <w:r>
        <w:rPr>
          <w:rFonts w:cs="Times;Sylfaen" w:ascii="Times;Sylfaen" w:hAnsi="Times;Sylfaen"/>
        </w:rPr>
        <w:t xml:space="preserve">, e pode marcar o incidente como já resolvido. A marca é o evento incidente_marcado_resolvido, gravado hoje pelo comando de aprovação e, mais adiante, pelo botão "Já resolvido" da interface, com o canal e o usuário. Daí em diante o servidor recusa qualquer proposta do incidente e a execução das propostas dele, inclusive as já aprovadas, e o comando de aprovação recusa aprovar as pendentes; o que já estava aplicado pode ser desfeito, e o agente de decisão, que vê a marca no resumo, só explica o incidente. O log grava o instante de cada etapa, da janela à verificação (Figura 2), o que permite medir o tempo entre detecção e remediação, com e sem intervenção humana. Do lado da detecção, a janela de 100 quadros fecha, na mediana, em 5 ms em DDoS e DoS e entre 1,3 s e 2,5 s em Recon, BruteForce e Web. No modelo do sistema, que ocupa 365,6 MB em disco, o dobro do de 10/10, a classificação de uma janela isolada leva 1,68 ms na mediana e 1,79 ms no p95, num núcleo, da linha do extrator à probabilidade, e um lote de 1.000 janelas, 8,6 ms. O processo com o modelo carregado ocupa cerca de 900 MB de memória. O extrator lê cerca de 151 mil quadros por segundo, e o reprodutor inteiro, com a classificação e a política de acionamento, 143 mil, também num núcleo, num MacBook Pro M5 com 16 GB. No modelo de 10/10, a janela levava 1,6 ms.</w:t>
      </w:r>
    </w:p>
    <w:p>
      <w:pPr>
        <w:pStyle w:val="Normal"/>
        <w:tabs>
          <w:tab w:val="clear" w:pos="708"/>
          <w:tab w:val="left" w:pos="720" w:leader="none"/>
        </w:tabs>
        <w:spacing w:before="120" w:after="0"/>
        <w:ind w:firstLine="708" w:end="0"/>
        <w:jc w:val="both"/>
      </w:pPr>
      <w:r>
        <w:rPr>
          <w:rFonts w:cs="Times;Sylfaen" w:ascii="Times;Sylfaen" w:hAnsi="Times;Sylfaen"/>
        </w:rPr>
        <w:t xml:space="preserve">O laço dos agentes e o cliente MCP são testados contra esse mesmo servidor, o stub do repositório, aberto por stdio em outro processo, com um provedor de modelo simulado no lugar do LLM. Os testes automatizados conferem que cada agente só enxerga as tools da sua linha, que a recusa de uma tool volta ao agente como erro sem derrubar o servidor e que cada chamada fica no log com o nome do agente (OLIVEIRA et al., 2026).</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1: diagrama da arquitetura (captura, extrator, classificador, servidor MCP, agentes e interface). FIGURA 2: fluxo de um incidente com os instantes medidos.]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3.6 Avaliação da PoC e dos agentes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Cenários: DDoS, varredura de portas e força bruta, reproduzidos a partir dos pcaps do CICIoT2023. Comparações: a saída isolada do classificador contra a saída integrada, com os agentes, no mesmo incidente, como previa o TCC I; e as três configurações dos agentes (tudo local, tudo na nuvem e híbrida). Medidas: qualidade da recomendação; tokens e custo por incidente; tempo entre a abertura do incidente e a remediação, com e sem a marca de já resolvido; e propostas aprovadas, rejeitadas e desfeitas. A qualidade da recomendação é a porcentagem de incidentes com uma ação aceitável no alvo certo, conferida contra um gabarito por categoria fixado no repositório antes da primeira rodada. O gabarito diz que ações do catálogo são aceitáveis em cada categoria e em que alvo, e o alvo é conferido com os atacantes do dataset, identificados pelo MAC. O acerto da triagem vem ao lado, e uma rubrica de 1 a 5 (adequação, alvo, proporcionalidade e justificativa) avalia uma amostra de 9 casos, um por cenário e configuração, para cobrir a justificativa, que a conferência automática não vê. Nos experimentos, as propostas de risco alto passam por um aprovador automático com regra fixa [a implementar]: ele aprova a proposta que o gabarito aceita e rejeita as demais, inclusive a ação nova, contada à parte. Isso inclui todo bloqueio de atacante, porque os atacantes do dataset estão numa rede que a política trata como local. O tempo até a remediação é relatado em duas partes, a detecção (da primeira janela do ataque à abertura do incidente) e os agentes (da abertura à execução), sem o tempo de uma pessoa aprovar. A aprovação por uma pessoa aparece só na demonstração. Segurança do MCP: o teste de tool poisoning [a escrever], se couber antes da submissão (seção 4.2).</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4. Resultados e discussão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4.1 Resultados</w:t>
      </w:r>
    </w:p>
    <w:p>
      <w:pPr>
        <w:pStyle w:val="Normal"/>
        <w:tabs>
          <w:tab w:val="clear" w:pos="708"/>
          <w:tab w:val="left" w:pos="720" w:leader="none"/>
        </w:tabs>
        <w:spacing w:before="120" w:after="0"/>
        <w:ind w:firstLine="708" w:end="0"/>
        <w:jc w:val="both"/>
      </w:pPr>
      <w:r>
        <w:rPr>
          <w:rFonts w:cs="Times;Sylfaen" w:ascii="Times;Sylfaen" w:hAnsi="Times;Sylfaen"/>
        </w:rPr>
        <w:t xml:space="preserve">A Tabela 1 é o resultado principal: o modelo do sistema no ponto de operação, que na validação foi o argmax, com N = 3, no corte por tempo, com o recall com o pcap inteiro fora do treino ao lado. A Tabela 2 traz o alarme falso com cada pcap benigno fora do treino.</w:t>
      </w:r>
    </w:p>
    <w:p>
      <w:pPr>
        <w:pStyle w:val="Normal"/>
        <w:keepNext w:val="true"/>
        <w:spacing w:before="240" w:after="120"/>
        <w:jc w:val="both"/>
      </w:pPr>
      <w:r>
        <w:rPr>
          <w:rFonts w:cs="Times;Sylfaen" w:ascii="Times;Sylfaen" w:hAnsi="Times;Sylfaen"/>
          <w:b/>
          <w:bCs/>
          <w:sz w:val="20"/>
          <w:szCs w:val="20"/>
        </w:rPr>
        <w:t xml:space="preserve">Tabela 1.</w:t>
      </w:r>
      <w:r>
        <w:rPr>
          <w:rFonts w:cs="Times;Sylfaen" w:ascii="Times;Sylfaen" w:hAnsi="Times;Sylfaen"/>
          <w:sz w:val="20"/>
          <w:szCs w:val="20"/>
        </w:rPr>
        <w:t xml:space="preserve"> Modelo do sistema por categoria. Precisão, recall e F1 no corte por tempo, no ponto de operação, na média das sementes 42, 1 e 2; janelas de teste da semente 42. Recall com o pcap fora: cada pcap sai inteiro do treino, um por vez, e é medido nas suas janelas de teste, somando os pcaps da categoria, com a categoria mais provável; em DDoS+DoS, quatro pcaps foram retirados.</w:t>
      </w:r>
    </w:p>
    <w:tbl>
      <w:tblPr>
        <w:tblW w:w="9354" w:type="dxa"/>
        <w:jc w:val="center"/>
        <w:tblBorders>
          <w:top w:val="single" w:sz="8" w:space="0" w:color="000000"/>
          <w:bottom w:val="single" w:sz="8" w:space="0" w:color="000000"/>
        </w:tblBorders>
        <w:tblLayout w:type="fixed"/>
        <w:tblCellMar>
          <w:left w:w="57" w:type="dxa"/>
          <w:right w:w="57" w:type="dxa"/>
        </w:tblCellMar>
        <w:tblLook w:val="0000"/>
      </w:tblPr>
      <w:tblGrid>
        <w:gridCol w:w="1500"/>
        <w:gridCol w:w="1250"/>
        <w:gridCol w:w="1050"/>
        <w:gridCol w:w="1000"/>
        <w:gridCol w:w="950"/>
        <w:gridCol w:w="3604"/>
      </w:tblGrid>
      <w:tr>
        <w:trPr>
          <w:cantSplit/>
          <w:tblHeader/>
        </w:trPr>
        <w:tc>
          <w:tcPr>
            <w:tcW w:w="1500" w:type="dxa"/>
            <w:tcBorders>
              <w:bottom w:val="single" w:sz="8" w:space="0" w:color="000000"/>
            </w:tcBorders>
            <w:vAlign w:val="center"/>
          </w:tcPr>
          <w:p>
            <w:pPr>
              <w:pStyle w:val="Normal"/>
              <w:spacing w:before="20" w:after="20"/>
              <w:jc w:val="left"/>
            </w:pPr>
            <w:r>
              <w:rPr>
                <w:rFonts w:cs="Times;Sylfaen" w:ascii="Times;Sylfaen" w:hAnsi="Times;Sylfaen"/>
                <w:b/>
                <w:bCs/>
                <w:sz w:val="20"/>
                <w:szCs w:val="20"/>
              </w:rPr>
              <w:t xml:space="preserve">Categoria</w:t>
            </w:r>
          </w:p>
        </w:tc>
        <w:tc>
          <w:tcPr>
            <w:tcW w:w="12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Janelas de teste</w:t>
            </w:r>
          </w:p>
        </w:tc>
        <w:tc>
          <w:tcPr>
            <w:tcW w:w="10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Precisão</w:t>
            </w:r>
          </w:p>
        </w:tc>
        <w:tc>
          <w:tcPr>
            <w:tcW w:w="10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Recall</w:t>
            </w:r>
          </w:p>
        </w:tc>
        <w:tc>
          <w:tcPr>
            <w:tcW w:w="9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F1</w:t>
            </w:r>
          </w:p>
        </w:tc>
        <w:tc>
          <w:tcPr>
            <w:tcW w:w="3604"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Recall com o pcap fora do treino</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DDoS+DoS</w:t>
            </w:r>
          </w:p>
        </w:tc>
        <w:tc>
          <w:tcPr>
            <w:tcW w:w="1250" w:type="dxa"/>
            <w:vAlign w:val="center"/>
          </w:tcPr>
          <w:p>
            <w:pPr>
              <w:pStyle w:val="Normal"/>
              <w:spacing w:before="20" w:after="20"/>
              <w:jc w:val="center"/>
            </w:pPr>
            <w:r>
              <w:rPr>
                <w:rFonts w:cs="Times;Sylfaen" w:ascii="Times;Sylfaen" w:hAnsi="Times;Sylfaen"/>
                <w:sz w:val="20"/>
                <w:szCs w:val="20"/>
              </w:rPr>
              <w:t xml:space="preserve">214.373</w:t>
            </w:r>
          </w:p>
        </w:tc>
        <w:tc>
          <w:tcPr>
            <w:tcW w:w="1050" w:type="dxa"/>
            <w:vAlign w:val="center"/>
          </w:tcPr>
          <w:p>
            <w:pPr>
              <w:pStyle w:val="Normal"/>
              <w:spacing w:before="20" w:after="20"/>
              <w:jc w:val="center"/>
            </w:pPr>
            <w:r>
              <w:rPr>
                <w:rFonts w:cs="Times;Sylfaen" w:ascii="Times;Sylfaen" w:hAnsi="Times;Sylfaen"/>
                <w:sz w:val="20"/>
                <w:szCs w:val="20"/>
              </w:rPr>
              <w:t xml:space="preserve">99,8%</w:t>
            </w:r>
          </w:p>
        </w:tc>
        <w:tc>
          <w:tcPr>
            <w:tcW w:w="1000" w:type="dxa"/>
            <w:vAlign w:val="center"/>
          </w:tcPr>
          <w:p>
            <w:pPr>
              <w:pStyle w:val="Normal"/>
              <w:spacing w:before="20" w:after="20"/>
              <w:jc w:val="center"/>
            </w:pPr>
            <w:r>
              <w:rPr>
                <w:rFonts w:cs="Times;Sylfaen" w:ascii="Times;Sylfaen" w:hAnsi="Times;Sylfaen"/>
                <w:sz w:val="20"/>
                <w:szCs w:val="20"/>
              </w:rPr>
              <w:t xml:space="preserve">98,4%</w:t>
            </w:r>
          </w:p>
        </w:tc>
        <w:tc>
          <w:tcPr>
            <w:tcW w:w="950" w:type="dxa"/>
            <w:vAlign w:val="center"/>
          </w:tcPr>
          <w:p>
            <w:pPr>
              <w:pStyle w:val="Normal"/>
              <w:spacing w:before="20" w:after="20"/>
              <w:jc w:val="center"/>
            </w:pPr>
            <w:r>
              <w:rPr>
                <w:rFonts w:cs="Times;Sylfaen" w:ascii="Times;Sylfaen" w:hAnsi="Times;Sylfaen"/>
                <w:sz w:val="20"/>
                <w:szCs w:val="20"/>
              </w:rPr>
              <w:t xml:space="preserve">99,1%</w:t>
            </w:r>
          </w:p>
        </w:tc>
        <w:tc>
          <w:tcPr>
            <w:tcW w:w="3604" w:type="dxa"/>
            <w:vAlign w:val="center"/>
          </w:tcPr>
          <w:p>
            <w:pPr>
              <w:pStyle w:val="Normal"/>
              <w:spacing w:before="20" w:after="20"/>
              <w:jc w:val="center"/>
            </w:pPr>
            <w:r>
              <w:rPr>
                <w:rFonts w:cs="Times;Sylfaen" w:ascii="Times;Sylfaen" w:hAnsi="Times;Sylfaen"/>
                <w:sz w:val="20"/>
                <w:szCs w:val="20"/>
              </w:rPr>
              <w:t xml:space="preserve">74,2%</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Mirai</w:t>
            </w:r>
          </w:p>
        </w:tc>
        <w:tc>
          <w:tcPr>
            <w:tcW w:w="1250" w:type="dxa"/>
            <w:vAlign w:val="center"/>
          </w:tcPr>
          <w:p>
            <w:pPr>
              <w:pStyle w:val="Normal"/>
              <w:spacing w:before="20" w:after="20"/>
              <w:jc w:val="center"/>
            </w:pPr>
            <w:r>
              <w:rPr>
                <w:rFonts w:cs="Times;Sylfaen" w:ascii="Times;Sylfaen" w:hAnsi="Times;Sylfaen"/>
                <w:sz w:val="20"/>
                <w:szCs w:val="20"/>
              </w:rPr>
              <w:t xml:space="preserve">24.458</w:t>
            </w:r>
          </w:p>
        </w:tc>
        <w:tc>
          <w:tcPr>
            <w:tcW w:w="1050" w:type="dxa"/>
            <w:vAlign w:val="center"/>
          </w:tcPr>
          <w:p>
            <w:pPr>
              <w:pStyle w:val="Normal"/>
              <w:spacing w:before="20" w:after="20"/>
              <w:jc w:val="center"/>
            </w:pPr>
            <w:r>
              <w:rPr>
                <w:rFonts w:cs="Times;Sylfaen" w:ascii="Times;Sylfaen" w:hAnsi="Times;Sylfaen"/>
                <w:sz w:val="20"/>
                <w:szCs w:val="20"/>
              </w:rPr>
              <w:t xml:space="preserve">100,0%</w:t>
            </w:r>
          </w:p>
        </w:tc>
        <w:tc>
          <w:tcPr>
            <w:tcW w:w="1000" w:type="dxa"/>
            <w:vAlign w:val="center"/>
          </w:tcPr>
          <w:p>
            <w:pPr>
              <w:pStyle w:val="Normal"/>
              <w:spacing w:before="20" w:after="20"/>
              <w:jc w:val="center"/>
            </w:pPr>
            <w:r>
              <w:rPr>
                <w:rFonts w:cs="Times;Sylfaen" w:ascii="Times;Sylfaen" w:hAnsi="Times;Sylfaen"/>
                <w:sz w:val="20"/>
                <w:szCs w:val="20"/>
              </w:rPr>
              <w:t xml:space="preserve">99,2%</w:t>
            </w:r>
          </w:p>
        </w:tc>
        <w:tc>
          <w:tcPr>
            <w:tcW w:w="950" w:type="dxa"/>
            <w:vAlign w:val="center"/>
          </w:tcPr>
          <w:p>
            <w:pPr>
              <w:pStyle w:val="Normal"/>
              <w:spacing w:before="20" w:after="20"/>
              <w:jc w:val="center"/>
            </w:pPr>
            <w:r>
              <w:rPr>
                <w:rFonts w:cs="Times;Sylfaen" w:ascii="Times;Sylfaen" w:hAnsi="Times;Sylfaen"/>
                <w:sz w:val="20"/>
                <w:szCs w:val="20"/>
              </w:rPr>
              <w:t xml:space="preserve">99,6%</w:t>
            </w:r>
          </w:p>
        </w:tc>
        <w:tc>
          <w:tcPr>
            <w:tcW w:w="3604" w:type="dxa"/>
            <w:vAlign w:val="center"/>
          </w:tcPr>
          <w:p>
            <w:pPr>
              <w:pStyle w:val="Normal"/>
              <w:spacing w:before="20" w:after="20"/>
              <w:jc w:val="center"/>
            </w:pPr>
            <w:r>
              <w:rPr>
                <w:rFonts w:cs="Times;Sylfaen" w:ascii="Times;Sylfaen" w:hAnsi="Times;Sylfaen"/>
                <w:sz w:val="20"/>
                <w:szCs w:val="20"/>
              </w:rPr>
              <w:t xml:space="preserve">55,3%</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Recon</w:t>
            </w:r>
          </w:p>
        </w:tc>
        <w:tc>
          <w:tcPr>
            <w:tcW w:w="1250" w:type="dxa"/>
            <w:vAlign w:val="center"/>
          </w:tcPr>
          <w:p>
            <w:pPr>
              <w:pStyle w:val="Normal"/>
              <w:spacing w:before="20" w:after="20"/>
              <w:jc w:val="center"/>
            </w:pPr>
            <w:r>
              <w:rPr>
                <w:rFonts w:cs="Times;Sylfaen" w:ascii="Times;Sylfaen" w:hAnsi="Times;Sylfaen"/>
                <w:sz w:val="20"/>
                <w:szCs w:val="20"/>
              </w:rPr>
              <w:t xml:space="preserve">10.982</w:t>
            </w:r>
          </w:p>
        </w:tc>
        <w:tc>
          <w:tcPr>
            <w:tcW w:w="1050" w:type="dxa"/>
            <w:vAlign w:val="center"/>
          </w:tcPr>
          <w:p>
            <w:pPr>
              <w:pStyle w:val="Normal"/>
              <w:spacing w:before="20" w:after="20"/>
              <w:jc w:val="center"/>
            </w:pPr>
            <w:r>
              <w:rPr>
                <w:rFonts w:cs="Times;Sylfaen" w:ascii="Times;Sylfaen" w:hAnsi="Times;Sylfaen"/>
                <w:sz w:val="20"/>
                <w:szCs w:val="20"/>
              </w:rPr>
              <w:t xml:space="preserve">85,7%</w:t>
            </w:r>
          </w:p>
        </w:tc>
        <w:tc>
          <w:tcPr>
            <w:tcW w:w="1000" w:type="dxa"/>
            <w:vAlign w:val="center"/>
          </w:tcPr>
          <w:p>
            <w:pPr>
              <w:pStyle w:val="Normal"/>
              <w:spacing w:before="20" w:after="20"/>
              <w:jc w:val="center"/>
            </w:pPr>
            <w:r>
              <w:rPr>
                <w:rFonts w:cs="Times;Sylfaen" w:ascii="Times;Sylfaen" w:hAnsi="Times;Sylfaen"/>
                <w:sz w:val="20"/>
                <w:szCs w:val="20"/>
              </w:rPr>
              <w:t xml:space="preserve">55,0%</w:t>
            </w:r>
          </w:p>
        </w:tc>
        <w:tc>
          <w:tcPr>
            <w:tcW w:w="950" w:type="dxa"/>
            <w:vAlign w:val="center"/>
          </w:tcPr>
          <w:p>
            <w:pPr>
              <w:pStyle w:val="Normal"/>
              <w:spacing w:before="20" w:after="20"/>
              <w:jc w:val="center"/>
            </w:pPr>
            <w:r>
              <w:rPr>
                <w:rFonts w:cs="Times;Sylfaen" w:ascii="Times;Sylfaen" w:hAnsi="Times;Sylfaen"/>
                <w:sz w:val="20"/>
                <w:szCs w:val="20"/>
              </w:rPr>
              <w:t xml:space="preserve">67,0%</w:t>
            </w:r>
          </w:p>
        </w:tc>
        <w:tc>
          <w:tcPr>
            <w:tcW w:w="3604" w:type="dxa"/>
            <w:vAlign w:val="center"/>
          </w:tcPr>
          <w:p>
            <w:pPr>
              <w:pStyle w:val="Normal"/>
              <w:spacing w:before="20" w:after="20"/>
              <w:jc w:val="center"/>
            </w:pPr>
            <w:r>
              <w:rPr>
                <w:rFonts w:cs="Times;Sylfaen" w:ascii="Times;Sylfaen" w:hAnsi="Times;Sylfaen"/>
                <w:sz w:val="20"/>
                <w:szCs w:val="20"/>
              </w:rPr>
              <w:t xml:space="preserve">24,9%</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Spoofing</w:t>
            </w:r>
          </w:p>
        </w:tc>
        <w:tc>
          <w:tcPr>
            <w:tcW w:w="1250" w:type="dxa"/>
            <w:vAlign w:val="center"/>
          </w:tcPr>
          <w:p>
            <w:pPr>
              <w:pStyle w:val="Normal"/>
              <w:spacing w:before="20" w:after="20"/>
              <w:jc w:val="center"/>
            </w:pPr>
            <w:r>
              <w:rPr>
                <w:rFonts w:cs="Times;Sylfaen" w:ascii="Times;Sylfaen" w:hAnsi="Times;Sylfaen"/>
                <w:sz w:val="20"/>
                <w:szCs w:val="20"/>
              </w:rPr>
              <w:t xml:space="preserve">7.007</w:t>
            </w:r>
          </w:p>
        </w:tc>
        <w:tc>
          <w:tcPr>
            <w:tcW w:w="1050" w:type="dxa"/>
            <w:vAlign w:val="center"/>
          </w:tcPr>
          <w:p>
            <w:pPr>
              <w:pStyle w:val="Normal"/>
              <w:spacing w:before="20" w:after="20"/>
              <w:jc w:val="center"/>
            </w:pPr>
            <w:r>
              <w:rPr>
                <w:rFonts w:cs="Times;Sylfaen" w:ascii="Times;Sylfaen" w:hAnsi="Times;Sylfaen"/>
                <w:sz w:val="20"/>
                <w:szCs w:val="20"/>
              </w:rPr>
              <w:t xml:space="preserve">99,9%</w:t>
            </w:r>
          </w:p>
        </w:tc>
        <w:tc>
          <w:tcPr>
            <w:tcW w:w="1000" w:type="dxa"/>
            <w:vAlign w:val="center"/>
          </w:tcPr>
          <w:p>
            <w:pPr>
              <w:pStyle w:val="Normal"/>
              <w:spacing w:before="20" w:after="20"/>
              <w:jc w:val="center"/>
            </w:pPr>
            <w:r>
              <w:rPr>
                <w:rFonts w:cs="Times;Sylfaen" w:ascii="Times;Sylfaen" w:hAnsi="Times;Sylfaen"/>
                <w:sz w:val="20"/>
                <w:szCs w:val="20"/>
              </w:rPr>
              <w:t xml:space="preserve">79,9%</w:t>
            </w:r>
          </w:p>
        </w:tc>
        <w:tc>
          <w:tcPr>
            <w:tcW w:w="950" w:type="dxa"/>
            <w:vAlign w:val="center"/>
          </w:tcPr>
          <w:p>
            <w:pPr>
              <w:pStyle w:val="Normal"/>
              <w:spacing w:before="20" w:after="20"/>
              <w:jc w:val="center"/>
            </w:pPr>
            <w:r>
              <w:rPr>
                <w:rFonts w:cs="Times;Sylfaen" w:ascii="Times;Sylfaen" w:hAnsi="Times;Sylfaen"/>
                <w:sz w:val="20"/>
                <w:szCs w:val="20"/>
              </w:rPr>
              <w:t xml:space="preserve">88,8%</w:t>
            </w:r>
          </w:p>
        </w:tc>
        <w:tc>
          <w:tcPr>
            <w:tcW w:w="3604" w:type="dxa"/>
            <w:vAlign w:val="center"/>
          </w:tcPr>
          <w:p>
            <w:pPr>
              <w:pStyle w:val="Normal"/>
              <w:spacing w:before="20" w:after="20"/>
              <w:jc w:val="center"/>
            </w:pPr>
            <w:r>
              <w:rPr>
                <w:rFonts w:cs="Times;Sylfaen" w:ascii="Times;Sylfaen" w:hAnsi="Times;Sylfaen"/>
                <w:sz w:val="20"/>
                <w:szCs w:val="20"/>
              </w:rPr>
              <w:t xml:space="preserve">63,0%</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Web</w:t>
            </w:r>
          </w:p>
        </w:tc>
        <w:tc>
          <w:tcPr>
            <w:tcW w:w="1250" w:type="dxa"/>
            <w:vAlign w:val="center"/>
          </w:tcPr>
          <w:p>
            <w:pPr>
              <w:pStyle w:val="Normal"/>
              <w:spacing w:before="20" w:after="20"/>
              <w:jc w:val="center"/>
            </w:pPr>
            <w:r>
              <w:rPr>
                <w:rFonts w:cs="Times;Sylfaen" w:ascii="Times;Sylfaen" w:hAnsi="Times;Sylfaen"/>
                <w:sz w:val="20"/>
                <w:szCs w:val="20"/>
              </w:rPr>
              <w:t xml:space="preserve">465</w:t>
            </w:r>
          </w:p>
        </w:tc>
        <w:tc>
          <w:tcPr>
            <w:tcW w:w="1050" w:type="dxa"/>
            <w:vAlign w:val="center"/>
          </w:tcPr>
          <w:p>
            <w:pPr>
              <w:pStyle w:val="Normal"/>
              <w:spacing w:before="20" w:after="20"/>
              <w:jc w:val="center"/>
            </w:pPr>
            <w:r>
              <w:rPr>
                <w:rFonts w:cs="Times;Sylfaen" w:ascii="Times;Sylfaen" w:hAnsi="Times;Sylfaen"/>
                <w:sz w:val="20"/>
                <w:szCs w:val="20"/>
              </w:rPr>
              <w:t xml:space="preserve">67,4%</w:t>
            </w:r>
          </w:p>
        </w:tc>
        <w:tc>
          <w:tcPr>
            <w:tcW w:w="1000" w:type="dxa"/>
            <w:vAlign w:val="center"/>
          </w:tcPr>
          <w:p>
            <w:pPr>
              <w:pStyle w:val="Normal"/>
              <w:spacing w:before="20" w:after="20"/>
              <w:jc w:val="center"/>
            </w:pPr>
            <w:r>
              <w:rPr>
                <w:rFonts w:cs="Times;Sylfaen" w:ascii="Times;Sylfaen" w:hAnsi="Times;Sylfaen"/>
                <w:sz w:val="20"/>
                <w:szCs w:val="20"/>
              </w:rPr>
              <w:t xml:space="preserve">35,1%</w:t>
            </w:r>
          </w:p>
        </w:tc>
        <w:tc>
          <w:tcPr>
            <w:tcW w:w="950" w:type="dxa"/>
            <w:vAlign w:val="center"/>
          </w:tcPr>
          <w:p>
            <w:pPr>
              <w:pStyle w:val="Normal"/>
              <w:spacing w:before="20" w:after="20"/>
              <w:jc w:val="center"/>
            </w:pPr>
            <w:r>
              <w:rPr>
                <w:rFonts w:cs="Times;Sylfaen" w:ascii="Times;Sylfaen" w:hAnsi="Times;Sylfaen"/>
                <w:sz w:val="20"/>
                <w:szCs w:val="20"/>
              </w:rPr>
              <w:t xml:space="preserve">46,2%</w:t>
            </w:r>
          </w:p>
        </w:tc>
        <w:tc>
          <w:tcPr>
            <w:tcW w:w="3604" w:type="dxa"/>
            <w:vAlign w:val="center"/>
          </w:tcPr>
          <w:p>
            <w:pPr>
              <w:pStyle w:val="Normal"/>
              <w:spacing w:before="20" w:after="20"/>
              <w:jc w:val="center"/>
            </w:pPr>
            <w:r>
              <w:rPr>
                <w:rFonts w:cs="Times;Sylfaen" w:ascii="Times;Sylfaen" w:hAnsi="Times;Sylfaen"/>
                <w:sz w:val="20"/>
                <w:szCs w:val="20"/>
              </w:rPr>
              <w:t xml:space="preserve">29,4% (51,8% vistas como algum ataque)</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BruteForce</w:t>
            </w:r>
          </w:p>
        </w:tc>
        <w:tc>
          <w:tcPr>
            <w:tcW w:w="1250" w:type="dxa"/>
            <w:vAlign w:val="center"/>
          </w:tcPr>
          <w:p>
            <w:pPr>
              <w:pStyle w:val="Normal"/>
              <w:spacing w:before="20" w:after="20"/>
              <w:jc w:val="center"/>
            </w:pPr>
            <w:r>
              <w:rPr>
                <w:rFonts w:cs="Times;Sylfaen" w:ascii="Times;Sylfaen" w:hAnsi="Times;Sylfaen"/>
                <w:sz w:val="20"/>
                <w:szCs w:val="20"/>
              </w:rPr>
              <w:t xml:space="preserve">273</w:t>
            </w:r>
          </w:p>
        </w:tc>
        <w:tc>
          <w:tcPr>
            <w:tcW w:w="1050" w:type="dxa"/>
            <w:vAlign w:val="center"/>
          </w:tcPr>
          <w:p>
            <w:pPr>
              <w:pStyle w:val="Normal"/>
              <w:spacing w:before="20" w:after="20"/>
              <w:jc w:val="center"/>
            </w:pPr>
            <w:r>
              <w:rPr>
                <w:rFonts w:cs="Times;Sylfaen" w:ascii="Times;Sylfaen" w:hAnsi="Times;Sylfaen"/>
                <w:sz w:val="20"/>
                <w:szCs w:val="20"/>
              </w:rPr>
              <w:t xml:space="preserve">98,6%</w:t>
            </w:r>
          </w:p>
        </w:tc>
        <w:tc>
          <w:tcPr>
            <w:tcW w:w="1000" w:type="dxa"/>
            <w:vAlign w:val="center"/>
          </w:tcPr>
          <w:p>
            <w:pPr>
              <w:pStyle w:val="Normal"/>
              <w:spacing w:before="20" w:after="20"/>
              <w:jc w:val="center"/>
            </w:pPr>
            <w:r>
              <w:rPr>
                <w:rFonts w:cs="Times;Sylfaen" w:ascii="Times;Sylfaen" w:hAnsi="Times;Sylfaen"/>
                <w:sz w:val="20"/>
                <w:szCs w:val="20"/>
              </w:rPr>
              <w:t xml:space="preserve">34,4%</w:t>
            </w:r>
          </w:p>
        </w:tc>
        <w:tc>
          <w:tcPr>
            <w:tcW w:w="950" w:type="dxa"/>
            <w:vAlign w:val="center"/>
          </w:tcPr>
          <w:p>
            <w:pPr>
              <w:pStyle w:val="Normal"/>
              <w:spacing w:before="20" w:after="20"/>
              <w:jc w:val="center"/>
            </w:pPr>
            <w:r>
              <w:rPr>
                <w:rFonts w:cs="Times;Sylfaen" w:ascii="Times;Sylfaen" w:hAnsi="Times;Sylfaen"/>
                <w:sz w:val="20"/>
                <w:szCs w:val="20"/>
              </w:rPr>
              <w:t xml:space="preserve">51,0%</w:t>
            </w:r>
          </w:p>
        </w:tc>
        <w:tc>
          <w:tcPr>
            <w:tcW w:w="3604" w:type="dxa"/>
            <w:vAlign w:val="center"/>
          </w:tcPr>
          <w:p>
            <w:pPr>
              <w:pStyle w:val="Normal"/>
              <w:spacing w:before="20" w:after="20"/>
              <w:jc w:val="center"/>
            </w:pPr>
            <w:r>
              <w:rPr>
                <w:rFonts w:cs="Times;Sylfaen" w:ascii="Times;Sylfaen" w:hAnsi="Times;Sylfaen"/>
                <w:sz w:val="20"/>
                <w:szCs w:val="20"/>
              </w:rPr>
              <w:t xml:space="preserve">0,0% (um pcap só; 56,9% vistas como algum ataque)</w:t>
            </w:r>
          </w:p>
        </w:tc>
      </w:tr>
      <w:tr>
        <w:trPr>
          <w:cantSplit/>
        </w:trPr>
        <w:tc>
          <w:tcPr>
            <w:tcW w:w="1500" w:type="dxa"/>
            <w:vAlign w:val="center"/>
          </w:tcPr>
          <w:p>
            <w:pPr>
              <w:pStyle w:val="Normal"/>
              <w:spacing w:before="20" w:after="20"/>
              <w:jc w:val="left"/>
            </w:pPr>
            <w:r>
              <w:rPr>
                <w:rFonts w:cs="Times;Sylfaen" w:ascii="Times;Sylfaen" w:hAnsi="Times;Sylfaen"/>
                <w:sz w:val="20"/>
                <w:szCs w:val="20"/>
              </w:rPr>
              <w:t xml:space="preserve">Benign</w:t>
            </w:r>
          </w:p>
        </w:tc>
        <w:tc>
          <w:tcPr>
            <w:tcW w:w="1250" w:type="dxa"/>
            <w:vAlign w:val="center"/>
          </w:tcPr>
          <w:p>
            <w:pPr>
              <w:pStyle w:val="Normal"/>
              <w:spacing w:before="20" w:after="20"/>
              <w:jc w:val="center"/>
            </w:pPr>
            <w:r>
              <w:rPr>
                <w:rFonts w:cs="Times;Sylfaen" w:ascii="Times;Sylfaen" w:hAnsi="Times;Sylfaen"/>
                <w:sz w:val="20"/>
                <w:szCs w:val="20"/>
              </w:rPr>
              <w:t xml:space="preserve">16.008</w:t>
            </w:r>
          </w:p>
        </w:tc>
        <w:tc>
          <w:tcPr>
            <w:tcW w:w="1050" w:type="dxa"/>
            <w:vAlign w:val="center"/>
          </w:tcPr>
          <w:p>
            <w:pPr>
              <w:pStyle w:val="Normal"/>
              <w:spacing w:before="20" w:after="20"/>
              <w:jc w:val="center"/>
            </w:pPr>
            <w:r>
              <w:rPr>
                <w:rFonts w:cs="Times;Sylfaen" w:ascii="Times;Sylfaen" w:hAnsi="Times;Sylfaen"/>
                <w:sz w:val="20"/>
                <w:szCs w:val="20"/>
              </w:rPr>
              <w:t xml:space="preserve">63,3%</w:t>
            </w:r>
          </w:p>
        </w:tc>
        <w:tc>
          <w:tcPr>
            <w:tcW w:w="1000" w:type="dxa"/>
            <w:vAlign w:val="center"/>
          </w:tcPr>
          <w:p>
            <w:pPr>
              <w:pStyle w:val="Normal"/>
              <w:spacing w:before="20" w:after="20"/>
              <w:jc w:val="center"/>
            </w:pPr>
            <w:r>
              <w:rPr>
                <w:rFonts w:cs="Times;Sylfaen" w:ascii="Times;Sylfaen" w:hAnsi="Times;Sylfaen"/>
                <w:sz w:val="20"/>
                <w:szCs w:val="20"/>
              </w:rPr>
              <w:t xml:space="preserve">99,1%</w:t>
            </w:r>
          </w:p>
        </w:tc>
        <w:tc>
          <w:tcPr>
            <w:tcW w:w="950" w:type="dxa"/>
            <w:vAlign w:val="center"/>
          </w:tcPr>
          <w:p>
            <w:pPr>
              <w:pStyle w:val="Normal"/>
              <w:spacing w:before="20" w:after="20"/>
              <w:jc w:val="center"/>
            </w:pPr>
            <w:r>
              <w:rPr>
                <w:rFonts w:cs="Times;Sylfaen" w:ascii="Times;Sylfaen" w:hAnsi="Times;Sylfaen"/>
                <w:sz w:val="20"/>
                <w:szCs w:val="20"/>
              </w:rPr>
              <w:t xml:space="preserve">77,3%</w:t>
            </w:r>
          </w:p>
        </w:tc>
        <w:tc>
          <w:tcPr>
            <w:tcW w:w="3604" w:type="dxa"/>
            <w:vAlign w:val="center"/>
          </w:tcPr>
          <w:p>
            <w:pPr>
              <w:pStyle w:val="Normal"/>
              <w:spacing w:before="20" w:after="20"/>
              <w:jc w:val="center"/>
            </w:pPr>
            <w:r>
              <w:rPr>
                <w:rFonts w:cs="Times;Sylfaen" w:ascii="Times;Sylfaen" w:hAnsi="Times;Sylfaen"/>
                <w:sz w:val="20"/>
                <w:szCs w:val="20"/>
              </w:rPr>
              <w:t xml:space="preserve">Tabela 2</w:t>
            </w:r>
          </w:p>
        </w:tc>
      </w:tr>
    </w:tbl>
    <w:p>
      <w:pPr>
        <w:pStyle w:val="Normal"/>
        <w:keepNext w:val="true"/>
        <w:spacing w:before="240" w:after="120"/>
        <w:jc w:val="both"/>
      </w:pPr>
      <w:r>
        <w:rPr>
          <w:rFonts w:cs="Times;Sylfaen" w:ascii="Times;Sylfaen" w:hAnsi="Times;Sylfaen"/>
          <w:b/>
          <w:bCs/>
          <w:sz w:val="20"/>
          <w:szCs w:val="20"/>
        </w:rPr>
        <w:t xml:space="preserve">Tabela 2.</w:t>
      </w:r>
      <w:r>
        <w:rPr>
          <w:rFonts w:cs="Times;Sylfaen" w:ascii="Times;Sylfaen" w:hAnsi="Times;Sylfaen"/>
          <w:sz w:val="20"/>
          <w:szCs w:val="20"/>
        </w:rPr>
        <w:t xml:space="preserve"> Benigno classificado como ataque com cada pcap benigno fora do treino, um por vez, no ponto de operação escolhido na validação de cada rotação, na média das sementes 42, 1 e 2, e os alarmes com 3 janelas seguidas. A hora é a soma da duração das janelas do pcap.</w:t>
      </w:r>
    </w:p>
    <w:tbl>
      <w:tblPr>
        <w:tblW w:w="9354" w:type="dxa"/>
        <w:jc w:val="center"/>
        <w:tblBorders>
          <w:top w:val="single" w:sz="8" w:space="0" w:color="000000"/>
          <w:bottom w:val="single" w:sz="8" w:space="0" w:color="000000"/>
        </w:tblBorders>
        <w:tblLayout w:type="fixed"/>
        <w:tblCellMar>
          <w:left w:w="57" w:type="dxa"/>
          <w:right w:w="57" w:type="dxa"/>
        </w:tblCellMar>
        <w:tblLook w:val="0000"/>
      </w:tblPr>
      <w:tblGrid>
        <w:gridCol w:w="1750"/>
        <w:gridCol w:w="900"/>
        <w:gridCol w:w="2150"/>
        <w:gridCol w:w="1000"/>
        <w:gridCol w:w="900"/>
        <w:gridCol w:w="1050"/>
        <w:gridCol w:w="1604"/>
      </w:tblGrid>
      <w:tr>
        <w:trPr>
          <w:cantSplit/>
          <w:tblHeader/>
        </w:trPr>
        <w:tc>
          <w:tcPr>
            <w:tcW w:w="1750" w:type="dxa"/>
            <w:tcBorders>
              <w:bottom w:val="single" w:sz="8" w:space="0" w:color="000000"/>
            </w:tcBorders>
            <w:vAlign w:val="center"/>
          </w:tcPr>
          <w:p>
            <w:pPr>
              <w:pStyle w:val="Normal"/>
              <w:spacing w:before="20" w:after="20"/>
              <w:jc w:val="left"/>
            </w:pPr>
            <w:r>
              <w:rPr>
                <w:rFonts w:cs="Times;Sylfaen" w:ascii="Times;Sylfaen" w:hAnsi="Times;Sylfaen"/>
                <w:b/>
                <w:bCs/>
                <w:sz w:val="20"/>
                <w:szCs w:val="20"/>
              </w:rPr>
              <w:t xml:space="preserve">Pcap fora do treino</w:t>
            </w:r>
          </w:p>
        </w:tc>
        <w:tc>
          <w:tcPr>
            <w:tcW w:w="9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Janelas</w:t>
            </w:r>
          </w:p>
        </w:tc>
        <w:tc>
          <w:tcPr>
            <w:tcW w:w="21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Regra escolhida</w:t>
            </w:r>
          </w:p>
        </w:tc>
        <w:tc>
          <w:tcPr>
            <w:tcW w:w="10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Como ataque</w:t>
            </w:r>
          </w:p>
        </w:tc>
        <w:tc>
          <w:tcPr>
            <w:tcW w:w="90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Alarmes</w:t>
            </w:r>
          </w:p>
        </w:tc>
        <w:tc>
          <w:tcPr>
            <w:tcW w:w="1050"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Alarmes por hora</w:t>
            </w:r>
          </w:p>
        </w:tc>
        <w:tc>
          <w:tcPr>
            <w:tcW w:w="1604" w:type="dxa"/>
            <w:tcBorders>
              <w:bottom w:val="single" w:sz="8" w:space="0" w:color="000000"/>
            </w:tcBorders>
            <w:vAlign w:val="center"/>
          </w:tcPr>
          <w:p>
            <w:pPr>
              <w:pStyle w:val="Normal"/>
              <w:spacing w:before="20" w:after="20"/>
              <w:jc w:val="center"/>
            </w:pPr>
            <w:r>
              <w:rPr>
                <w:rFonts w:cs="Times;Sylfaen" w:ascii="Times;Sylfaen" w:hAnsi="Times;Sylfaen"/>
                <w:b/>
                <w:bCs/>
                <w:sz w:val="20"/>
                <w:szCs w:val="20"/>
              </w:rPr>
              <w:t xml:space="preserve">Como ataque, modelo de 10/10</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BenignTraffic2.pcap</w:t>
            </w:r>
          </w:p>
        </w:tc>
        <w:tc>
          <w:tcPr>
            <w:tcW w:w="900" w:type="dxa"/>
            <w:vAlign w:val="center"/>
          </w:tcPr>
          <w:p>
            <w:pPr>
              <w:pStyle w:val="Normal"/>
              <w:spacing w:before="20" w:after="20"/>
              <w:jc w:val="center"/>
            </w:pPr>
            <w:r>
              <w:rPr>
                <w:rFonts w:cs="Times;Sylfaen" w:ascii="Times;Sylfaen" w:hAnsi="Times;Sylfaen"/>
                <w:sz w:val="20"/>
                <w:szCs w:val="20"/>
              </w:rPr>
              <w:t xml:space="preserve">31.032</w:t>
            </w:r>
          </w:p>
        </w:tc>
        <w:tc>
          <w:tcPr>
            <w:tcW w:w="2150" w:type="dxa"/>
            <w:vAlign w:val="center"/>
          </w:tcPr>
          <w:p>
            <w:pPr>
              <w:pStyle w:val="Normal"/>
              <w:spacing w:before="20" w:after="20"/>
              <w:jc w:val="center"/>
            </w:pPr>
            <w:r>
              <w:rPr>
                <w:rFonts w:cs="Times;Sylfaen" w:ascii="Times;Sylfaen" w:hAnsi="Times;Sylfaen"/>
                <w:sz w:val="20"/>
                <w:szCs w:val="20"/>
              </w:rPr>
              <w:t xml:space="preserve">argmax</w:t>
            </w:r>
          </w:p>
        </w:tc>
        <w:tc>
          <w:tcPr>
            <w:tcW w:w="1000" w:type="dxa"/>
            <w:vAlign w:val="center"/>
          </w:tcPr>
          <w:p>
            <w:pPr>
              <w:pStyle w:val="Normal"/>
              <w:spacing w:before="20" w:after="20"/>
              <w:jc w:val="center"/>
            </w:pPr>
            <w:r>
              <w:rPr>
                <w:rFonts w:cs="Times;Sylfaen" w:ascii="Times;Sylfaen" w:hAnsi="Times;Sylfaen"/>
                <w:sz w:val="20"/>
                <w:szCs w:val="20"/>
              </w:rPr>
              <w:t xml:space="preserve">0,9%</w:t>
            </w:r>
          </w:p>
        </w:tc>
        <w:tc>
          <w:tcPr>
            <w:tcW w:w="900" w:type="dxa"/>
            <w:vAlign w:val="center"/>
          </w:tcPr>
          <w:p>
            <w:pPr>
              <w:pStyle w:val="Normal"/>
              <w:spacing w:before="20" w:after="20"/>
              <w:jc w:val="center"/>
            </w:pPr>
            <w:r>
              <w:rPr>
                <w:rFonts w:cs="Times;Sylfaen" w:ascii="Times;Sylfaen" w:hAnsi="Times;Sylfaen"/>
                <w:sz w:val="20"/>
                <w:szCs w:val="20"/>
              </w:rPr>
              <w:t xml:space="preserve">4,3</w:t>
            </w:r>
          </w:p>
        </w:tc>
        <w:tc>
          <w:tcPr>
            <w:tcW w:w="1050" w:type="dxa"/>
            <w:vAlign w:val="center"/>
          </w:tcPr>
          <w:p>
            <w:pPr>
              <w:pStyle w:val="Normal"/>
              <w:spacing w:before="20" w:after="20"/>
              <w:jc w:val="center"/>
            </w:pPr>
            <w:r>
              <w:rPr>
                <w:rFonts w:cs="Times;Sylfaen" w:ascii="Times;Sylfaen" w:hAnsi="Times;Sylfaen"/>
                <w:sz w:val="20"/>
                <w:szCs w:val="20"/>
              </w:rPr>
              <w:t xml:space="preserve">0,5</w:t>
            </w:r>
          </w:p>
        </w:tc>
        <w:tc>
          <w:tcPr>
            <w:tcW w:w="1604" w:type="dxa"/>
            <w:vAlign w:val="center"/>
          </w:tcPr>
          <w:p>
            <w:pPr>
              <w:pStyle w:val="Normal"/>
              <w:spacing w:before="20" w:after="20"/>
              <w:jc w:val="center"/>
            </w:pPr>
            <w:r>
              <w:rPr>
                <w:rFonts w:cs="Times;Sylfaen" w:ascii="Times;Sylfaen" w:hAnsi="Times;Sylfaen"/>
                <w:sz w:val="20"/>
                <w:szCs w:val="20"/>
              </w:rPr>
              <w:t xml:space="preserve">1,1%</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BenignTraffic.pcap</w:t>
            </w:r>
          </w:p>
        </w:tc>
        <w:tc>
          <w:tcPr>
            <w:tcW w:w="900" w:type="dxa"/>
            <w:vAlign w:val="center"/>
          </w:tcPr>
          <w:p>
            <w:pPr>
              <w:pStyle w:val="Normal"/>
              <w:spacing w:before="20" w:after="20"/>
              <w:jc w:val="center"/>
            </w:pPr>
            <w:r>
              <w:rPr>
                <w:rFonts w:cs="Times;Sylfaen" w:ascii="Times;Sylfaen" w:hAnsi="Times;Sylfaen"/>
                <w:sz w:val="20"/>
                <w:szCs w:val="20"/>
              </w:rPr>
              <w:t xml:space="preserve">36.228</w:t>
            </w:r>
          </w:p>
        </w:tc>
        <w:tc>
          <w:tcPr>
            <w:tcW w:w="2150" w:type="dxa"/>
            <w:vAlign w:val="center"/>
          </w:tcPr>
          <w:p>
            <w:pPr>
              <w:pStyle w:val="Normal"/>
              <w:spacing w:before="20" w:after="20"/>
              <w:jc w:val="center"/>
            </w:pPr>
            <w:r>
              <w:rPr>
                <w:rFonts w:cs="Times;Sylfaen" w:ascii="Times;Sylfaen" w:hAnsi="Times;Sylfaen"/>
                <w:sz w:val="20"/>
                <w:szCs w:val="20"/>
              </w:rPr>
              <w:t xml:space="preserve">limiar, t de 0,52 a 0,53</w:t>
            </w:r>
          </w:p>
        </w:tc>
        <w:tc>
          <w:tcPr>
            <w:tcW w:w="1000" w:type="dxa"/>
            <w:vAlign w:val="center"/>
          </w:tcPr>
          <w:p>
            <w:pPr>
              <w:pStyle w:val="Normal"/>
              <w:spacing w:before="20" w:after="20"/>
              <w:jc w:val="center"/>
            </w:pPr>
            <w:r>
              <w:rPr>
                <w:rFonts w:cs="Times;Sylfaen" w:ascii="Times;Sylfaen" w:hAnsi="Times;Sylfaen"/>
                <w:sz w:val="20"/>
                <w:szCs w:val="20"/>
              </w:rPr>
              <w:t xml:space="preserve">6,0%</w:t>
            </w:r>
          </w:p>
        </w:tc>
        <w:tc>
          <w:tcPr>
            <w:tcW w:w="900" w:type="dxa"/>
            <w:vAlign w:val="center"/>
          </w:tcPr>
          <w:p>
            <w:pPr>
              <w:pStyle w:val="Normal"/>
              <w:spacing w:before="20" w:after="20"/>
              <w:jc w:val="center"/>
            </w:pPr>
            <w:r>
              <w:rPr>
                <w:rFonts w:cs="Times;Sylfaen" w:ascii="Times;Sylfaen" w:hAnsi="Times;Sylfaen"/>
                <w:sz w:val="20"/>
                <w:szCs w:val="20"/>
              </w:rPr>
              <w:t xml:space="preserve">124,0</w:t>
            </w:r>
          </w:p>
        </w:tc>
        <w:tc>
          <w:tcPr>
            <w:tcW w:w="1050" w:type="dxa"/>
            <w:vAlign w:val="center"/>
          </w:tcPr>
          <w:p>
            <w:pPr>
              <w:pStyle w:val="Normal"/>
              <w:spacing w:before="20" w:after="20"/>
              <w:jc w:val="center"/>
            </w:pPr>
            <w:r>
              <w:rPr>
                <w:rFonts w:cs="Times;Sylfaen" w:ascii="Times;Sylfaen" w:hAnsi="Times;Sylfaen"/>
                <w:sz w:val="20"/>
                <w:szCs w:val="20"/>
              </w:rPr>
              <w:t xml:space="preserve">13,5</w:t>
            </w:r>
          </w:p>
        </w:tc>
        <w:tc>
          <w:tcPr>
            <w:tcW w:w="1604" w:type="dxa"/>
            <w:vAlign w:val="center"/>
          </w:tcPr>
          <w:p>
            <w:pPr>
              <w:pStyle w:val="Normal"/>
              <w:spacing w:before="20" w:after="20"/>
              <w:jc w:val="center"/>
            </w:pPr>
            <w:r>
              <w:rPr>
                <w:rFonts w:cs="Times;Sylfaen" w:ascii="Times;Sylfaen" w:hAnsi="Times;Sylfaen"/>
                <w:sz w:val="20"/>
                <w:szCs w:val="20"/>
              </w:rPr>
              <w:t xml:space="preserve">36,1%</w:t>
            </w:r>
          </w:p>
        </w:tc>
      </w:tr>
      <w:tr>
        <w:trPr>
          <w:cantSplit/>
        </w:trPr>
        <w:tc>
          <w:tcPr>
            <w:tcW w:w="1750" w:type="dxa"/>
            <w:vAlign w:val="center"/>
          </w:tcPr>
          <w:p>
            <w:pPr>
              <w:pStyle w:val="Normal"/>
              <w:spacing w:before="20" w:after="20"/>
              <w:jc w:val="left"/>
            </w:pPr>
            <w:r>
              <w:rPr>
                <w:rFonts w:cs="Times;Sylfaen" w:ascii="Times;Sylfaen" w:hAnsi="Times;Sylfaen"/>
                <w:sz w:val="20"/>
                <w:szCs w:val="20"/>
              </w:rPr>
              <w:t xml:space="preserve">BenignTraffic1.pcap</w:t>
            </w:r>
          </w:p>
        </w:tc>
        <w:tc>
          <w:tcPr>
            <w:tcW w:w="900" w:type="dxa"/>
            <w:vAlign w:val="center"/>
          </w:tcPr>
          <w:p>
            <w:pPr>
              <w:pStyle w:val="Normal"/>
              <w:spacing w:before="20" w:after="20"/>
              <w:jc w:val="center"/>
            </w:pPr>
            <w:r>
              <w:rPr>
                <w:rFonts w:cs="Times;Sylfaen" w:ascii="Times;Sylfaen" w:hAnsi="Times;Sylfaen"/>
                <w:sz w:val="20"/>
                <w:szCs w:val="20"/>
              </w:rPr>
              <w:t xml:space="preserve">29.549</w:t>
            </w:r>
          </w:p>
        </w:tc>
        <w:tc>
          <w:tcPr>
            <w:tcW w:w="2150" w:type="dxa"/>
            <w:vAlign w:val="center"/>
          </w:tcPr>
          <w:p>
            <w:pPr>
              <w:pStyle w:val="Normal"/>
              <w:spacing w:before="20" w:after="20"/>
              <w:jc w:val="center"/>
            </w:pPr>
            <w:r>
              <w:rPr>
                <w:rFonts w:cs="Times;Sylfaen" w:ascii="Times;Sylfaen" w:hAnsi="Times;Sylfaen"/>
                <w:sz w:val="20"/>
                <w:szCs w:val="20"/>
              </w:rPr>
              <w:t xml:space="preserve">argmax</w:t>
            </w:r>
          </w:p>
        </w:tc>
        <w:tc>
          <w:tcPr>
            <w:tcW w:w="1000" w:type="dxa"/>
            <w:vAlign w:val="center"/>
          </w:tcPr>
          <w:p>
            <w:pPr>
              <w:pStyle w:val="Normal"/>
              <w:spacing w:before="20" w:after="20"/>
              <w:jc w:val="center"/>
            </w:pPr>
            <w:r>
              <w:rPr>
                <w:rFonts w:cs="Times;Sylfaen" w:ascii="Times;Sylfaen" w:hAnsi="Times;Sylfaen"/>
                <w:sz w:val="20"/>
                <w:szCs w:val="20"/>
              </w:rPr>
              <w:t xml:space="preserve">0,8%</w:t>
            </w:r>
          </w:p>
        </w:tc>
        <w:tc>
          <w:tcPr>
            <w:tcW w:w="900" w:type="dxa"/>
            <w:vAlign w:val="center"/>
          </w:tcPr>
          <w:p>
            <w:pPr>
              <w:pStyle w:val="Normal"/>
              <w:spacing w:before="20" w:after="20"/>
              <w:jc w:val="center"/>
            </w:pPr>
            <w:r>
              <w:rPr>
                <w:rFonts w:cs="Times;Sylfaen" w:ascii="Times;Sylfaen" w:hAnsi="Times;Sylfaen"/>
                <w:sz w:val="20"/>
                <w:szCs w:val="20"/>
              </w:rPr>
              <w:t xml:space="preserve">6,0</w:t>
            </w:r>
          </w:p>
        </w:tc>
        <w:tc>
          <w:tcPr>
            <w:tcW w:w="1050" w:type="dxa"/>
            <w:vAlign w:val="center"/>
          </w:tcPr>
          <w:p>
            <w:pPr>
              <w:pStyle w:val="Normal"/>
              <w:spacing w:before="20" w:after="20"/>
              <w:jc w:val="center"/>
            </w:pPr>
            <w:r>
              <w:rPr>
                <w:rFonts w:cs="Times;Sylfaen" w:ascii="Times;Sylfaen" w:hAnsi="Times;Sylfaen"/>
                <w:sz w:val="20"/>
                <w:szCs w:val="20"/>
              </w:rPr>
              <w:t xml:space="preserve">0,8</w:t>
            </w:r>
          </w:p>
        </w:tc>
        <w:tc>
          <w:tcPr>
            <w:tcW w:w="1604" w:type="dxa"/>
            <w:vAlign w:val="center"/>
          </w:tcPr>
          <w:p>
            <w:pPr>
              <w:pStyle w:val="Normal"/>
              <w:spacing w:before="20" w:after="20"/>
              <w:jc w:val="center"/>
            </w:pPr>
            <w:r>
              <w:rPr>
                <w:rFonts w:cs="Times;Sylfaen" w:ascii="Times;Sylfaen" w:hAnsi="Times;Sylfaen"/>
                <w:sz w:val="20"/>
                <w:szCs w:val="20"/>
              </w:rPr>
              <w:t xml:space="preserve">1,0%</w:t>
            </w:r>
          </w:p>
        </w:tc>
      </w:tr>
    </w:tbl>
    <w:p>
      <w:pPr>
        <w:pStyle w:val="Normal"/>
        <w:tabs>
          <w:tab w:val="clear" w:pos="708"/>
          <w:tab w:val="left" w:pos="720" w:leader="none"/>
        </w:tabs>
        <w:spacing w:before="120" w:after="0"/>
        <w:ind w:firstLine="708" w:end="0"/>
        <w:jc w:val="both"/>
      </w:pPr>
      <w:r>
        <w:rPr>
          <w:rFonts w:cs="Times;Sylfaen" w:ascii="Times;Sylfaen" w:hAnsi="Times;Sylfaen"/>
        </w:rPr>
        <w:t xml:space="preserve">No corte por tempo, DDoS+DoS e Mirai passam de 98% de recall e de precisão. Recon (55,0%), Web (35,1%) e BruteForce (34,4%) ficam bem abaixo. O que Recon e Web perdem vai sobretudo para Benign (Figura 3), e BruteForce perde 72 janelas para Recon e 62 para Benign, o que explica a precisão de 63,3% da categoria benigna. O macro-F1 é de 75,6% (de 75,4% a 75,7% entre as sementes), e 0,85% das janelas benignas de teste viram ataque. Com o melhor limiar (t = 0,61), que perdeu na validação, o teste teria 1,0% do benigno como ataque, e o recall de Recon e o de Spoofing cairiam 4,6 e 6,6 pontos (o intervalo de 95% da diferença não inclui zero). Com o pcap inteiro fora do treino, o recall cai em todas as categorias com mais de um pcap: Recon fica em 24,9% (0,5% no VulnerabilityScan.pcap), Spoofing em 63,0% (40,3% no DNS_Spoofing.pcap), Web em 29,4%, Mirai em 55,3% (0% no Mirai-udpplain.pcap) e DDoS+DoS em 74,2% (39,8% no DDoS-SlowLoris.pcap). BruteForce tem um pcap só: sem ele, a categoria some do treino. O alarme falso depende do pcap benigno que fica de fora, de 0,8% a 6,0% das janelas, e com 3 janelas seguidas o pior pcap dá 13,5 alarmes por hora; nessa rotação, a validação escolheu o limiar, e com o argmax seriam 5,4% das janelas. O fundo da parte de teste classificado como ataque é de 13,3%. Dos 33 pcaps de ataque com trecho de teste, 32 alarmam com a regra das 3 janelas: o Recon-PingSweep.pcap, com 18 janelas de atacante no trecho, não alarma, e o BrowserHijacking.pcap não alarma em uma das três sementes.</w:t>
      </w:r>
    </w:p>
    <w:p>
      <w:pPr>
        <w:pStyle w:val="Normal"/>
        <w:tabs>
          <w:tab w:val="clear" w:pos="708"/>
          <w:tab w:val="left" w:pos="720" w:leader="none"/>
        </w:tabs>
        <w:spacing w:before="120" w:after="0"/>
        <w:ind w:firstLine="708" w:end="0"/>
        <w:jc w:val="both"/>
      </w:pPr>
      <w:r>
        <w:rPr>
          <w:rFonts w:cs="Times;Sylfaen" w:ascii="Times;Sylfaen" w:hAnsi="Times;Sylfaen"/>
        </w:rPr>
        <w:t xml:space="preserve">Em relação ao modelo de 10/10, cada um no seu ponto de operação, o modelo do sistema troca recall por alarme falso: o recall de Recon vai de 82,1% para 55,0% e o de Spoofing, de 99,4% para 79,9%, enquanto o alarme falso no BenignTraffic.pcap fora do treino vai de 36,1% para 6,0% e o fundo classificado como ataque, de 65,9% para 13,3%.</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3: matriz de confusão do modelo do sistema no ponto de operação, que na validação foi o argmax, na parte de teste do corte por tempo, semente 42. Legenda: cada linha soma 100% das janelas de teste da categoria real. A linha Benign vem de um único pcap fora do treino, o BenignTraffic2.pcap; com os outros dois fora do treino, o alarme falso vai a 0,8% e a 6,0% (Tabela 2). Com o pcap inteiro fora do treino, o recall é menor que o da diagonal em todas as categorias com mais de um pcap, e bem menor em Recon, Spoofing e Mirai (Tabela 1); o Spoofing depende ainda de um artefato da captura (seção 4.2).]</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métricas dos agentes (qualidade da recomendação, custo em tokens, tempo entre detecção e remediação) nos cenários DDoS, port scan e brute force, e comparação entre as configurações local, nuvem e híbrida.]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4.2 Limitações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Atalho da janela no dataset oficial:</w:t>
      </w:r>
      <w:r>
        <w:rPr>
          <w:rFonts w:cs="Times;Sylfaen" w:ascii="Times;Sylfaen" w:hAnsi="Times;Sylfaen"/>
        </w:rPr>
        <w:t xml:space="preserve"> o modelo treinado no MERGED_CSV aprende o tamanho da janela, e não o comportamento do tráfego (seção 3.3; Figura 4). A regeração em janela única resolve isso ao custo de treinar só com os pcaps disponíveis, e os resultados valem para a janela de 100.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de fundo no treino:</w:t>
      </w:r>
      <w:r>
        <w:rPr>
          <w:rFonts w:cs="Times;Sylfaen" w:ascii="Times;Sylfaen" w:hAnsi="Times;Sylfaen"/>
        </w:rPr>
        <w:t xml:space="preserve"> entre 3,3% e 66,9% das janelas de 100 dos pcaps de varredura, força bruta, Web e spoofing não contêm nenhum quadro do atacante (na janela de 10, entre 33% e 87%; Figura 5). O treino do sistema põe as da parte de treino como benignas, e parte delas pode conter efeito do ataque: o modelo aprende a chamar de benigno o que se parece com elas, e o recall de Recon e o de Spoofing caem (seção 4.1). O fundo da parte de teste não tem rótulo e fica fora do teste; o modelo classifica 13,3% dele como ataque, no ponto de operação, uma estimativa do alarme durante um ataque, e não um erro medido.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 regra que adotou o fundo no treino:</w:t>
      </w:r>
      <w:r>
        <w:rPr>
          <w:rFonts w:cs="Times;Sylfaen" w:ascii="Times;Sylfaen" w:hAnsi="Times;Sylfaen"/>
        </w:rPr>
        <w:t xml:space="preserve"> a condição sobre o Recon-PortScan.pcap foi atendida pela média, com queda de 3,53 pontos no trecho de teste do pcap, mas o intervalo de 95% da queda vai de 1,77 a 5,29 pontos e não exclui uma queda acima do limite de 5. No pcap inteiro, a queda é de 6,26 pontos, e por ele a condição falharia.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Web e BruteForce:</w:t>
      </w:r>
      <w:r>
        <w:rPr>
          <w:rFonts w:cs="Times;Sylfaen" w:ascii="Times;Sylfaen" w:hAnsi="Times;Sylfaen"/>
        </w:rPr>
        <w:t xml:space="preserve"> recall de 35,1% e de 34,4% no corte por tempo, no ponto de operação, confundidos com Recon e com tráfego benigno. Os intervalos são largos: no modelo de 10/10, por blocos, de 19,2% a 52,0% em BruteForce, que tem um tamanho efetivo de 15 janelas de teste. Com o fundo no treino, essas categorias são menos reconhecidas como ataque numa captura nova: com o pcap fora do treino, Web visto como algum ataque cai de 77,1% para 51,8% e BruteForce, de 76,4% para 56,9%, em relação ao modelo de 10/10 (o intervalo de 95% da diferença não inclui zero), embora o recall de Web na categoria certa não mude. Os pcaps dessas classes são curtos, e o grupo não tem captura própria.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Outra captura da mesma categoria:</w:t>
      </w:r>
      <w:r>
        <w:rPr>
          <w:rFonts w:cs="Times;Sylfaen" w:ascii="Times;Sylfaen" w:hAnsi="Times;Sylfaen"/>
        </w:rPr>
        <w:t xml:space="preserve"> com o pcap inteiro fora do treino, o recall de Recon fica em 24,9%, o de Spoofing em 63,0%, o de Mirai em 55,3% e o de Web em 29,4% (Tabela 1). Cada pcap de Recon e de Web é uma técnica diferente, e tirar o pcap tira também a técnica do treino. BruteForce tem um pcap só.</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Uma rede diferente da do dataset:</w:t>
      </w:r>
      <w:r>
        <w:rPr>
          <w:rFonts w:cs="Times;Sylfaen" w:ascii="Times;Sylfaen" w:hAnsi="Times;Sylfaen"/>
        </w:rPr>
        <w:t xml:space="preserve"> o classificador foi treinado e testado só com o tráfego do laboratório do CICIoT2023, com os mesmos dispositivos, os mesmos sete atacantes e o mesmo tráfego normal; mesmo as medidas com o pcap inteiro fora do treino vêm dessa rede. O desempenho numa rede real, com outros dispositivos e outro tráfego normal, não foi medido, e o recall e o alarme falso podem ser outros. O TTL e o tamanho dos quadros, que pesam nas decisões do modelo, dependem dos dispositivos e de como o tráfego é capturado (itens abaixo).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que não é de IoT:</w:t>
      </w:r>
      <w:r>
        <w:rPr>
          <w:rFonts w:cs="Times;Sylfaen" w:ascii="Times;Sylfaen" w:hAnsi="Times;Sylfaen"/>
        </w:rPr>
        <w:t xml:space="preserve"> o tráfego benigno do treino é só de dispositivos IoT. No teste de captura de 25/10 (seção 3.1), o tráfego normal de um notebook deu 8 das 23 janelas como Spoofing e abriu um incidente de Spoofing, com confiança de 0,54. Computadores e celulares têm outro tráfego normal, e o sistema foi pensado para vigiar a rede dos aparelhos IoT.</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IPv6:</w:t>
      </w:r>
      <w:r>
        <w:rPr>
          <w:rFonts w:cs="Times;Sylfaen" w:ascii="Times;Sylfaen" w:hAnsi="Times;Sylfaen"/>
        </w:rPr>
        <w:t xml:space="preserve"> o extrator só mede quadros IPv4 e ARP, como o código dos autores, e ignora o IPv6. No mesmo teste, 2.674 dos 5.000 quadros (53%) eram IPv6. Um ataque feito só por IPv6 não é visto.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que não cruza o gateway:</w:t>
      </w:r>
      <w:r>
        <w:rPr>
          <w:rFonts w:cs="Times;Sylfaen" w:ascii="Times;Sylfaen" w:hAnsi="Times;Sylfaen"/>
        </w:rPr>
        <w:t xml:space="preserve"> o sistema só vê o que passa pelo ponto de captura. Numa rede em que o gateway não é o ponto de acesso, nem separa a rede IoT das outras, o ataque de um aparelho contra outro da mesma rede não chega a ele. Sensores em Zigbee ou Bluetooth, fora da rede IP, também ficam de fora.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DDoS vindo da internet:</w:t>
      </w:r>
      <w:r>
        <w:rPr>
          <w:rFonts w:cs="Times;Sylfaen" w:ascii="Times;Sylfaen" w:hAnsi="Times;Sylfaen"/>
        </w:rPr>
        <w:t xml:space="preserve"> um flood volumétrico de fora lota o link da operadora antes de chegar ao gateway. Bloquear as origens no gateway não libera o link; isso pede ação do provedor.</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Alarme falso conforme o pcap benigno:</w:t>
      </w:r>
      <w:r>
        <w:rPr>
          <w:rFonts w:cs="Times;Sylfaen" w:ascii="Times;Sylfaen" w:hAnsi="Times;Sylfaen"/>
        </w:rPr>
        <w:t xml:space="preserve"> com cada pcap benigno fora do treino, a fração classificada como ataque vai de 0,8% a 6,0% no ponto de operação (Tabela 2). A regra foi escolhida com no máximo 1% de alarme falso na validação, que vem dos outros dois pcaps benignos, e o pcap de fora pode passar disso, como passa o BenignTraffic.pcap.</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Artefato de captura:</w:t>
      </w:r>
      <w:r>
        <w:rPr>
          <w:rFonts w:cs="Times;Sylfaen" w:ascii="Times;Sylfaen" w:hAnsi="Times;Sylfaen"/>
        </w:rPr>
        <w:t xml:space="preserve"> os pcaps não foram gravados todos do mesmo jeito. 84% das janelas de Spoofing têm quadro menor que 60 bytes, sem o preenchimento do Ethernet, e 88% das janelas benignas têm quadro maior que 1.514 bytes, que só existe com segmentação feita pela placa da máquina que capturou; numa rede real, os tamanhos seriam outros. O TTL também pesa: é a feature que mais derruba o recall do tráfego benigno quando permutada, e as janelas benignas com TTL médio até 64 viram ataque em 9,3% dos casos, contra 1,4% acima de 90. Medir o quadro como no fio foi testado e não adotado, porque piora as medidas com o pcap fora do treino sem melhorar o alarme falso (seção 3.3), e o artefato fica declarado como limitação. Os números do TTL são do modelo de 10/10.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Cenários da PoC:</w:t>
      </w:r>
      <w:r>
        <w:rPr>
          <w:rFonts w:cs="Times;Sylfaen" w:ascii="Times;Sylfaen" w:hAnsi="Times;Sylfaen"/>
        </w:rPr>
        <w:t xml:space="preserve"> DDoS, port scan e brute force. O cenário de exfiltração foi retirado com o orientador: o CICIoT2023 não tem essa classe, e os datasets de referência também não a cobrem com dados rotulados suficientes. O dataset secundário foi dispensado pelo mesmo motivo; o trabalho usa só o CICIoT2023.</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Teste por arquivo inteiro:</w:t>
      </w:r>
      <w:r>
        <w:rPr>
          <w:rFonts w:cs="Times;Sylfaen" w:ascii="Times;Sylfaen" w:hAnsi="Times;Sylfaen"/>
        </w:rPr>
        <w:t xml:space="preserve"> só BenignTraffic, DDoS-SYN_Flood e DoS-SYN_Flood têm mais de um arquivo, e o último fica inteiro no teste. Os sete arquivos desses rótulos estão entre os 20 pcaps com cerca de 2.048.000.000 bytes, o tamanho em que o tcpdump -C 2048 corta o arquivo: são partes da mesma gravação, e não capturas independentes. Nas demais classes a divisão é por tempo dentro do mesmo pcap, o que tende a superestimar o resultado.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Separação entre DDoS e DoS:</w:t>
      </w:r>
      <w:r>
        <w:rPr>
          <w:rFonts w:cs="Times;Sylfaen" w:ascii="Times;Sylfaen" w:hAnsi="Times;Sylfaen"/>
        </w:rPr>
        <w:t xml:space="preserve"> por janela, as faixas de IPs de origem das duas categorias se cruzam, e a contagem inclui os IPs da vítima e do tráfego de fundo. No nível do incidente, a regra pela parcela da maior origem acerta 19 de 20 incidentes dos pcaps de DoS e 34 de 63 dos de DDoS: ela tende a dizer DoS.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Quem atacou:</w:t>
      </w:r>
      <w:r>
        <w:rPr>
          <w:rFonts w:cs="Times;Sylfaen" w:ascii="Times;Sylfaen" w:hAnsi="Times;Sylfaen"/>
        </w:rPr>
        <w:t xml:space="preserve"> o atacante do incidente é escolhido pela presença dos endereços nas janelas do incidente contra o tráfego benigno; nos pcaps de ataque, a primeira origem listada é um atacante em 119 de 231 incidentes, e nunca no spoofing, em que o quadro ARP só traz o IP anunciado, e não o do atacante. Uma origem errada é contida pela política de risco: bloquear uma origem da rede local é de risco alto e só acontece com a aprovação de uma pessoa.</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artefato de captura na implantação:</w:t>
      </w:r>
      <w:r>
        <w:rPr>
          <w:rFonts w:cs="Times;Sylfaen" w:ascii="Times;Sylfaen" w:hAnsi="Times;Sylfaen"/>
        </w:rPr>
        <w:t xml:space="preserve"> com os quadros como passam no fio, completados até 60 bytes e limitados a 1.514, o modelo do sistema dá 26 alarmes nas 8 horas do BenignTraffic2.pcap, contra 4 com os quadros como o dataset gravou. Uma implantação que capture como o fio precisaria retreinar o modelo com os quadros normalizados.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atacante também gera tráfego comum:</w:t>
      </w:r>
      <w:r>
        <w:rPr>
          <w:rFonts w:cs="Times;Sylfaen" w:ascii="Times;Sylfaen" w:hAnsi="Times;Sylfaen"/>
        </w:rPr>
        <w:t xml:space="preserve"> 27,1% das janelas de 100 dos pcaps benignos têm ao menos um quadro de um MAC atacante, e entram no treino como benignas.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Ambiente simulado e efeito fixo:</w:t>
      </w:r>
      <w:r>
        <w:rPr>
          <w:rFonts w:cs="Times;Sylfaen" w:ascii="Times;Sylfaen" w:hAnsi="Times;Sylfaen"/>
        </w:rPr>
        <w:t xml:space="preserve"> o servidor MCP da PoC atende incidentes de pcaps reproduzidos, e não de uma captura ao vivo, e aplicar uma ação é só gravar o evento no log, sem rede em que ela aja. A verificação do efeito responde sempre que o ataque cessou. Os experimentos medem se os agentes escolhem uma ação aceitável no alvo certo e em quanto tempo ela é executada, e não se ela faria o ataque parar; o caso em que o agente de decisão propõe outra ação porque a primeira não resolveu não é exercitado. </w:t>
      </w:r>
      <w:r>
        <w:rPr>
          <w:rFonts w:cs="Times;Sylfaen" w:ascii="Times;Sylfaen" w:hAnsi="Times;Sylfaen"/>
          <w:highlight w:val="yellow"/>
        </w:rPr>
        <w:t xml:space="preserve">[Se houver tempo: o efeito de bloquear_ip medido no próprio pcap, tirando os pacotes da origem bloqueada a partir do bloqueio.]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Aprovação nos experimentos:</w:t>
      </w:r>
      <w:r>
        <w:rPr>
          <w:rFonts w:cs="Times;Sylfaen" w:ascii="Times;Sylfaen" w:hAnsi="Times;Sylfaen"/>
        </w:rPr>
        <w:t xml:space="preserve"> as ações de risco alto são aprovadas por uma regra fixa (seção 3.6), e o tempo até a remediação não inclui o de uma pessoa decidir, que numa operação real pode passar de minutos.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Teto por hora e rota de menor capacidade:</w:t>
      </w:r>
      <w:r>
        <w:rPr>
          <w:rFonts w:cs="Times;Sylfaen" w:ascii="Times;Sylfaen" w:hAnsi="Times;Sylfaen"/>
        </w:rPr>
        <w:t xml:space="preserve"> a regra por tempo dos incidentes (seção 3.5) não foi implementada nem medida, e tem uma brecha. Um atacante pode gastar a cota da nuvem com ruído, rajadas que bastam para abrir incidentes, para que o ataque real caia na rota local ou, passado o segundo teto, só na saída do classificador. O estrago é limitado porque a política de risco, a troca de endereços por rótulos e a aprovação humana estão no servidor e valem nas duas rotas: um modelo mais fraco pode recomendar pior, mas não executa ação de risco alto sem aprovação. A comparação entre as configurações (seção 4.1) mede quanto se perde na rota local.</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Incidentes falsos de confiança alta:</w:t>
      </w:r>
      <w:r>
        <w:rPr>
          <w:rFonts w:cs="Times;Sylfaen" w:ascii="Times;Sylfaen" w:hAnsi="Times;Sylfaen"/>
        </w:rPr>
        <w:t xml:space="preserve"> o limiar de 0,6 da triagem não pega os incidentes falsos em que o classificador está seguro do erro. 25 dos 57 falsos da avaliação dos 38 pcaps têm confiança de 0,8 ou mais, quase todos de um pcap de ataque com a categoria errada e com milhares de janelas, e nenhum limiar de confiança os separa dos verdadeiros sem marcar boa parte dos ataques. Neles, a resposta proposta parte da categoria errada, e só a aprovação humana segura o erro, apenas nas ações de risco alto.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O que pode ficar fora do calendário</w:t>
      </w:r>
      <w:r>
        <w:rPr>
          <w:rFonts w:cs="Times;Sylfaen" w:ascii="Times;Sylfaen" w:hAnsi="Times;Sylfaen"/>
        </w:rPr>
        <w:t xml:space="preserve"> </w:t>
      </w:r>
      <w:r>
        <w:rPr>
          <w:rFonts w:cs="Times;Sylfaen" w:ascii="Times;Sylfaen" w:hAnsi="Times;Sylfaen"/>
          <w:highlight w:val="yellow"/>
        </w:rPr>
        <w:t xml:space="preserve">[CONFERIR na revisão final]</w:t>
      </w:r>
      <w:r>
        <w:rPr>
          <w:rFonts w:cs="Times;Sylfaen" w:ascii="Times;Sylfaen" w:hAnsi="Times;Sylfaen"/>
        </w:rPr>
        <w:t xml:space="preserve">: se não couberem antes da submissão, o teste de tool poisoning (seção 3.6) e a ligação dos agentes à interface ficam de fora, e a aprovação na PoC é feita pelo comando de terminal.</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Modelo local:</w:t>
      </w:r>
      <w:r>
        <w:rPr>
          <w:rFonts w:cs="Times;Sylfaen" w:ascii="Times;Sylfaen" w:hAnsi="Times;Sylfaen"/>
        </w:rPr>
        <w:t xml:space="preserve"> os agentes de triagem e execução rodam num Qwen de 27 bilhões de parâmetros, mais fraco que o de fronteira; a comparação entre as configurações mede esse custo. É uma variante sem censura cujo nome exato a equipe não conhece, servida por um servidor de inferência compatível com a API da OpenAI, com hardware e quantização desconhecidos. Isso pesa na reprodutibilidade: quem repetir o trabalho com o Qwen normal, o publicado para o Ollama, deve esperar o comportamento que ele teve na comparação, em que entrou em laço em metade das triagens. Mesmo com temperatura 0 e semente fixa, o texto das respostas varia entre repetições, e cada caso dos experimentos é repetido. Um modelo desse tamanho pede placa de vídeo ou bastante memória, além do que o gateway precisa para a captura, o classificador e o servidor MCP (seção 3.5). Para o público-alvo, uma casa ou um pequeno negócio, esse hardware é caro. A saída é a configuração híbrida com um modelo local menor, de qualidade não medida neste trabalho, ou um serviço contratado que rode o modelo para vários clientes; nesse caso o dado sai da rede atendida, mas vai para quem foi contratado, e não para um provedor de IA.</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4: teste da janela. FIGURA 5: janelas sem atacante.]</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5. Conclusão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escrever por último: retomar problema e objetivos, responder à pergunta de pesquisa com os resultados, contribuições, limitações (seção 4.2) e trabalhos futuros, como captura ao vivo, dataset próprio e a ação de revogação de credenciais.]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6. Referências bibliográficas</w:t>
      </w:r>
    </w:p>
    <w:p>
      <w:pPr>
        <w:pStyle w:val="Normal"/>
        <w:tabs>
          <w:tab w:val="clear" w:pos="708"/>
          <w:tab w:val="left" w:pos="720" w:leader="none"/>
        </w:tabs>
        <w:spacing w:before="120" w:after="0"/>
        <w:jc w:val="left"/>
      </w:pPr>
      <w:r>
        <w:rPr>
          <w:rFonts w:cs="Times;Sylfaen" w:ascii="Times;Sylfaen" w:hAnsi="Times;Sylfaen"/>
        </w:rPr>
        <w:t xml:space="preserve">CANADIAN INSTITUTE FOR CYBERSECURITY. </w:t>
      </w:r>
      <w:r>
        <w:rPr>
          <w:rFonts w:cs="Times;Sylfaen" w:ascii="Times;Sylfaen" w:hAnsi="Times;Sylfaen"/>
          <w:b/>
          <w:bCs/>
        </w:rPr>
        <w:t xml:space="preserve">CIC IoT Dataset 2023</w:t>
      </w:r>
      <w:r>
        <w:rPr>
          <w:rFonts w:cs="Times;Sylfaen" w:ascii="Times;Sylfaen" w:hAnsi="Times;Sylfaen"/>
        </w:rPr>
        <w:t xml:space="preserve">. Fredericton: University of New Brunswick, 2023. Disponível em: https://cicresearch.ca/IOTDataset/CIC_IOT_Dataset2023/. Acesso em: 11 out. 2026.</w:t>
      </w:r>
    </w:p>
    <w:p>
      <w:pPr>
        <w:pStyle w:val="Normal"/>
        <w:tabs>
          <w:tab w:val="clear" w:pos="708"/>
          <w:tab w:val="left" w:pos="720" w:leader="none"/>
        </w:tabs>
        <w:spacing w:before="120" w:after="0"/>
        <w:jc w:val="left"/>
      </w:pPr>
      <w:r>
        <w:rPr>
          <w:rFonts w:cs="Times;Sylfaen" w:ascii="Times;Sylfaen" w:hAnsi="Times;Sylfaen"/>
        </w:rPr>
        <w:t xml:space="preserve">DARKTRACE. </w:t>
      </w:r>
      <w:r>
        <w:rPr>
          <w:rFonts w:cs="Times;Sylfaen" w:ascii="Times;Sylfaen" w:hAnsi="Times;Sylfaen"/>
          <w:b/>
          <w:bCs/>
        </w:rPr>
        <w:t xml:space="preserve">Darktrace leading the future of network detection and response with recognition from KuppingerCole</w:t>
      </w:r>
      <w:r>
        <w:rPr>
          <w:rFonts w:cs="Times;Sylfaen" w:ascii="Times;Sylfaen" w:hAnsi="Times;Sylfaen"/>
        </w:rPr>
        <w:t xml:space="preserve">. 2024. Disponível em: https://www.darktrace.com/blog/darktrace-leading-the-future-of-network-detection-and-response-with-recognition-from-kuppingercole. Acesso em: 11 out. 2026. </w:t>
      </w:r>
      <w:r>
        <w:rPr>
          <w:rFonts w:cs="Times;Sylfaen" w:ascii="Times;Sylfaen" w:hAnsi="Times;Sylfaen"/>
          <w:highlight w:val="yellow"/>
        </w:rPr>
        <w:t xml:space="preserve">[CONFERIR ano]</w:t>
      </w:r>
    </w:p>
    <w:p>
      <w:pPr>
        <w:pStyle w:val="Normal"/>
        <w:tabs>
          <w:tab w:val="clear" w:pos="708"/>
          <w:tab w:val="left" w:pos="720" w:leader="none"/>
        </w:tabs>
        <w:spacing w:before="120" w:after="0"/>
        <w:jc w:val="left"/>
      </w:pPr>
      <w:r>
        <w:rPr>
          <w:rFonts w:cs="Times;Sylfaen" w:ascii="Times;Sylfaen" w:hAnsi="Times;Sylfaen"/>
        </w:rPr>
        <w:t xml:space="preserve">DOMÉNECH, J. et al. Evaluating and enhancing intrusion detection systems in IoMT: the importance of domain-specific datasets. </w:t>
      </w:r>
      <w:r>
        <w:rPr>
          <w:rFonts w:cs="Times;Sylfaen" w:ascii="Times;Sylfaen" w:hAnsi="Times;Sylfaen"/>
          <w:b/>
          <w:bCs/>
        </w:rPr>
        <w:t xml:space="preserve">Internet of Things</w:t>
      </w:r>
      <w:r>
        <w:rPr>
          <w:rFonts w:cs="Times;Sylfaen" w:ascii="Times;Sylfaen" w:hAnsi="Times;Sylfaen"/>
        </w:rPr>
        <w:t xml:space="preserve">, 2025. Disponível em: https://www.sciencedirect.com/science/article/pii/S2542660525001453. Acesso em: 11 out. 2026. </w:t>
      </w:r>
      <w:r>
        <w:rPr>
          <w:rFonts w:cs="Times;Sylfaen" w:ascii="Times;Sylfaen" w:hAnsi="Times;Sylfaen"/>
          <w:highlight w:val="yellow"/>
        </w:rPr>
        <w:t xml:space="preserve">[CONFERIR autores, volume e número do artigo]</w:t>
      </w:r>
    </w:p>
    <w:p>
      <w:pPr>
        <w:pStyle w:val="Normal"/>
        <w:tabs>
          <w:tab w:val="clear" w:pos="708"/>
          <w:tab w:val="left" w:pos="720" w:leader="none"/>
        </w:tabs>
        <w:spacing w:before="120" w:after="0"/>
        <w:jc w:val="left"/>
      </w:pPr>
      <w:r>
        <w:rPr>
          <w:rFonts w:cs="Times;Sylfaen" w:ascii="Times;Sylfaen" w:hAnsi="Times;Sylfaen"/>
        </w:rPr>
        <w:t xml:space="preserve">ENGELEN, G.; RIMMER, V.; JOOSEN, W. Troubleshooting an intrusion detection dataset: the CICIDS2017 case study. In: IEEE SECURITY AND PRIVACY WORKSHOPS (SPW), 2021, San Francisco. </w:t>
      </w:r>
      <w:r>
        <w:rPr>
          <w:rFonts w:cs="Times;Sylfaen" w:ascii="Times;Sylfaen" w:hAnsi="Times;Sylfaen"/>
          <w:b/>
          <w:bCs/>
        </w:rPr>
        <w:t xml:space="preserve">Proceedings</w:t>
      </w:r>
      <w:r>
        <w:rPr>
          <w:rFonts w:cs="Times;Sylfaen" w:ascii="Times;Sylfaen" w:hAnsi="Times;Sylfaen"/>
        </w:rPr>
        <w:t xml:space="preserve"> [...]. [S. l.]: IEEE, 2021. p. 7-12. DOI: 10.1109/SPW53761.2021.00009.</w:t>
      </w:r>
    </w:p>
    <w:p>
      <w:pPr>
        <w:pStyle w:val="Normal"/>
        <w:tabs>
          <w:tab w:val="clear" w:pos="708"/>
          <w:tab w:val="left" w:pos="720" w:leader="none"/>
        </w:tabs>
        <w:spacing w:before="120" w:after="0"/>
        <w:jc w:val="left"/>
      </w:pPr>
      <w:r>
        <w:rPr>
          <w:rFonts w:cs="Times;Sylfaen" w:ascii="Times;Sylfaen" w:hAnsi="Times;Sylfaen"/>
        </w:rPr>
        <w:t xml:space="preserve">KELLY, D.; GLAVIN, F. G.; BARRETT, E. </w:t>
      </w:r>
      <w:r>
        <w:rPr>
          <w:rFonts w:cs="Times;Sylfaen" w:ascii="Times;Sylfaen" w:hAnsi="Times;Sylfaen"/>
          <w:b/>
          <w:bCs/>
        </w:rPr>
        <w:t xml:space="preserve">Denial of Wallet</w:t>
      </w:r>
      <w:r>
        <w:rPr>
          <w:rFonts w:cs="Times;Sylfaen" w:ascii="Times;Sylfaen" w:hAnsi="Times;Sylfaen"/>
        </w:rPr>
        <w:t xml:space="preserve">: defining a looming threat to serverless computing. arXiv, 2021. Disponível em: https://arxiv.org/abs/2104.08031. Acesso em: 11 out. 2026.</w:t>
      </w:r>
    </w:p>
    <w:p>
      <w:pPr>
        <w:pStyle w:val="Normal"/>
        <w:tabs>
          <w:tab w:val="clear" w:pos="708"/>
          <w:tab w:val="left" w:pos="720" w:leader="none"/>
        </w:tabs>
        <w:spacing w:before="120" w:after="0"/>
        <w:jc w:val="left"/>
      </w:pPr>
      <w:r>
        <w:rPr>
          <w:rFonts w:cs="Times;Sylfaen" w:ascii="Times;Sylfaen" w:hAnsi="Times;Sylfaen"/>
        </w:rPr>
        <w:t xml:space="preserve">LIU, L.; ENGELEN, G.; LYNAR, T.; ESSAM, D.; JOOSEN, W. Error prevalence in NIDS datasets: a case study on CIC-IDS-2017 and CSE-CIC-IDS-2018. In: IEEE CONFERENCE ON COMMUNICATIONS AND NETWORK SECURITY (CNS), 2022, Austin. </w:t>
      </w:r>
      <w:r>
        <w:rPr>
          <w:rFonts w:cs="Times;Sylfaen" w:ascii="Times;Sylfaen" w:hAnsi="Times;Sylfaen"/>
          <w:b/>
          <w:bCs/>
        </w:rPr>
        <w:t xml:space="preserve">Proceedings</w:t>
      </w:r>
      <w:r>
        <w:rPr>
          <w:rFonts w:cs="Times;Sylfaen" w:ascii="Times;Sylfaen" w:hAnsi="Times;Sylfaen"/>
        </w:rPr>
        <w:t xml:space="preserve"> [...]. [S. l.]: IEEE, 2022. p. 254-263. DOI: 10.1109/CNS56114.2022.9947235.</w:t>
      </w:r>
    </w:p>
    <w:p>
      <w:pPr>
        <w:pStyle w:val="Normal"/>
        <w:tabs>
          <w:tab w:val="clear" w:pos="708"/>
          <w:tab w:val="left" w:pos="720" w:leader="none"/>
        </w:tabs>
        <w:spacing w:before="120" w:after="0"/>
        <w:jc w:val="left"/>
      </w:pPr>
      <w:r>
        <w:rPr>
          <w:rFonts w:cs="Times;Sylfaen" w:ascii="Times;Sylfaen" w:hAnsi="Times;Sylfaen"/>
        </w:rPr>
        <w:t xml:space="preserve">NETO, E. C. P.; DADKHAH, S.; FERREIRA, R.; ZOHOURIAN, A.; LU, R.; GHORBANI, A. A. CICIoT2023: a real-time dataset and benchmark for large-scale attacks in IoT environment. </w:t>
      </w:r>
      <w:r>
        <w:rPr>
          <w:rFonts w:cs="Times;Sylfaen" w:ascii="Times;Sylfaen" w:hAnsi="Times;Sylfaen"/>
          <w:b/>
          <w:bCs/>
        </w:rPr>
        <w:t xml:space="preserve">Sensors</w:t>
      </w:r>
      <w:r>
        <w:rPr>
          <w:rFonts w:cs="Times;Sylfaen" w:ascii="Times;Sylfaen" w:hAnsi="Times;Sylfaen"/>
        </w:rPr>
        <w:t xml:space="preserve">, v. 23, n. 13, 5941, 2023. DOI: 10.3390/s23135941.</w:t>
      </w:r>
    </w:p>
    <w:p>
      <w:pPr>
        <w:pStyle w:val="Normal"/>
        <w:tabs>
          <w:tab w:val="clear" w:pos="708"/>
          <w:tab w:val="left" w:pos="720" w:leader="none"/>
        </w:tabs>
        <w:spacing w:before="120" w:after="0"/>
        <w:jc w:val="left"/>
      </w:pPr>
      <w:r>
        <w:rPr>
          <w:rFonts w:cs="Times;Sylfaen" w:ascii="Times;Sylfaen" w:hAnsi="Times;Sylfaen"/>
        </w:rPr>
        <w:t xml:space="preserve">NETSKOPE. </w:t>
      </w:r>
      <w:r>
        <w:rPr>
          <w:rFonts w:cs="Times;Sylfaen" w:ascii="Times;Sylfaen" w:hAnsi="Times;Sylfaen"/>
          <w:b/>
          <w:bCs/>
        </w:rPr>
        <w:t xml:space="preserve">Netskope introduces SkopeAI</w:t>
      </w:r>
      <w:r>
        <w:rPr>
          <w:rFonts w:cs="Times;Sylfaen" w:ascii="Times;Sylfaen" w:hAnsi="Times;Sylfaen"/>
        </w:rPr>
        <w:t xml:space="preserve">: revolutionary AI-driven security for the future of data protection and cyber threat defense. 25 jul. 2023. Disponível em: https://www.netskope.com/fr/press-releases/netskope-introduces-skopeai-revolutionary-ai-driven-security-for-the-future-of-data-protection-and-cyber-threat-defense. Acesso em: 11 out. 2026.</w:t>
      </w:r>
    </w:p>
    <w:p>
      <w:pPr>
        <w:pStyle w:val="Normal"/>
        <w:tabs>
          <w:tab w:val="clear" w:pos="708"/>
          <w:tab w:val="left" w:pos="720" w:leader="none"/>
        </w:tabs>
        <w:spacing w:before="120" w:after="0"/>
        <w:jc w:val="left"/>
      </w:pPr>
      <w:r>
        <w:rPr>
          <w:rFonts w:cs="Times;Sylfaen" w:ascii="Times;Sylfaen" w:hAnsi="Times;Sylfaen"/>
        </w:rPr>
        <w:t xml:space="preserve">OLIVEIRA, B. S.; GREGORIN, M. Q.; ROLING, J. V.; GUIMARÃES, P. H. C. </w:t>
      </w:r>
      <w:r>
        <w:rPr>
          <w:rFonts w:cs="Times;Sylfaen" w:ascii="Times;Sylfaen" w:hAnsi="Times;Sylfaen"/>
          <w:b/>
          <w:bCs/>
        </w:rPr>
        <w:t xml:space="preserve">SentryIoT</w:t>
      </w:r>
      <w:r>
        <w:rPr>
          <w:rFonts w:cs="Times;Sylfaen" w:ascii="Times;Sylfaen" w:hAnsi="Times;Sylfaen"/>
        </w:rPr>
        <w:t xml:space="preserve">: MultiAgent NIDR. [S. l.]: GitHub, 2026. Repositório de código. Disponível em: https://github.com/stermiix/SentryIoT. Acesso em: 11 out. 2026.</w:t>
      </w:r>
    </w:p>
    <w:p>
      <w:pPr>
        <w:pStyle w:val="Normal"/>
        <w:tabs>
          <w:tab w:val="clear" w:pos="708"/>
          <w:tab w:val="left" w:pos="720" w:leader="none"/>
        </w:tabs>
        <w:spacing w:before="120" w:after="0"/>
        <w:jc w:val="left"/>
      </w:pPr>
      <w:r>
        <w:rPr>
          <w:rFonts w:cs="Times;Sylfaen" w:ascii="Times;Sylfaen" w:hAnsi="Times;Sylfaen"/>
        </w:rPr>
        <w:t xml:space="preserve">VECTRA AI. </w:t>
      </w:r>
      <w:r>
        <w:rPr>
          <w:rFonts w:cs="Times;Sylfaen" w:ascii="Times;Sylfaen" w:hAnsi="Times;Sylfaen"/>
          <w:b/>
          <w:bCs/>
        </w:rPr>
        <w:t xml:space="preserve">Vectra advances security AI to deliver Attack Signal Intelligence</w:t>
      </w:r>
      <w:r>
        <w:rPr>
          <w:rFonts w:cs="Times;Sylfaen" w:ascii="Times;Sylfaen" w:hAnsi="Times;Sylfaen"/>
        </w:rPr>
        <w:t xml:space="preserve">. Dark Reading, 12 out. 2022. Disponível em: https://www.darkreading.com/operations/vectra-advances-security-ai-to-deliver-attack-signal-intelligence-empowering-security-teams-to-investigate-and-respond-to-attacks-in-real-time. Acesso em: 11 out. 2026.</w:t>
      </w:r>
    </w:p>
    <w:p>
      <w:pPr>
        <w:pStyle w:val="Normal"/>
        <w:tabs>
          <w:tab w:val="clear" w:pos="708"/>
          <w:tab w:val="left" w:pos="720" w:leader="none"/>
        </w:tabs>
        <w:spacing w:before="120" w:after="0"/>
        <w:jc w:val="left"/>
      </w:pPr>
      <w:r>
        <w:rPr>
          <w:rFonts w:cs="Times;Sylfaen" w:ascii="Times;Sylfaen" w:hAnsi="Times;Sylfaen"/>
          <w:highlight w:val="yellow"/>
        </w:rPr>
        <w:t xml:space="preserve">[PENDENTE: acrescentar as referências do TCC I que continuarem citadas (por exemplo, FERRAG et al., 2024).]</w:t>
      </w:r>
    </w:p>
    <w:sectPr>
      <w:type w:val="continuous"/>
      <w:pgSz w:w="11906" w:h="16838"/>
      <w:pgMar w:left="1418" w:right="1134" w:gutter="0" w:header="709" w:top="1843" w:footer="0" w:bottom="124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2025-08-14T17:45:00Z</dcterms:created>
  <dc:creator>Milton P. Filho</dc:creator>
  <dc:description/>
  <cp:keywords/>
  <dc:language>en-US</dc:language>
  <cp:lastModifiedBy>Matheus Queiroz Gregorin</cp:lastModifiedBy>
  <cp:lastPrinted>2021-03-03T09:12:00Z</cp:lastPrinted>
  <dcterms:modified xsi:type="dcterms:W3CDTF">2026-08-15T12:37:00Z</dcterms:modified>
  <cp:revision>5</cp:revision>
  <dc:subject/>
  <dc:title>Edital Vestibular SP Alphaville</dc:title>
</cp:coreProperties>
</file>