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Layout w:type="fixed"/>
        <w:tblLook w:val="0000" w:firstRow="0" w:lastRow="0" w:firstColumn="0" w:lastColumn="0" w:noHBand="0" w:noVBand="0"/>
      </w:tblPr>
      <w:tblGrid>
        <w:gridCol w:w="4644"/>
        <w:gridCol w:w="4645"/>
      </w:tblGrid>
      <w:tr w:rsidR="00405083" w:rsidRPr="00863239">
        <w:trPr>
          <w:cantSplit/>
        </w:trPr>
        <w:tc>
          <w:tcPr>
            <w:tcW w:w="4644" w:type="dxa"/>
          </w:tcPr>
          <w:p w:rsidR="006A261E" w:rsidRPr="00863239" w:rsidRDefault="00B64E1B" w:rsidP="0098721A">
            <w:bookmarkStart w:id="0" w:name="_GoBack"/>
            <w:bookmarkEnd w:id="0"/>
            <w:r>
              <w:rPr>
                <w:noProof/>
              </w:rPr>
              <mc:AlternateContent>
                <mc:Choice Requires="wps">
                  <w:drawing>
                    <wp:anchor distT="0" distB="0" distL="114300" distR="114300" simplePos="0" relativeHeight="251657728" behindDoc="1" locked="0" layoutInCell="0" allowOverlap="1" wp14:anchorId="0973E793" wp14:editId="3E87B22B">
                      <wp:simplePos x="0" y="0"/>
                      <wp:positionH relativeFrom="page">
                        <wp:posOffset>6769100</wp:posOffset>
                      </wp:positionH>
                      <wp:positionV relativeFrom="page">
                        <wp:posOffset>10081260</wp:posOffset>
                      </wp:positionV>
                      <wp:extent cx="647700" cy="39624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61E" w:rsidRPr="0098721A" w:rsidRDefault="006A261E" w:rsidP="0098721A">
                                  <w:pPr>
                                    <w:jc w:val="center"/>
                                    <w:rPr>
                                      <w:rFonts w:ascii="Arial" w:hAnsi="Arial" w:cs="Arial"/>
                                      <w:b/>
                                      <w:sz w:val="48"/>
                                    </w:rPr>
                                  </w:pPr>
                                  <w:r>
                                    <w:rPr>
                                      <w:rFonts w:ascii="Arial" w:hAnsi="Arial"/>
                                      <w:b/>
                                      <w:sz w:val="48"/>
                                    </w:rPr>
                                    <w: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3E793" id="_x0000_t202" coordsize="21600,21600" o:spt="202" path="m,l,21600r21600,l21600,xe">
                      <v:stroke joinstyle="miter"/>
                      <v:path gradientshapeok="t" o:connecttype="rect"/>
                    </v:shapetype>
                    <v:shape id="Text Box 3" o:spid="_x0000_s1026" type="#_x0000_t202" style="position:absolute;margin-left:533pt;margin-top:793.8pt;width:51pt;height:3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reQtQIAALg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iOMBO2gRY9sNOhOjujaVmfodQpODz24mRGOocsuU93fy/KbRkKuGiq27FYpOTSMVsAutDf9i6sT&#10;jrYgm+GjrCAM3RnpgMZadbZ0UAwE6NClp1NnLJUSDmMynwdgKcF0ncQRcZ3zaXq83Ctt3jPZIbvI&#10;sILGO3C6v9fGkqHp0cXGErLgbeua34pnB+A4nUBouGptloTr5c8kSNaL9YJ4JIrXHgny3LstVsSL&#10;i3A+y6/z1SoPf9m4IUkbXlVM2DBHXYXkz/p2UPikiJOytGx5ZeEsJa22m1Wr0J6Crgv3uZKD5ezm&#10;P6fhigC5vEgphGLeRYlXxIu5Rwoy85J5sPCCMLlL4oAkJC+ep3TPBfv3lNCQ4WQWzSYtnUm/yC1w&#10;3+vcaNpxA5Oj5V2GFycnmloFrkXlWmsob6f1RSks/XMpoN3HRju9WolOYjXjZgQUK+KNrJ5AuUqC&#10;skCEMO5g0Uj1A6MBRkeG9fcdVQyj9oMA9SchAX0i4zZkNo9goy4tm0sLFSVAZdhgNC1XZppPu17x&#10;bQORpvcm5C28mJo7NZ9ZHd4ZjAeX1GGU2flzuXde54G7/A0AAP//AwBQSwMEFAAGAAgAAAAhAOtU&#10;MVreAAAADwEAAA8AAABkcnMvZG93bnJldi54bWxMT0FOwzAQvCPxB2uRuFG7iJgQ4lQIxBVEgUq9&#10;ufE2iYjXUew24fdsT/Q2szOanSlXs+/FEcfYBTKwXCgQSHVwHTUGvj5fb3IQMVlytg+EBn4xwqq6&#10;vCht4cJEH3hcp0ZwCMXCGmhTGgopY92it3ERBiTW9mH0NjEdG+lGO3G47+WtUlp62xF/aO2Azy3W&#10;P+uDN/D9tt9u7tR78+KzYQqzkuQfpDHXV/PTI4iEc/o3w6k+V4eKO+3CgVwUPXOlNY9JjLL8XoM4&#10;eZY659uOkc6UAlmV8nxH9QcAAP//AwBQSwECLQAUAAYACAAAACEAtoM4kv4AAADhAQAAEwAAAAAA&#10;AAAAAAAAAAAAAAAAW0NvbnRlbnRfVHlwZXNdLnhtbFBLAQItABQABgAIAAAAIQA4/SH/1gAAAJQB&#10;AAALAAAAAAAAAAAAAAAAAC8BAABfcmVscy8ucmVsc1BLAQItABQABgAIAAAAIQC0IreQtQIAALgF&#10;AAAOAAAAAAAAAAAAAAAAAC4CAABkcnMvZTJvRG9jLnhtbFBLAQItABQABgAIAAAAIQDrVDFa3gAA&#10;AA8BAAAPAAAAAAAAAAAAAAAAAA8FAABkcnMvZG93bnJldi54bWxQSwUGAAAAAAQABADzAAAAGgYA&#10;AAAA&#10;" o:allowincell="f" filled="f" stroked="f">
                      <v:textbox>
                        <w:txbxContent>
                          <w:p w:rsidR="006A261E" w:rsidRPr="0098721A" w:rsidRDefault="006A261E" w:rsidP="0098721A">
                            <w:pPr>
                              <w:jc w:val="center"/>
                              <w:rPr>
                                <w:rFonts w:ascii="Arial" w:hAnsi="Arial" w:cs="Arial"/>
                                <w:b/>
                                <w:sz w:val="48"/>
                              </w:rPr>
                            </w:pPr>
                            <w:r>
                              <w:rPr>
                                <w:rFonts w:ascii="Arial" w:hAnsi="Arial"/>
                                <w:b/>
                                <w:sz w:val="48"/>
                              </w:rPr>
                              <w:t>RO</w:t>
                            </w:r>
                          </w:p>
                        </w:txbxContent>
                      </v:textbox>
                      <w10:wrap anchorx="page" anchory="page"/>
                    </v:shape>
                  </w:pict>
                </mc:Fallback>
              </mc:AlternateContent>
            </w:r>
            <w:r w:rsidR="00C30419">
              <w:rPr>
                <w:noProof/>
              </w:rPr>
              <w:drawing>
                <wp:inline distT="0" distB="0" distL="0" distR="0">
                  <wp:extent cx="1799590" cy="1555750"/>
                  <wp:effectExtent l="0" t="0" r="0" b="6350"/>
                  <wp:docPr id="1" name="Picture 1" title="CoRLogo_RO"/>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9590" cy="1555750"/>
                          </a:xfrm>
                          <a:prstGeom prst="rect">
                            <a:avLst/>
                          </a:prstGeom>
                        </pic:spPr>
                      </pic:pic>
                    </a:graphicData>
                  </a:graphic>
                </wp:inline>
              </w:drawing>
            </w:r>
          </w:p>
        </w:tc>
        <w:tc>
          <w:tcPr>
            <w:tcW w:w="4645" w:type="dxa"/>
          </w:tcPr>
          <w:p w:rsidR="006A261E" w:rsidRPr="00863239" w:rsidRDefault="006A261E" w:rsidP="0098721A"/>
        </w:tc>
      </w:tr>
      <w:tr w:rsidR="00405083" w:rsidRPr="00863239">
        <w:trPr>
          <w:cantSplit/>
        </w:trPr>
        <w:tc>
          <w:tcPr>
            <w:tcW w:w="9289" w:type="dxa"/>
            <w:gridSpan w:val="2"/>
          </w:tcPr>
          <w:p w:rsidR="006A261E" w:rsidRPr="00863239" w:rsidRDefault="006A261E" w:rsidP="00910895">
            <w:pPr>
              <w:jc w:val="right"/>
              <w:rPr>
                <w:b/>
                <w:bCs/>
                <w:sz w:val="28"/>
              </w:rPr>
            </w:pPr>
            <w:r>
              <w:rPr>
                <w:b/>
                <w:sz w:val="28"/>
              </w:rPr>
              <w:t>ECON-VII/008</w:t>
            </w:r>
          </w:p>
        </w:tc>
      </w:tr>
      <w:tr w:rsidR="00405083" w:rsidRPr="00863239">
        <w:tc>
          <w:tcPr>
            <w:tcW w:w="9289" w:type="dxa"/>
            <w:gridSpan w:val="2"/>
          </w:tcPr>
          <w:p w:rsidR="006A261E" w:rsidRPr="00863239" w:rsidRDefault="001948FC" w:rsidP="0098721A">
            <w:pPr>
              <w:jc w:val="center"/>
              <w:rPr>
                <w:b/>
                <w:bCs/>
                <w:sz w:val="28"/>
              </w:rPr>
            </w:pPr>
            <w:r>
              <w:rPr>
                <w:b/>
                <w:sz w:val="28"/>
              </w:rPr>
              <w:t>A 140-a sesiune plenară, 12-14 octombrie 2020</w:t>
            </w:r>
          </w:p>
        </w:tc>
      </w:tr>
    </w:tbl>
    <w:p w:rsidR="006A261E" w:rsidRPr="00863239" w:rsidRDefault="006A261E" w:rsidP="0098721A"/>
    <w:p w:rsidR="006A261E" w:rsidRPr="00863239" w:rsidRDefault="006A261E" w:rsidP="0098721A">
      <w:pPr>
        <w:jc w:val="center"/>
        <w:rPr>
          <w:b/>
          <w:sz w:val="28"/>
        </w:rPr>
      </w:pPr>
      <w:r>
        <w:rPr>
          <w:b/>
          <w:sz w:val="28"/>
        </w:rPr>
        <w:t>AVIZ</w:t>
      </w:r>
    </w:p>
    <w:p w:rsidR="006A261E" w:rsidRPr="00863239" w:rsidRDefault="006A261E" w:rsidP="0098721A"/>
    <w:p w:rsidR="00B00F9F" w:rsidRPr="00863239" w:rsidRDefault="00B00F9F" w:rsidP="0098721A">
      <w:pPr>
        <w:jc w:val="center"/>
      </w:pPr>
      <w:r>
        <w:rPr>
          <w:b/>
          <w:sz w:val="28"/>
        </w:rPr>
        <w:t>Strategia pentru IMM-uri</w:t>
      </w:r>
    </w:p>
    <w:p w:rsidR="00B00F9F" w:rsidRPr="00863239" w:rsidRDefault="00B00F9F" w:rsidP="0098721A"/>
    <w:tbl>
      <w:tblPr>
        <w:tblW w:w="928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9"/>
      </w:tblGrid>
      <w:tr w:rsidR="00661505" w:rsidRPr="00863239" w:rsidTr="00347264">
        <w:trPr>
          <w:trHeight w:val="841"/>
        </w:trPr>
        <w:tc>
          <w:tcPr>
            <w:tcW w:w="9289" w:type="dxa"/>
            <w:shd w:val="clear" w:color="auto" w:fill="auto"/>
          </w:tcPr>
          <w:p w:rsidR="00661505" w:rsidRDefault="00661505" w:rsidP="002D5C92">
            <w:pPr>
              <w:suppressAutoHyphens/>
              <w:spacing w:line="240" w:lineRule="auto"/>
            </w:pPr>
            <w:r>
              <w:t>COMITETUL EUROPEAN AL REGIUNILOR</w:t>
            </w:r>
          </w:p>
          <w:p w:rsidR="002D5C92" w:rsidRDefault="002D5C92" w:rsidP="002D5C92">
            <w:pPr>
              <w:suppressAutoHyphens/>
              <w:spacing w:line="240" w:lineRule="auto"/>
            </w:pPr>
          </w:p>
          <w:p w:rsidR="00F1496E" w:rsidRPr="00863239" w:rsidRDefault="00F1496E" w:rsidP="002D5C92">
            <w:pPr>
              <w:pStyle w:val="normalpoint"/>
              <w:numPr>
                <w:ilvl w:val="0"/>
                <w:numId w:val="10"/>
              </w:numPr>
              <w:tabs>
                <w:tab w:val="clear" w:pos="0"/>
              </w:tabs>
              <w:spacing w:line="240" w:lineRule="auto"/>
              <w:ind w:left="369" w:hanging="369"/>
              <w:rPr>
                <w:szCs w:val="20"/>
              </w:rPr>
            </w:pPr>
            <w:r>
              <w:t>înțelege că, de la prezentarea Strategiei pentru IMM-uri, lumea s-a schimbat semnificativ. Se</w:t>
            </w:r>
            <w:r w:rsidR="002D5C92">
              <w:t> </w:t>
            </w:r>
            <w:r>
              <w:t>preconizează că efectele crizei economice provocate de pandemia de COVID-19 vor avea un impact puternic asupra tuturor regiunilor și IMM-urilor din Europa. Cu toate acestea, criza ar trebui privită ca o oportunitate istorică de a orienta măsurile de redresare a economiei după standardele Pactului verde european, în sensul durabilității și digitalizării, care trebuie să facă parte integrantă dintr-o strategie pentru IMM-uri;</w:t>
            </w:r>
          </w:p>
          <w:p w:rsidR="00F1496E" w:rsidRPr="00863239" w:rsidRDefault="00F1496E" w:rsidP="002D5C92">
            <w:pPr>
              <w:pStyle w:val="normalpoint"/>
              <w:numPr>
                <w:ilvl w:val="0"/>
                <w:numId w:val="10"/>
              </w:numPr>
              <w:tabs>
                <w:tab w:val="clear" w:pos="0"/>
              </w:tabs>
              <w:spacing w:line="240" w:lineRule="auto"/>
              <w:ind w:left="369" w:hanging="369"/>
              <w:rPr>
                <w:szCs w:val="20"/>
              </w:rPr>
            </w:pPr>
            <w:r>
              <w:t>pentru a putea răspunde în mod adecvat nevoilor variate ale IMM-urilor și diferitelor condiții economice și instituționale din Europa, trebuie pus în aplicare un plan de redresare pentru IMM-uri, în care autoritățile locale și regionale să joace un rol fundamental;</w:t>
            </w:r>
          </w:p>
          <w:p w:rsidR="00DE1B28" w:rsidRPr="00863239" w:rsidRDefault="00DE1B28" w:rsidP="002D5C92">
            <w:pPr>
              <w:pStyle w:val="normalpoint"/>
              <w:numPr>
                <w:ilvl w:val="0"/>
                <w:numId w:val="10"/>
              </w:numPr>
              <w:tabs>
                <w:tab w:val="clear" w:pos="0"/>
              </w:tabs>
              <w:spacing w:line="240" w:lineRule="auto"/>
              <w:ind w:left="369" w:hanging="369"/>
              <w:rPr>
                <w:szCs w:val="20"/>
              </w:rPr>
            </w:pPr>
            <w:r>
              <w:t>îndeamnă Comisia să monitorizeze în ce măsură impactul măsurilor de sprijin de urgență nu subminează ambiția acesteia de a crea condiții echitabile pentru IMM-uri;</w:t>
            </w:r>
          </w:p>
          <w:p w:rsidR="00661505" w:rsidRPr="00863239" w:rsidRDefault="00F1496E" w:rsidP="002D5C92">
            <w:pPr>
              <w:pStyle w:val="normalpoint"/>
              <w:numPr>
                <w:ilvl w:val="0"/>
                <w:numId w:val="10"/>
              </w:numPr>
              <w:tabs>
                <w:tab w:val="clear" w:pos="0"/>
              </w:tabs>
              <w:spacing w:line="240" w:lineRule="auto"/>
              <w:ind w:left="369" w:hanging="369"/>
              <w:rPr>
                <w:szCs w:val="20"/>
              </w:rPr>
            </w:pPr>
            <w:r>
              <w:t>atrage atenția asupra faptului că peste 60 % dintre IMM-uri nu primesc plățile la timp, ceea ce reprezintă una dintre cauzele principale de faliment în rândul acestora. Prin urmare, solicită punerea în aplicare corespunzătoare a Directivei privind întârzierea în efectuarea plăților și salută instrumentul de monitorizare și de punere în aplicare propus;</w:t>
            </w:r>
          </w:p>
          <w:p w:rsidR="008C6F57" w:rsidRPr="00863239" w:rsidRDefault="008C6F57" w:rsidP="002D5C92">
            <w:pPr>
              <w:pStyle w:val="normalpoint"/>
              <w:numPr>
                <w:ilvl w:val="0"/>
                <w:numId w:val="10"/>
              </w:numPr>
              <w:tabs>
                <w:tab w:val="clear" w:pos="0"/>
              </w:tabs>
              <w:spacing w:line="240" w:lineRule="auto"/>
              <w:ind w:left="369" w:hanging="369"/>
              <w:rPr>
                <w:szCs w:val="20"/>
              </w:rPr>
            </w:pPr>
            <w:r>
              <w:t>împărtășește viziunea Comisiei în ceea ce privește diversitatea IMM-urilor, însă consideră că această diversitate nu este operaționalizată suficient în măsurile propuse;</w:t>
            </w:r>
          </w:p>
          <w:p w:rsidR="00DE1B28" w:rsidRPr="00863239" w:rsidRDefault="00F371A8" w:rsidP="002D5C92">
            <w:pPr>
              <w:pStyle w:val="normalpoint"/>
              <w:numPr>
                <w:ilvl w:val="0"/>
                <w:numId w:val="10"/>
              </w:numPr>
              <w:tabs>
                <w:tab w:val="clear" w:pos="0"/>
              </w:tabs>
              <w:spacing w:line="240" w:lineRule="auto"/>
              <w:ind w:left="369" w:hanging="369"/>
              <w:rPr>
                <w:szCs w:val="20"/>
              </w:rPr>
            </w:pPr>
            <w:r>
              <w:rPr>
                <w:color w:val="000000"/>
                <w:szCs w:val="20"/>
              </w:rPr>
              <w:t>subliniază că politicile privind IMM-urile ar trebui să acorde prioritate implicării IMM-urilor cu experiență și abordării nevoilor acestora, inclusiv în ceea ce privește adaptarea la noile tehnologii, transferurile de activități economice, internaționalizarea, accesul la finanțare și profesionalizarea activităților de gestiune și de raportare. Ghișeele unice existente, puternic integrate în ecosistemele regionale, ar trebui folosite ca puncte de acces pentru furnizarea de servicii accesibile la nivel local pentru IMM-uri, inclusiv pentru furnizarea de consiliere cu privire la o gamă largă de programe, măsuri și instrumente de finanțare de la nivelul UE, de la nivel național și de la nivel regional;</w:t>
            </w:r>
          </w:p>
          <w:p w:rsidR="00DE1B28" w:rsidRPr="00347264" w:rsidRDefault="00DE1B28" w:rsidP="002D5C92">
            <w:pPr>
              <w:pStyle w:val="normalpoint"/>
              <w:numPr>
                <w:ilvl w:val="0"/>
                <w:numId w:val="10"/>
              </w:numPr>
              <w:tabs>
                <w:tab w:val="clear" w:pos="0"/>
              </w:tabs>
              <w:spacing w:line="240" w:lineRule="auto"/>
              <w:ind w:left="369" w:hanging="369"/>
              <w:rPr>
                <w:szCs w:val="20"/>
              </w:rPr>
            </w:pPr>
            <w:r>
              <w:t>solicită Comisiei să își îmbunătățească testul aplicat IMM-urilor în timpul evaluării impactului reglementărilor propuse, în conformitate cu principiul „a gândi mai întâi la scară mică”;</w:t>
            </w:r>
          </w:p>
          <w:p w:rsidR="00661505" w:rsidRPr="002D5C92" w:rsidRDefault="00863239" w:rsidP="002D5C92">
            <w:pPr>
              <w:pStyle w:val="normalpoint"/>
              <w:numPr>
                <w:ilvl w:val="0"/>
                <w:numId w:val="10"/>
              </w:numPr>
              <w:tabs>
                <w:tab w:val="clear" w:pos="0"/>
              </w:tabs>
              <w:spacing w:line="240" w:lineRule="auto"/>
              <w:ind w:left="369" w:hanging="369"/>
              <w:rPr>
                <w:szCs w:val="20"/>
              </w:rPr>
            </w:pPr>
            <w:r>
              <w:t>solicită Comisiei să îmbunătățească coordonarea orizontală a strategiei pentru IMM-uri, mărind astfel impactul strategiei asupra alocării fondurilor structurale și de investiții europene în perioada 2021-2027.</w:t>
            </w:r>
          </w:p>
        </w:tc>
      </w:tr>
    </w:tbl>
    <w:p w:rsidR="00B83F5F" w:rsidRPr="00863239" w:rsidRDefault="00B83F5F">
      <w:pPr>
        <w:suppressAutoHyphens/>
        <w:sectPr w:rsidR="00B83F5F" w:rsidRPr="00863239" w:rsidSect="00863239">
          <w:footerReference w:type="default" r:id="rId12"/>
          <w:pgSz w:w="11906" w:h="16838"/>
          <w:pgMar w:top="1417" w:right="1417" w:bottom="1417" w:left="1417" w:header="709" w:footer="709" w:gutter="0"/>
          <w:pgNumType w:start="1"/>
          <w:cols w:space="720"/>
          <w:docGrid w:linePitch="600" w:charSpace="32768"/>
        </w:sectPr>
      </w:pPr>
    </w:p>
    <w:p w:rsidR="00B83F5F" w:rsidRPr="00863239" w:rsidRDefault="00B83F5F">
      <w:pPr>
        <w:suppressAutoHyphens/>
      </w:pPr>
    </w:p>
    <w:tbl>
      <w:tblPr>
        <w:tblW w:w="5000" w:type="pct"/>
        <w:tblLayout w:type="fixed"/>
        <w:tblLook w:val="01E0" w:firstRow="1" w:lastRow="1" w:firstColumn="1" w:lastColumn="1" w:noHBand="0" w:noVBand="0"/>
      </w:tblPr>
      <w:tblGrid>
        <w:gridCol w:w="9072"/>
      </w:tblGrid>
      <w:tr w:rsidR="00405083" w:rsidRPr="00863239">
        <w:trPr>
          <w:trHeight w:val="12474"/>
        </w:trPr>
        <w:tc>
          <w:tcPr>
            <w:tcW w:w="9289" w:type="dxa"/>
            <w:vAlign w:val="bottom"/>
          </w:tcPr>
          <w:p w:rsidR="00661505" w:rsidRPr="00863239" w:rsidRDefault="002D5C92" w:rsidP="00661505">
            <w:pPr>
              <w:suppressAutoHyphens/>
              <w:rPr>
                <w:u w:val="single"/>
              </w:rPr>
            </w:pPr>
            <w:r>
              <w:rPr>
                <w:u w:val="single"/>
              </w:rPr>
              <w:t>Raportor</w:t>
            </w:r>
          </w:p>
          <w:p w:rsidR="00661505" w:rsidRPr="00863239" w:rsidRDefault="00661505" w:rsidP="00661505">
            <w:pPr>
              <w:suppressAutoHyphens/>
              <w:rPr>
                <w:u w:val="single"/>
              </w:rPr>
            </w:pPr>
          </w:p>
          <w:p w:rsidR="00661505" w:rsidRPr="00347264" w:rsidRDefault="00661505" w:rsidP="00661505">
            <w:pPr>
              <w:suppressAutoHyphens/>
            </w:pPr>
            <w:r>
              <w:t>Eddy van Hijum (NL-PPE), membru al Consiliului executiv al provinciei Overijssel</w:t>
            </w:r>
          </w:p>
          <w:p w:rsidR="00661505" w:rsidRPr="00863239" w:rsidRDefault="00661505" w:rsidP="00661505">
            <w:pPr>
              <w:suppressAutoHyphens/>
              <w:rPr>
                <w:u w:val="single"/>
              </w:rPr>
            </w:pPr>
          </w:p>
          <w:p w:rsidR="00832B78" w:rsidRPr="00863239" w:rsidRDefault="00832B78" w:rsidP="00832B78">
            <w:pPr>
              <w:suppressAutoHyphens/>
            </w:pPr>
            <w:r>
              <w:rPr>
                <w:u w:val="single"/>
              </w:rPr>
              <w:t>Documente de referință</w:t>
            </w:r>
          </w:p>
          <w:p w:rsidR="00832B78" w:rsidRPr="00863239" w:rsidRDefault="00832B78" w:rsidP="00832B78"/>
          <w:p w:rsidR="00832B78" w:rsidRPr="00863239" w:rsidRDefault="00832B78" w:rsidP="00832B78">
            <w:r>
              <w:t>Raportul anual privind IMM-urile din Europa. Cercetarea, dezvoltarea și inovarea la nivelul IMM</w:t>
            </w:r>
            <w:r w:rsidR="002D5C92">
              <w:noBreakHyphen/>
            </w:r>
            <w:r>
              <w:t>urilor</w:t>
            </w:r>
          </w:p>
          <w:p w:rsidR="00832B78" w:rsidRPr="00863239" w:rsidRDefault="00832B78" w:rsidP="00832B78"/>
          <w:p w:rsidR="00832B78" w:rsidRPr="00863239" w:rsidRDefault="00832B78" w:rsidP="007F1DB5">
            <w:r>
              <w:t xml:space="preserve">Comunicare a Comisiei către Parlamentul European, Consiliu, Comitetul Economic și Social European și Comitetul Regiunilor Strategia pentru IMM-uri pentru o Europă sustenabilă și digitală [COM(2020) 103 final]. </w:t>
            </w:r>
          </w:p>
        </w:tc>
      </w:tr>
    </w:tbl>
    <w:p w:rsidR="00EA12B6" w:rsidRPr="00863239" w:rsidRDefault="00EA12B6" w:rsidP="0098721A">
      <w:pPr>
        <w:rPr>
          <w:b/>
        </w:rPr>
      </w:pPr>
      <w:r>
        <w:br w:type="page"/>
      </w:r>
    </w:p>
    <w:p w:rsidR="00590965" w:rsidRPr="00863239" w:rsidRDefault="00661505" w:rsidP="007F1DB5">
      <w:pPr>
        <w:keepLines/>
        <w:jc w:val="center"/>
        <w:rPr>
          <w:b/>
        </w:rPr>
      </w:pPr>
      <w:r>
        <w:rPr>
          <w:b/>
        </w:rPr>
        <w:t>Avizul Comitetului European al Regiunilor – Strategia pentru IMM-uri</w:t>
      </w:r>
    </w:p>
    <w:p w:rsidR="00D211F6" w:rsidRPr="00863239" w:rsidRDefault="00D211F6" w:rsidP="007F1DB5">
      <w:pPr>
        <w:keepLines/>
        <w:rPr>
          <w:b/>
        </w:rPr>
      </w:pPr>
    </w:p>
    <w:p w:rsidR="00590965" w:rsidRPr="00863239" w:rsidRDefault="006A261E" w:rsidP="007F1DB5">
      <w:pPr>
        <w:keepLines/>
        <w:numPr>
          <w:ilvl w:val="0"/>
          <w:numId w:val="5"/>
        </w:numPr>
        <w:ind w:left="567" w:hanging="567"/>
        <w:rPr>
          <w:b/>
        </w:rPr>
      </w:pPr>
      <w:r>
        <w:rPr>
          <w:b/>
        </w:rPr>
        <w:t>RECOMANDĂRI POLITICE</w:t>
      </w:r>
    </w:p>
    <w:p w:rsidR="00590965" w:rsidRPr="00863239" w:rsidRDefault="00590965" w:rsidP="007F1DB5">
      <w:pPr>
        <w:keepLines/>
      </w:pPr>
    </w:p>
    <w:p w:rsidR="00B00F9F" w:rsidRPr="00863239" w:rsidRDefault="00B00F9F" w:rsidP="007F1DB5">
      <w:pPr>
        <w:keepLines/>
      </w:pPr>
      <w:r>
        <w:t>COMITETUL EUROPEAN AL REGIUNILOR</w:t>
      </w:r>
    </w:p>
    <w:p w:rsidR="00B00F9F" w:rsidRPr="00863239" w:rsidRDefault="00B00F9F" w:rsidP="007F1DB5">
      <w:pPr>
        <w:keepLines/>
      </w:pPr>
    </w:p>
    <w:p w:rsidR="00B00F9F" w:rsidRPr="00863239" w:rsidRDefault="0098721A" w:rsidP="007F1DB5">
      <w:pPr>
        <w:pStyle w:val="ListParagraph"/>
        <w:keepLines/>
        <w:numPr>
          <w:ilvl w:val="0"/>
          <w:numId w:val="1"/>
        </w:numPr>
        <w:tabs>
          <w:tab w:val="clear" w:pos="0"/>
        </w:tabs>
        <w:suppressAutoHyphens/>
        <w:ind w:left="567" w:hanging="567"/>
      </w:pPr>
      <w:r>
        <w:t>recunoaște importanța întreprinderilor mici și mijlocii pentru economia europeană, acestea reprezentând 99,8 % din totalul societăților din sectorul nefinanciar, două treimi din totalul locurilor de muncă și 56,4 % din valoarea adăugată totală generată de sectorul nefinanciar</w:t>
      </w:r>
      <w:r w:rsidRPr="00863239">
        <w:rPr>
          <w:rStyle w:val="FootnoteReference"/>
        </w:rPr>
        <w:footnoteReference w:id="1"/>
      </w:r>
      <w:r>
        <w:t>;</w:t>
      </w:r>
    </w:p>
    <w:p w:rsidR="00B00F9F" w:rsidRPr="00863239" w:rsidRDefault="00B00F9F" w:rsidP="0098721A">
      <w:pPr>
        <w:ind w:left="567" w:hanging="567"/>
      </w:pPr>
    </w:p>
    <w:p w:rsidR="00B00F9F" w:rsidRPr="00863239" w:rsidRDefault="0098721A" w:rsidP="00560476">
      <w:pPr>
        <w:pStyle w:val="ListParagraph"/>
        <w:numPr>
          <w:ilvl w:val="0"/>
          <w:numId w:val="1"/>
        </w:numPr>
        <w:suppressAutoHyphens/>
        <w:ind w:left="567" w:hanging="567"/>
      </w:pPr>
      <w:r>
        <w:t>înțelege că tranziția către o economie durabilă și digitală nu se poate realiza fără angajamentul antreprenorilor și al întreprinderilor familiale, care dețin și gestionează cele 25 de milioane de IMM-uri din Europa, și subliniază necesitatea de a ajuta IMM-urile să valorifice noi oportunități, să răspundă într-o manieră fermă la schimbările mediului de afaceri și, prin aceasta, să creeze creștere economică și locuri de muncă durabile și să consolideze competitivitatea pe termen lung a Europei în aceste tranziții;</w:t>
      </w:r>
    </w:p>
    <w:p w:rsidR="00B00F9F" w:rsidRPr="00863239" w:rsidRDefault="00B00F9F" w:rsidP="00560476">
      <w:pPr>
        <w:ind w:left="567" w:hanging="567"/>
      </w:pPr>
    </w:p>
    <w:p w:rsidR="00B00F9F" w:rsidRPr="00863239" w:rsidRDefault="0098721A" w:rsidP="00560476">
      <w:pPr>
        <w:pStyle w:val="ListParagraph"/>
        <w:numPr>
          <w:ilvl w:val="0"/>
          <w:numId w:val="1"/>
        </w:numPr>
        <w:suppressAutoHyphens/>
        <w:ind w:left="567" w:hanging="567"/>
      </w:pPr>
      <w:r>
        <w:t>sprijină UE în promovarea unor condiții echitabile pentru IMM-uri prin reducerea sarcinii de reglementare, prin îmbunătățirea accesului pe piața unică și printr-o mai bună disponibilitate a serviciilor financiare;</w:t>
      </w:r>
    </w:p>
    <w:p w:rsidR="00B00F9F" w:rsidRPr="00863239" w:rsidRDefault="00B00F9F" w:rsidP="00560476"/>
    <w:p w:rsidR="00B00F9F" w:rsidRPr="00863239" w:rsidRDefault="0098721A" w:rsidP="00560476">
      <w:pPr>
        <w:pStyle w:val="ListParagraph"/>
        <w:numPr>
          <w:ilvl w:val="0"/>
          <w:numId w:val="1"/>
        </w:numPr>
        <w:suppressAutoHyphens/>
        <w:ind w:left="567" w:hanging="567"/>
      </w:pPr>
      <w:r>
        <w:t>subliniază faptul că regiunile și orașele constituie habitatul natural al IMM-urilor, funcționând ca un ecosistem în care IMM-urile sunt integrate în rețele ce asigură legătura dintre acestea și infrastructura de sprijin, din care fac parte piețele muncii, instituțiile de învățământ și institutele de cercetare, cumpărătorii și furnizorii, serviciile financiare și serviciile pentru întreprinderi, camerele de comerț și industrie și autoritățile locale și regionale;</w:t>
      </w:r>
    </w:p>
    <w:p w:rsidR="00B00F9F" w:rsidRPr="00863239" w:rsidRDefault="00B00F9F" w:rsidP="00560476"/>
    <w:p w:rsidR="00B00F9F" w:rsidRPr="00863239" w:rsidRDefault="0098721A" w:rsidP="00560476">
      <w:pPr>
        <w:pStyle w:val="ListParagraph"/>
        <w:numPr>
          <w:ilvl w:val="0"/>
          <w:numId w:val="1"/>
        </w:numPr>
        <w:suppressAutoHyphens/>
        <w:ind w:left="567" w:hanging="567"/>
      </w:pPr>
      <w:r>
        <w:t xml:space="preserve">prin urmare, salută cu căldură Comunicarea Comisiei din 10 martie 2020, intitulată </w:t>
      </w:r>
      <w:r>
        <w:rPr>
          <w:i/>
        </w:rPr>
        <w:t>O strategie pentru IMM-uri pentru o Europă sustenabilă și digitală,</w:t>
      </w:r>
      <w:r>
        <w:t xml:space="preserve"> și împărtășește obiectivele anunțate în aceasta privind reducerea sarcinii administrative și de reglementare pentru IMM-uri, îmbunătățirea accesului la finanțare și angajamentul de a încuraja IMM-urile să se implice în tranziția către durabilitate și digitalizare;</w:t>
      </w:r>
    </w:p>
    <w:p w:rsidR="00B00F9F" w:rsidRPr="00863239" w:rsidRDefault="00B00F9F" w:rsidP="00560476"/>
    <w:p w:rsidR="00B00F9F" w:rsidRPr="00863239" w:rsidRDefault="0098721A" w:rsidP="00560476">
      <w:pPr>
        <w:pStyle w:val="ListParagraph"/>
        <w:numPr>
          <w:ilvl w:val="0"/>
          <w:numId w:val="1"/>
        </w:numPr>
        <w:suppressAutoHyphens/>
        <w:ind w:left="567" w:hanging="567"/>
      </w:pPr>
      <w:r>
        <w:t>înțelege că, de la prezentarea Strategiei pentru IMM-uri, lumea s-a schimbat semnificativ. Se</w:t>
      </w:r>
      <w:r w:rsidR="0001303C">
        <w:t> </w:t>
      </w:r>
      <w:r>
        <w:t>preconizează că efectele crizei economice provocate de pandemia de COVID-19 vor avea un impact puternic asupra tuturor regiunilor și IMM-urilor din Europa. Cu toate acestea, criza ar trebui privită ca o oportunitate istorică de a orienta măsurile de redresare a economiei după standardele Pactului verde european, în sensul durabilității și digitalizării, care trebuie să facă parte integrantă dintr-o strategie pentru IMM-uri. Pentru a putea răspunde în mod adecvat nevoilor variate ale IMM-urilor și diferitelor condiții economice și instituționale din Europa, trebuie pus în aplicare un plan de redresare pentru IMM-uri, în care autoritățile locale și regionale să joace un rol fundamental. Măsurile UE pentru redresare vor avea eficiență maximă dacă vor fi sincronizate cu inițiativele regionale și naționale și coerente cu ecosistemele locale. Prin urmare, coordonarea și schimbul de bune practici sunt esențiale;</w:t>
      </w:r>
    </w:p>
    <w:p w:rsidR="00B00F9F" w:rsidRPr="00863239" w:rsidRDefault="00B00F9F" w:rsidP="0098721A"/>
    <w:p w:rsidR="00B00F9F" w:rsidRPr="00863239" w:rsidRDefault="00B00F9F" w:rsidP="007F1DB5">
      <w:pPr>
        <w:keepNext/>
        <w:suppressAutoHyphens/>
      </w:pPr>
      <w:r>
        <w:rPr>
          <w:i/>
        </w:rPr>
        <w:t>Includerea tuturor IMM-urilor</w:t>
      </w:r>
    </w:p>
    <w:p w:rsidR="00B00F9F" w:rsidRPr="00863239" w:rsidRDefault="00B00F9F" w:rsidP="007F1DB5">
      <w:pPr>
        <w:keepNext/>
      </w:pPr>
    </w:p>
    <w:p w:rsidR="004A337C" w:rsidRPr="00863239" w:rsidRDefault="00B00F9F" w:rsidP="007F1DB5">
      <w:pPr>
        <w:pStyle w:val="ListParagraph"/>
        <w:keepNext/>
        <w:numPr>
          <w:ilvl w:val="0"/>
          <w:numId w:val="7"/>
        </w:numPr>
        <w:suppressAutoHyphens/>
        <w:ind w:left="567" w:hanging="567"/>
      </w:pPr>
      <w:r>
        <w:t>consideră, prin urmare, că, deși include priorități și măsuri relevante, Strategiei pentru IMM-uri îi lipsește o viziune pentru abordarea pe deplin a diverselor nevoi ale IMM-urilor. O astfel de viziune ar trebui să pună accentul pe asigurarea unor condiții echitabile pentru IMM-uri pe o piață unică finalizată și aprofundată și ar trebui să încurajeze integrarea și complementaritatea între măsurile adoptate la toate nivelurile de guvernare, inclusiv o puternică dimensiune regională pentru a asigura o abordare localizată, adaptată nevoilor IMM-urilor locale;</w:t>
      </w:r>
    </w:p>
    <w:p w:rsidR="004A337C" w:rsidRPr="00863239" w:rsidRDefault="004A337C" w:rsidP="00560476">
      <w:pPr>
        <w:suppressAutoHyphens/>
      </w:pPr>
    </w:p>
    <w:p w:rsidR="00B00F9F" w:rsidRPr="00863239" w:rsidRDefault="0098721A" w:rsidP="00560476">
      <w:pPr>
        <w:pStyle w:val="ListParagraph"/>
        <w:numPr>
          <w:ilvl w:val="0"/>
          <w:numId w:val="8"/>
        </w:numPr>
        <w:suppressAutoHyphens/>
        <w:ind w:left="567" w:hanging="567"/>
      </w:pPr>
      <w:r>
        <w:t>împărtășește viziunea Comisiei în ceea ce privește diversitatea IMM-urilor, însă consideră că această diversitate nu este operaționalizată suficient în măsurile propuse. Strategia Comisiei se axează în principal pe IMM-urile nou-înființate, pe cele care aflate într-un proces de extindere și pe cele de înaltă tehnologie. Deși aceste grupuri sunt esențiale pentru creștere și inovare, aceasta nu înseamnă că întreprinderile tradiționale și familiale sunt simpli actori pasivi;</w:t>
      </w:r>
    </w:p>
    <w:p w:rsidR="00B00F9F" w:rsidRPr="00863239" w:rsidRDefault="00B00F9F" w:rsidP="0098721A"/>
    <w:p w:rsidR="00B00F9F" w:rsidRPr="00863239" w:rsidRDefault="0098721A" w:rsidP="00560476">
      <w:pPr>
        <w:pStyle w:val="ListParagraph"/>
        <w:numPr>
          <w:ilvl w:val="0"/>
          <w:numId w:val="8"/>
        </w:numPr>
        <w:suppressAutoHyphens/>
        <w:ind w:left="567" w:hanging="567"/>
      </w:pPr>
      <w:r>
        <w:t xml:space="preserve">își exprimă dezacordul față de caracterizarea Comisiei drept „întreprinderi tradiționale” aplicată IMM-urilor integrate, cu experiență, veritabili „adulți” ai comunității IMM-urilor. Aceste întreprinderi integrate vor constitui o forță stabilizatoare pentru economiile și comunitățile locale în perioada actuală de criză și vor crea creștere economică durabilă pe termen lung; </w:t>
      </w:r>
    </w:p>
    <w:p w:rsidR="00B00F9F" w:rsidRPr="00863239" w:rsidRDefault="00B00F9F" w:rsidP="00560476"/>
    <w:p w:rsidR="00B00F9F" w:rsidRPr="00863239" w:rsidRDefault="0098721A" w:rsidP="00560476">
      <w:pPr>
        <w:pStyle w:val="ListParagraph"/>
        <w:numPr>
          <w:ilvl w:val="0"/>
          <w:numId w:val="8"/>
        </w:numPr>
        <w:suppressAutoHyphens/>
        <w:ind w:left="567" w:hanging="567"/>
      </w:pPr>
      <w:r>
        <w:t xml:space="preserve">recunoaște legăturile strânse dintre IMM-uri și regiunile în care își desfășoară activitatea, mai ales în cazul întreprinderilor adulte care sunt integrate la nivel local și care se străduiesc să supraviețuiască pe termen lung. Deseori, dar nu întotdeauna, aceste întreprinderi sunt deținute de familii și sunt mai înclinate să își asume responsabilitatea socială, deoarece capitalul lor social este legat de reputația la nivel local. Proprietarii, directorii și angajații acestora pot deveni ambasadori pentru tranziția către durabilitate și pot participa la colaborări structurale cu autoritățile regionale și locale; </w:t>
      </w:r>
    </w:p>
    <w:p w:rsidR="00B00F9F" w:rsidRPr="00863239" w:rsidRDefault="00B00F9F" w:rsidP="00560476"/>
    <w:p w:rsidR="00B00F9F" w:rsidRPr="00863239" w:rsidRDefault="0098721A" w:rsidP="00560476">
      <w:pPr>
        <w:pStyle w:val="ListParagraph"/>
        <w:numPr>
          <w:ilvl w:val="0"/>
          <w:numId w:val="8"/>
        </w:numPr>
        <w:suppressAutoHyphens/>
        <w:ind w:left="567" w:hanging="567"/>
      </w:pPr>
      <w:r>
        <w:t>îndeamnă Comisia să dezvolte politici care să abordeze nevoile întreprinderilor familiale din Europa, inclusiv în ceea ce privește succesiunea și antrepreno</w:t>
      </w:r>
      <w:r w:rsidR="002D5C92">
        <w:t xml:space="preserve">riatul transgenerațional. Chiar </w:t>
      </w:r>
      <w:r>
        <w:t>dacă întreprinderile familiale joacă un rol important în economia noastră, decidenții politici nu le acordă prea multă atenție. Această lacună nu a fost remediată nici în urma observațiilor recente ale președintei Comisiei Europene, Ursula von der Leyen, și a inițiativelor anterioare.</w:t>
      </w:r>
    </w:p>
    <w:p w:rsidR="00B00F9F" w:rsidRPr="00863239" w:rsidRDefault="00B00F9F" w:rsidP="00560476">
      <w:pPr>
        <w:rPr>
          <w:rFonts w:ascii="Calibri" w:hAnsi="Calibri" w:cs="Calibri"/>
        </w:rPr>
      </w:pPr>
    </w:p>
    <w:p w:rsidR="00B00F9F" w:rsidRPr="00863239" w:rsidRDefault="0098721A" w:rsidP="00560476">
      <w:pPr>
        <w:pStyle w:val="ListParagraph"/>
        <w:numPr>
          <w:ilvl w:val="0"/>
          <w:numId w:val="8"/>
        </w:numPr>
        <w:suppressAutoHyphens/>
        <w:ind w:left="567" w:hanging="567"/>
      </w:pPr>
      <w:r>
        <w:t>subliniază faptul că întreprinderile deținute de familii reprezintă forma cea mai uzuală de organizare, reprezentând aproximativ 70 % din totalul întreprinderilor din Europa</w:t>
      </w:r>
      <w:r w:rsidRPr="00863239">
        <w:rPr>
          <w:rStyle w:val="FootnoteReference"/>
        </w:rPr>
        <w:footnoteReference w:id="2"/>
      </w:r>
      <w:r>
        <w:t>. Structura de proprietate definește în mare măsură cum și de către cine este gestionat un IMM, precum și strategia de afaceri și de investiții a întreprinderii. Totuși, această perspectivă bazată pe proprietate lipsește în mare parte din politicile actuale privind IMM-urile;</w:t>
      </w:r>
    </w:p>
    <w:p w:rsidR="00B00F9F" w:rsidRPr="00863239" w:rsidRDefault="00B00F9F" w:rsidP="00560476">
      <w:pPr>
        <w:rPr>
          <w:rFonts w:ascii="Calibri" w:hAnsi="Calibri" w:cs="Calibri"/>
        </w:rPr>
      </w:pPr>
    </w:p>
    <w:p w:rsidR="00B00F9F" w:rsidRPr="00863239" w:rsidRDefault="0098721A" w:rsidP="002D5C92">
      <w:pPr>
        <w:pStyle w:val="ListParagraph"/>
        <w:keepNext/>
        <w:keepLines/>
        <w:numPr>
          <w:ilvl w:val="0"/>
          <w:numId w:val="8"/>
        </w:numPr>
        <w:suppressAutoHyphens/>
        <w:ind w:left="567" w:hanging="567"/>
      </w:pPr>
      <w:r>
        <w:t>solicită Comisiei să își continue și să extindă sprijinul acordat anchetelor statistice efectuate în cadrul Programului pentru competitivitatea întreprinderilor și a întreprinderilor mici și mijlocii (COSME), pentru a le permite cercetătorilor și agențiilor statistice să evidențieze pe deplin diversitatea structurilor de proprietate ale IMM-urilor europene și să analizeze diferențele internaționale și interregionale importante. În acest sens, consideră că este necesar să se asigure colectarea datelor, ținând seama de aspectele legate de gen;</w:t>
      </w:r>
    </w:p>
    <w:p w:rsidR="00B00F9F" w:rsidRPr="00863239" w:rsidRDefault="00B00F9F" w:rsidP="00560476"/>
    <w:p w:rsidR="00B00F9F" w:rsidRPr="00863239" w:rsidRDefault="0098721A" w:rsidP="00560476">
      <w:pPr>
        <w:pStyle w:val="ListParagraph"/>
        <w:numPr>
          <w:ilvl w:val="0"/>
          <w:numId w:val="8"/>
        </w:numPr>
        <w:suppressAutoHyphens/>
        <w:ind w:left="567" w:hanging="567"/>
      </w:pPr>
      <w:r>
        <w:t>subliniază că întreprinderile familiale sunt concentrate în mod disproporționat în regiuni cu un produs intern brut apropiat de media europeană și că aceste regiuni se confruntă cu așa-numita „capcană a venitului mediu”</w:t>
      </w:r>
      <w:r w:rsidRPr="00863239">
        <w:rPr>
          <w:rStyle w:val="FootnoteReference"/>
        </w:rPr>
        <w:footnoteReference w:id="3"/>
      </w:r>
      <w:r>
        <w:t>. Potrivit celui de-al șaptelea raport privind coeziunea, creșterea economică a fost mai lentă în aceste regiuni cu venit mediu, comparativ cu regiunile fruntașe și cu cele defavorizate;</w:t>
      </w:r>
    </w:p>
    <w:p w:rsidR="00B00F9F" w:rsidRPr="00863239" w:rsidRDefault="00B00F9F" w:rsidP="00560476">
      <w:pPr>
        <w:rPr>
          <w:rFonts w:ascii="Calibri" w:hAnsi="Calibri" w:cs="Calibri"/>
        </w:rPr>
      </w:pPr>
    </w:p>
    <w:p w:rsidR="00B00F9F" w:rsidRPr="00863239" w:rsidRDefault="0098721A" w:rsidP="00560476">
      <w:pPr>
        <w:pStyle w:val="ListParagraph"/>
        <w:numPr>
          <w:ilvl w:val="0"/>
          <w:numId w:val="8"/>
        </w:numPr>
        <w:suppressAutoHyphens/>
        <w:ind w:left="567" w:hanging="567"/>
      </w:pPr>
      <w:r>
        <w:t>subliniază că politicile privind IMM-urile ar trebui să acorde prioritate implicării IMM-urilor cu experiență și abordării nevoilor acestora, inclusiv în ceea ce privește adaptarea la noile tehnologii, transferurile de activități economice, internaționalizarea, accesul la finanțare și profesionalizarea activităților de gestiune și de raportare. Ghișeele unice existente, puternic integrate în ecosistemele regionale, ar trebui folosite ca puncte de acces pentru furnizarea de servicii accesibile la nivel local pentru IMM-uri, inclusiv pentru furnizarea de consiliere cu privire la o gamă largă de programe, măsuri și instrumente de finanțare de la nivelul UE, de la nivel național și de la nivel regional;</w:t>
      </w:r>
    </w:p>
    <w:p w:rsidR="00B00F9F" w:rsidRPr="00863239" w:rsidRDefault="00B00F9F" w:rsidP="0098721A">
      <w:pPr>
        <w:rPr>
          <w:rFonts w:ascii="Calibri" w:hAnsi="Calibri" w:cs="Calibri"/>
        </w:rPr>
      </w:pPr>
    </w:p>
    <w:p w:rsidR="00B00F9F" w:rsidRPr="00863239" w:rsidRDefault="0098721A" w:rsidP="0098721A">
      <w:pPr>
        <w:pStyle w:val="ListParagraph"/>
        <w:numPr>
          <w:ilvl w:val="0"/>
          <w:numId w:val="8"/>
        </w:numPr>
        <w:ind w:left="567" w:hanging="567"/>
      </w:pPr>
      <w:r>
        <w:t xml:space="preserve">susține ideea conectării solide, și prin intermediul investițiilor interregionale în inovare, la nivel european a unor ecosisteme regionale puternice, prin schimbul internațional de cunoștințe între IMM-uri și între guvernele regionale. Salută strategiile și inițiativele de specializare inteligentă, precum Platforma S3, Inițiativa Vanguard și diversele proiecte de colaborare între Regiunile europene întreprinzătoare, care și-au demonstrat valoarea și merită sprijinite în continuare, inclusiv posibilitatea stabilirii unui cadru de finanțare specific, pentru a da un impuls în acest sens; </w:t>
      </w:r>
    </w:p>
    <w:p w:rsidR="00B00F9F" w:rsidRPr="00863239" w:rsidRDefault="00B00F9F" w:rsidP="00560476"/>
    <w:p w:rsidR="00B00F9F" w:rsidRPr="00863239" w:rsidRDefault="00B00F9F" w:rsidP="007F1DB5">
      <w:pPr>
        <w:keepNext/>
        <w:suppressAutoHyphens/>
        <w:rPr>
          <w:i/>
        </w:rPr>
      </w:pPr>
      <w:r>
        <w:rPr>
          <w:i/>
        </w:rPr>
        <w:t xml:space="preserve">Consolidarea capacităților pentru digitalizare și durabilitate </w:t>
      </w:r>
    </w:p>
    <w:p w:rsidR="00B00F9F" w:rsidRPr="00863239" w:rsidRDefault="00B00F9F" w:rsidP="007F1DB5">
      <w:pPr>
        <w:keepNext/>
        <w:rPr>
          <w:rFonts w:ascii="Calibri" w:hAnsi="Calibri" w:cs="Calibri"/>
        </w:rPr>
      </w:pPr>
    </w:p>
    <w:p w:rsidR="00B00F9F" w:rsidRPr="00863239" w:rsidRDefault="0098721A" w:rsidP="007F1DB5">
      <w:pPr>
        <w:pStyle w:val="ListParagraph"/>
        <w:keepNext/>
        <w:numPr>
          <w:ilvl w:val="0"/>
          <w:numId w:val="8"/>
        </w:numPr>
        <w:suppressAutoHyphens/>
        <w:ind w:left="567" w:hanging="567"/>
      </w:pPr>
      <w:r>
        <w:t>ia act de planul Comisiei de a consolida Centrul european de cunoștințe pentru utilizarea eficientă a resurselor și de planul de a desemna consilieri specializați în domeniul durabilității în cadrul Rețelei întreprinderilor europene;</w:t>
      </w:r>
    </w:p>
    <w:p w:rsidR="00B00F9F" w:rsidRPr="00863239" w:rsidRDefault="00B00F9F" w:rsidP="00560476">
      <w:pPr>
        <w:rPr>
          <w:rFonts w:ascii="Calibri" w:hAnsi="Calibri" w:cs="Calibri"/>
        </w:rPr>
      </w:pPr>
    </w:p>
    <w:p w:rsidR="00B00F9F" w:rsidRPr="00863239" w:rsidRDefault="0098721A" w:rsidP="00560476">
      <w:pPr>
        <w:pStyle w:val="ListParagraph"/>
        <w:numPr>
          <w:ilvl w:val="0"/>
          <w:numId w:val="8"/>
        </w:numPr>
        <w:suppressAutoHyphens/>
        <w:ind w:left="567" w:hanging="567"/>
      </w:pPr>
      <w:r>
        <w:t>își exprimă îngrijorarea cu privire la faptul că aceste inițiative europene nu sunt ancorate în infrastructura regională pentru IMM-uri. O excepție pozitivă este reprezentată de sprijinul oferit de Comisie pentru o rețea densă, formată din până la 240 de centre de inovare digitală;</w:t>
      </w:r>
    </w:p>
    <w:p w:rsidR="00B00F9F" w:rsidRPr="00863239" w:rsidRDefault="00B00F9F" w:rsidP="00560476"/>
    <w:p w:rsidR="00B00F9F" w:rsidRPr="00863239" w:rsidRDefault="0098721A" w:rsidP="002D5C92">
      <w:pPr>
        <w:pStyle w:val="ListParagraph"/>
        <w:keepNext/>
        <w:keepLines/>
        <w:numPr>
          <w:ilvl w:val="0"/>
          <w:numId w:val="8"/>
        </w:numPr>
        <w:suppressAutoHyphens/>
        <w:ind w:left="567" w:hanging="567"/>
      </w:pPr>
      <w:r>
        <w:t>evidențiază faptul că IMM-urile care își desfășoară activitatea în sectorul TIC pot îndeplini rolul de catalizatori digitali la nivel regional, facilitând creșterea numărului de IMM-uri dependente de tehnologia digitală. Centrul digital de la Aachen este un exemplu elocvent în acest sens</w:t>
      </w:r>
      <w:r w:rsidRPr="00863239">
        <w:rPr>
          <w:rStyle w:val="FootnoteReference"/>
        </w:rPr>
        <w:footnoteReference w:id="4"/>
      </w:r>
      <w:r>
        <w:t xml:space="preserve">; solicită promovarea creării mai multor alianțe de IMM-uri în domeniul inteligenței artificiale la nivelul lanțurilor valorice strategice; </w:t>
      </w:r>
    </w:p>
    <w:p w:rsidR="00B00F9F" w:rsidRPr="00863239" w:rsidRDefault="00B00F9F" w:rsidP="00560476">
      <w:pPr>
        <w:rPr>
          <w:rFonts w:ascii="Calibri" w:hAnsi="Calibri" w:cs="Calibri"/>
        </w:rPr>
      </w:pPr>
    </w:p>
    <w:p w:rsidR="00B00F9F" w:rsidRPr="00863239" w:rsidRDefault="009E622F" w:rsidP="00560476">
      <w:pPr>
        <w:pStyle w:val="ListParagraph"/>
        <w:numPr>
          <w:ilvl w:val="0"/>
          <w:numId w:val="8"/>
        </w:numPr>
        <w:suppressAutoHyphens/>
        <w:ind w:left="567" w:hanging="567"/>
      </w:pPr>
      <w:r>
        <w:t>îndeamnă IMM-urile să lucreze mai eficient din punct de vedere energetic, să își reducă consumul de energie, să intensifice producția și utilizarea de energie din surse regenerabile și să adopte un proces circular de producție, pentru a reduce costurile și a contribui la o economie competitivă și durabilă. Cu toate acestea, IMM-urile și microîntreprinderile nu ar trebui să suporte un procent disproporționat din costurile asociate tranziției către durabilitate și nu ar trebui să fie expuse unei concurențe neloiale din partea țărilor terțe cu standarde de mediu inferioare. În acest sens, consideră că ar trebui prevăzut un mecanism de ajustare la frontieră a emisiilor de dioxid de carbon, pentru evitarea concurenței neloiale din partea țărilor terțe;</w:t>
      </w:r>
    </w:p>
    <w:p w:rsidR="00B00F9F" w:rsidRPr="00863239" w:rsidRDefault="00B00F9F" w:rsidP="00560476"/>
    <w:p w:rsidR="00B00F9F" w:rsidRPr="00863239" w:rsidRDefault="0098721A" w:rsidP="00560476">
      <w:pPr>
        <w:pStyle w:val="ListParagraph"/>
        <w:numPr>
          <w:ilvl w:val="0"/>
          <w:numId w:val="8"/>
        </w:numPr>
        <w:suppressAutoHyphens/>
        <w:ind w:left="567" w:hanging="567"/>
      </w:pPr>
      <w:r>
        <w:t>evidențiază faptul că agenda privind capitalul uman pentru IMM-uri, care include programe pentru competențele ecologice și digitale, nu ar trebui să vizeze numai lucrătorii, ci și antreprenorii, proprietarii și directorii; solicită ca Agenda revizuită a Comisiei pentru competențe în Europa să țină cont în mod corespunzător de aceste preocupări. Acești</w:t>
      </w:r>
      <w:r w:rsidR="002D5C92">
        <w:t xml:space="preserve"> </w:t>
      </w:r>
      <w:r>
        <w:t>antreprenori, proprietari și directori nu iau doar decizii privind prioritățile strategice, ci și modelează mediul de învățare din cadrul întreprinderilor lor;</w:t>
      </w:r>
    </w:p>
    <w:p w:rsidR="00B00F9F" w:rsidRPr="00863239" w:rsidRDefault="00B00F9F" w:rsidP="0098721A"/>
    <w:p w:rsidR="00B00F9F" w:rsidRPr="00863239" w:rsidRDefault="0098721A" w:rsidP="00560476">
      <w:pPr>
        <w:pStyle w:val="ListParagraph"/>
        <w:numPr>
          <w:ilvl w:val="0"/>
          <w:numId w:val="8"/>
        </w:numPr>
        <w:suppressAutoHyphens/>
        <w:ind w:left="567" w:hanging="567"/>
      </w:pPr>
      <w:r>
        <w:t xml:space="preserve">propune ca învățarea să se desfășoare într-un context </w:t>
      </w:r>
      <w:r>
        <w:rPr>
          <w:i/>
        </w:rPr>
        <w:t>inter pares</w:t>
      </w:r>
      <w:r>
        <w:t>, în care infrastructura regională tripartită să joace rolul de mediator. Este extrem de important ca antreprenorii, proprietarii, directorii și angajații IMM-urilor să aibă acces la programe de învățare pe tot parcursul vieții în cadrul universităților, al școlilor profesionale, al altor instituții de formare profesională și al laboratoarelor de teren. O agendă cuprinzătoare privind capitalul uman pentru IMM-uri, care să țină seama de aspectele de gen, poate consolida atât regiunile extrem de inovatoare, cât și pe cele care se confruntă cu un exod al creierelor;</w:t>
      </w:r>
    </w:p>
    <w:p w:rsidR="00B00F9F" w:rsidRPr="00863239" w:rsidRDefault="00B00F9F" w:rsidP="00347264">
      <w:pPr>
        <w:rPr>
          <w:rFonts w:ascii="Calibri" w:hAnsi="Calibri" w:cs="Calibri"/>
        </w:rPr>
      </w:pPr>
    </w:p>
    <w:p w:rsidR="00B00F9F" w:rsidRPr="00863239" w:rsidRDefault="00B00F9F" w:rsidP="007F1DB5">
      <w:pPr>
        <w:keepNext/>
        <w:keepLines/>
        <w:rPr>
          <w:i/>
        </w:rPr>
      </w:pPr>
      <w:r>
        <w:rPr>
          <w:i/>
        </w:rPr>
        <w:t>Reducerea sarcinii administrative și de reglementare și îmbunătățirea accesului pe piață</w:t>
      </w:r>
    </w:p>
    <w:p w:rsidR="00B00F9F" w:rsidRPr="00863239" w:rsidRDefault="00B00F9F" w:rsidP="007F1DB5">
      <w:pPr>
        <w:keepNext/>
        <w:keepLines/>
        <w:rPr>
          <w:i/>
        </w:rPr>
      </w:pPr>
    </w:p>
    <w:p w:rsidR="00B00F9F" w:rsidRPr="00863239" w:rsidRDefault="0098721A" w:rsidP="007F1DB5">
      <w:pPr>
        <w:pStyle w:val="ListParagraph"/>
        <w:keepLines/>
        <w:numPr>
          <w:ilvl w:val="0"/>
          <w:numId w:val="8"/>
        </w:numPr>
        <w:ind w:left="567" w:hanging="567"/>
      </w:pPr>
      <w:r>
        <w:t>solicită Comisiei să își îmbunătățească testul aplicat IMM-urilor în timpul evaluării impactului reglementărilor propuse, în conformitate cu principiul „a gândi mai întâi la scară mică”. Un test corect aplicat IMM-urilor include o analiză cost-beneficiu diferențiată pentru IMM-uri și pentru întreprinderile mari, precum și între IMM-uri din categorii și de dimensiuni diferite, ample oportunități de consultare a părților interesate, cuantificarea impactului și o supraveghere fermă din partea Comitetului de control normativ;</w:t>
      </w:r>
    </w:p>
    <w:p w:rsidR="002A2DBE" w:rsidRPr="00863239" w:rsidRDefault="002A2DBE" w:rsidP="00347264">
      <w:pPr>
        <w:pStyle w:val="ListParagraph"/>
      </w:pPr>
    </w:p>
    <w:p w:rsidR="002A2DBE" w:rsidRPr="00863239" w:rsidRDefault="002A2DBE" w:rsidP="00347264">
      <w:pPr>
        <w:pStyle w:val="ListParagraph"/>
        <w:numPr>
          <w:ilvl w:val="0"/>
          <w:numId w:val="8"/>
        </w:numPr>
        <w:ind w:left="567" w:hanging="567"/>
      </w:pPr>
      <w:r>
        <w:t>salută inițiativa Comisiei de a elabora un standard „Start-up Nations” la nivelul UE, care are ambiția de a face din Europa continentul cel mai atractiv pentru întreprinderile nou-înființate și pentru cele în curs de extindere. Subliniază, în același timp, necesitatea de a implica toate nivelurile de guvernare în această inițiativă;</w:t>
      </w:r>
    </w:p>
    <w:p w:rsidR="00B00F9F" w:rsidRPr="00863239" w:rsidRDefault="00B00F9F" w:rsidP="002D5C92">
      <w:pPr>
        <w:spacing w:line="240" w:lineRule="auto"/>
        <w:rPr>
          <w:i/>
        </w:rPr>
      </w:pPr>
    </w:p>
    <w:p w:rsidR="00B00F9F" w:rsidRPr="00863239" w:rsidRDefault="0098721A" w:rsidP="0098721A">
      <w:pPr>
        <w:pStyle w:val="ListParagraph"/>
        <w:numPr>
          <w:ilvl w:val="0"/>
          <w:numId w:val="8"/>
        </w:numPr>
        <w:ind w:left="567" w:hanging="567"/>
      </w:pPr>
      <w:r>
        <w:t xml:space="preserve">îndeamnă Comisia să adopte o abordare mai favorabilă IMM-urilor, pentru a se asigura că măsurile de reglementare stimulează inovarea și nu reprezintă un obstacol în calea activității acestora, – un efect frecvent în cazul activităților transfrontaliere –, ceea ce conduce la creșterea rezilienței și a competitivității, în loc să genereze sarcini suplimentare și costuri de conformitate asociate comerțului internațional. Pentru a încuraja IMM-urile să valorifice avantajele acordurilor echitabile de liber schimb, însă fără a ignora riscul concurenței neloiale din partea exporturilor din țări terțe cu cerințe ecologice mai puțin stricte, barierele trebuie reduse în moduri inovatoare și eficiente din punctul de vedere al costurilor, de exemplu prin instrumente online interactive, precum un calculator privind regulile de origine pentru IMM-uri, sau mecanisme prin care să poată fi identificate emisiile corespunzătoare produselor (cum ar fi cel de ajustare la frontieră a carbonului sau instituirea de „pașapoarte”); </w:t>
      </w:r>
    </w:p>
    <w:p w:rsidR="00B00F9F" w:rsidRPr="00863239" w:rsidRDefault="00B00F9F" w:rsidP="0098721A">
      <w:pPr>
        <w:rPr>
          <w:i/>
        </w:rPr>
      </w:pPr>
    </w:p>
    <w:p w:rsidR="00B00F9F" w:rsidRPr="00863239" w:rsidRDefault="0098721A" w:rsidP="0098721A">
      <w:pPr>
        <w:pStyle w:val="ListParagraph"/>
        <w:numPr>
          <w:ilvl w:val="0"/>
          <w:numId w:val="8"/>
        </w:numPr>
        <w:ind w:left="567" w:hanging="567"/>
      </w:pPr>
      <w:r>
        <w:t>își exprimă mulțumirea în ceea ce privește continuarea analizei privind adecvarea reglementărilor în cadrul platformei „Pregătiți pentru viitor”. Cu toate acestea, trebuie îmbunătățit rolul Comitetului Regiunilor și al IMM-urilor comparativ cu platforma anterioară, REFIT. Numeroase reglementări care afectează IMM-urile sunt puse în aplicare la nivel subnațional, iar densitatea reglementării, suprareglementarea și aspectele legate de proporționalitate și de subsidiaritate sunt mai vizibile la baza piramidei; în acest sens, subliniază faptul că Comisia se va concentra, de asemenea, pe eliminarea birocrației în ceea ce privește cooperarea transfrontalieră, pentru a se asigura că schimbul de personal între regiunile de frontieră este posibil cu ușurință, inclusiv pentru perioade scurte de timp;</w:t>
      </w:r>
    </w:p>
    <w:p w:rsidR="00B00F9F" w:rsidRPr="00863239" w:rsidRDefault="00B00F9F" w:rsidP="0098721A"/>
    <w:p w:rsidR="007112DA" w:rsidRPr="00863239" w:rsidRDefault="00827C01" w:rsidP="00560476">
      <w:pPr>
        <w:pStyle w:val="ListParagraph"/>
        <w:numPr>
          <w:ilvl w:val="0"/>
          <w:numId w:val="8"/>
        </w:numPr>
        <w:suppressAutoHyphens/>
        <w:ind w:left="567" w:hanging="567"/>
      </w:pPr>
      <w:r>
        <w:t>invită Comisia să consulte în mod activ IMM-urile și grupurile de interese care reprezintă o mare varietate de modele de afaceri, inclusiv întreprinderile din sectorul economiei sociale, în cursul evaluărilor de impact și al controlului reglementar al legislației UE. Un mediu de reglementare pozitiv pentru antreprenoriatul social va îmbunătăți rata de supraviețuire a întreprinderilor nou-înființate cu impact social, va încuraja inovarea socială și va promova responsabilitatea socială a întreprinderilor, aducându-ne mai aproape de realizarea Pactului verde european și a obiectivelor de dezvoltare durabilă (ODD);</w:t>
      </w:r>
    </w:p>
    <w:p w:rsidR="007112DA" w:rsidRPr="00863239" w:rsidRDefault="007112DA" w:rsidP="007F1DB5">
      <w:pPr>
        <w:suppressAutoHyphens/>
      </w:pPr>
    </w:p>
    <w:p w:rsidR="00B00F9F" w:rsidRPr="00863239" w:rsidRDefault="0098721A" w:rsidP="00560476">
      <w:pPr>
        <w:pStyle w:val="ListParagraph"/>
        <w:numPr>
          <w:ilvl w:val="0"/>
          <w:numId w:val="8"/>
        </w:numPr>
        <w:suppressAutoHyphens/>
        <w:ind w:left="567" w:hanging="567"/>
      </w:pPr>
      <w:r>
        <w:t>consideră că reducerea barierelor pentru IMM-uri în ceea ce privește cadrul de certificare prevăzut în Legea privind securitatea cibernetică, inclusiv în ceea ce privește standardele și specificațiile tehnice, reprezintă o condiție necesară pentru participarea IMM-urilor pe piața unică digitală și pentru o Europă digitală inovatoare, durabilă și favorabilă incluziunii, care să sprijine partajarea datelor și încrederea în mediul virtual;</w:t>
      </w:r>
    </w:p>
    <w:p w:rsidR="00B00F9F" w:rsidRPr="00863239" w:rsidRDefault="00B00F9F" w:rsidP="00560476">
      <w:pPr>
        <w:rPr>
          <w:rFonts w:ascii="Calibri" w:hAnsi="Calibri" w:cs="Calibri"/>
        </w:rPr>
      </w:pPr>
    </w:p>
    <w:p w:rsidR="00436571" w:rsidRPr="00863239" w:rsidRDefault="00827C01" w:rsidP="0098721A">
      <w:pPr>
        <w:pStyle w:val="ListParagraph"/>
        <w:numPr>
          <w:ilvl w:val="0"/>
          <w:numId w:val="8"/>
        </w:numPr>
        <w:ind w:left="567" w:hanging="567"/>
      </w:pPr>
      <w:r>
        <w:t>îndeamnă Comisia să asigure punerea în aplicare a unor măsuri de achiziții publice accesibile IMM-urilor, propuse în directivele din 2014 privind achizițiile publice, inclusiv principiul „împărțire sau explicații”, cerințele reduse privind cifra de afaceri și punerea în aplicare a soluțiilor electronice, cum ar fi documentul european de achiziție unic și e-Certis. Invită Comisia să elaboreze o foaie de parcurs pentru realizarea principiului său „doar o singură dată” în cadrul procesului de achiziții publice, reducând astfel sarcinile administrative și crescând transparența;</w:t>
      </w:r>
    </w:p>
    <w:p w:rsidR="00436571" w:rsidRPr="00863239" w:rsidRDefault="00436571" w:rsidP="007F1DB5"/>
    <w:p w:rsidR="00B00F9F" w:rsidRPr="00863239" w:rsidRDefault="0098721A" w:rsidP="002D5C92">
      <w:pPr>
        <w:pStyle w:val="ListParagraph"/>
        <w:keepNext/>
        <w:keepLines/>
        <w:numPr>
          <w:ilvl w:val="0"/>
          <w:numId w:val="8"/>
        </w:numPr>
        <w:ind w:left="567" w:hanging="567"/>
      </w:pPr>
      <w:r>
        <w:t>subliniază că autoritățile locale și regionale lucrează în mod activ la îmbunătățirea accesului IMM-urilor la achizițiile publice, promovând totodată inovarea și abordând provocările societale în calitate de clienți de lansare. Orașul Valladolid, câștigătorul unui Premiu pentru promovarea întreprinderilor europene în anul 2019, a elaborat un ghid pentru achizițiile publice favorabile IMM-urilor, care poate servi drept exemplu</w:t>
      </w:r>
      <w:r w:rsidRPr="00863239">
        <w:rPr>
          <w:rStyle w:val="FootnoteReference"/>
        </w:rPr>
        <w:footnoteReference w:id="5"/>
      </w:r>
      <w:r>
        <w:t xml:space="preserve">; </w:t>
      </w:r>
    </w:p>
    <w:p w:rsidR="00B00F9F" w:rsidRPr="00863239" w:rsidRDefault="00B00F9F" w:rsidP="0098721A"/>
    <w:p w:rsidR="00B00F9F" w:rsidRPr="00863239" w:rsidRDefault="0098721A" w:rsidP="0098721A">
      <w:pPr>
        <w:pStyle w:val="ListParagraph"/>
        <w:numPr>
          <w:ilvl w:val="0"/>
          <w:numId w:val="8"/>
        </w:numPr>
        <w:ind w:left="567" w:hanging="567"/>
      </w:pPr>
      <w:r>
        <w:t xml:space="preserve">susține investițiile în colaborarea transfrontalieră în beneficiul IMM-urilor, inclusiv în ceea ce privește integrarea piețelor muncii, relațiile business-to-business la nivel transfrontalier și cooperarea dintre guverne, instituțiile de specialitate și centrele de sprijinire a IMM-urilor aflate de ambele părți ale frontierei; în acest context, ALR joacă un rol important în ce privește cooperarea transfrontalieră, ele fiind cele mai în măsură să evalueze care sunt acțiunile concrete adecvate pentru consolidarea economiei locale și să identifice rapid obstacolele din calea cooperării transfrontaliere. Ele ar trebui să beneficieze de sprijinul politic oferit de strategie pentru a acționa cu celeritate și ușurință; </w:t>
      </w:r>
    </w:p>
    <w:p w:rsidR="002A2DBE" w:rsidRPr="00863239" w:rsidRDefault="002A2DBE" w:rsidP="00347264">
      <w:pPr>
        <w:pStyle w:val="ListParagraph"/>
        <w:ind w:left="567"/>
      </w:pPr>
    </w:p>
    <w:p w:rsidR="002A2DBE" w:rsidRPr="00863239" w:rsidRDefault="002A2DBE" w:rsidP="0098721A">
      <w:pPr>
        <w:pStyle w:val="ListParagraph"/>
        <w:numPr>
          <w:ilvl w:val="0"/>
          <w:numId w:val="8"/>
        </w:numPr>
        <w:ind w:left="567" w:hanging="567"/>
      </w:pPr>
      <w:r>
        <w:t>susține investițiile în colaborarea transfrontalieră în beneficiul IMM-urilor și în cooperarea dintre guverne, instituțiile din domeniul cunoașterii și centrele de sprijinire a IMM-urilor din regiunile insulare și periferice;</w:t>
      </w:r>
    </w:p>
    <w:p w:rsidR="00B00F9F" w:rsidRPr="00863239" w:rsidRDefault="00B00F9F" w:rsidP="0098721A">
      <w:pPr>
        <w:rPr>
          <w:i/>
        </w:rPr>
      </w:pPr>
    </w:p>
    <w:p w:rsidR="00B00F9F" w:rsidRPr="00863239" w:rsidRDefault="0098721A" w:rsidP="0098721A">
      <w:pPr>
        <w:pStyle w:val="ListParagraph"/>
        <w:numPr>
          <w:ilvl w:val="0"/>
          <w:numId w:val="8"/>
        </w:numPr>
        <w:ind w:left="567" w:hanging="567"/>
      </w:pPr>
      <w:r>
        <w:t>este de părere că transferurile de afaceri vor constitui o provocare urgentă în anii următori, din cauza îmbătrânirii populației Europei. Mai exact, în Europa Centrală și de Est, un număr mare de fondatori și-au lansat întreprinderea după 1989 și acum sunt pregătiți să predea controlul celei de</w:t>
      </w:r>
      <w:r w:rsidR="002D5C92">
        <w:noBreakHyphen/>
      </w:r>
      <w:r>
        <w:t>a doua generații;</w:t>
      </w:r>
    </w:p>
    <w:p w:rsidR="00B00F9F" w:rsidRPr="00863239" w:rsidRDefault="00B00F9F" w:rsidP="0098721A"/>
    <w:p w:rsidR="00B00F9F" w:rsidRPr="00863239" w:rsidRDefault="0098721A" w:rsidP="0098721A">
      <w:pPr>
        <w:pStyle w:val="ListParagraph"/>
        <w:numPr>
          <w:ilvl w:val="0"/>
          <w:numId w:val="8"/>
        </w:numPr>
        <w:ind w:left="567" w:hanging="567"/>
      </w:pPr>
      <w:r>
        <w:t>este conștient de riscurile pe care le implică succesiunea într-o afacere și, prin urmare, salută măsurile propuse de Comisie privind facilitarea transferului de afaceri, prin dezvoltarea unui cadru de sprijinire și de promovare a transferurilor de afaceri la nivelul UE;</w:t>
      </w:r>
    </w:p>
    <w:p w:rsidR="00B00F9F" w:rsidRPr="00863239" w:rsidRDefault="00B00F9F" w:rsidP="0098721A"/>
    <w:p w:rsidR="00B00F9F" w:rsidRPr="00863239" w:rsidRDefault="00B00F9F" w:rsidP="007F1DB5">
      <w:pPr>
        <w:keepNext/>
        <w:keepLines/>
        <w:rPr>
          <w:i/>
        </w:rPr>
      </w:pPr>
      <w:r>
        <w:rPr>
          <w:i/>
        </w:rPr>
        <w:t>Accesul la finanțare</w:t>
      </w:r>
    </w:p>
    <w:p w:rsidR="00B00F9F" w:rsidRPr="00863239" w:rsidRDefault="00B00F9F" w:rsidP="007F1DB5">
      <w:pPr>
        <w:keepNext/>
        <w:keepLines/>
        <w:rPr>
          <w:i/>
        </w:rPr>
      </w:pPr>
    </w:p>
    <w:p w:rsidR="00B00F9F" w:rsidRPr="00863239" w:rsidRDefault="002A2DBE" w:rsidP="007F1DB5">
      <w:pPr>
        <w:pStyle w:val="ListParagraph"/>
        <w:keepLines/>
        <w:numPr>
          <w:ilvl w:val="0"/>
          <w:numId w:val="8"/>
        </w:numPr>
        <w:ind w:left="567" w:hanging="567"/>
      </w:pPr>
      <w:r>
        <w:t>atrage atenția asupra faptului că peste 60 % dintre IMM-uri nu primesc plățile la timp, ceea ce reprezintă una dintre cauzele principale de faliment în rândul acestora. Prin urmare, solicită punerea în aplicare corespunzătoare a Directivei privind întârzierea în efectuarea plăților și salută instrumentul de monitorizare și de punere în aplicare propus. Subliniază că IMM-urile nu ar trebui să suporte sarcina întârzierilor la plată ale marilor corporații și ale guvernelor;</w:t>
      </w:r>
    </w:p>
    <w:p w:rsidR="00B00F9F" w:rsidRPr="00863239" w:rsidRDefault="00B00F9F" w:rsidP="0098721A"/>
    <w:p w:rsidR="00B00F9F" w:rsidRPr="00863239" w:rsidRDefault="0098721A" w:rsidP="0098721A">
      <w:pPr>
        <w:pStyle w:val="ListParagraph"/>
        <w:numPr>
          <w:ilvl w:val="0"/>
          <w:numId w:val="8"/>
        </w:numPr>
        <w:ind w:left="567" w:hanging="567"/>
      </w:pPr>
      <w:r>
        <w:t>dorește să sublinieze că agențiile de dezvoltare regională pot contribui la sistemul financiar regional, nu numai participând la proiecte cu risc ridicat, ci și asigurând continuitatea întreprinderilor integrate, inclusiv contribuția acestora la capitalul uman al unei regiuni. Grupul Băncii Europene de Investiții ar trebui să recunoască impactul societal benefic al acestor întreprinderi integrate și să acorde prioritate continuității lor prin instrumente speciale de finanțare prin capitaluri proprii;</w:t>
      </w:r>
    </w:p>
    <w:p w:rsidR="00B00F9F" w:rsidRPr="00863239" w:rsidRDefault="00B00F9F" w:rsidP="0098721A"/>
    <w:p w:rsidR="00B00F9F" w:rsidRPr="00863239" w:rsidRDefault="0098721A" w:rsidP="0098721A">
      <w:pPr>
        <w:pStyle w:val="ListParagraph"/>
        <w:numPr>
          <w:ilvl w:val="0"/>
          <w:numId w:val="8"/>
        </w:numPr>
        <w:ind w:left="567" w:hanging="567"/>
      </w:pPr>
      <w:r>
        <w:t xml:space="preserve">salută integrarea fondurilor și simplificarea procedurilor în cadrul programului InvestEU. Cu toate acestea, solicită ca accesibilitatea finanțării pentru IMM-uri să nu se limiteze la fereastra specială pentru IMM-uri, ci să constituie, de asemenea, o prioritate majoră în cadrul celorlalte trei ferestre; </w:t>
      </w:r>
    </w:p>
    <w:p w:rsidR="00B00F9F" w:rsidRPr="00863239" w:rsidRDefault="00B00F9F" w:rsidP="0098721A"/>
    <w:p w:rsidR="00B00F9F" w:rsidRPr="00863239" w:rsidRDefault="0098721A" w:rsidP="0098721A">
      <w:pPr>
        <w:pStyle w:val="ListParagraph"/>
        <w:numPr>
          <w:ilvl w:val="0"/>
          <w:numId w:val="8"/>
        </w:numPr>
        <w:ind w:left="567" w:hanging="567"/>
      </w:pPr>
      <w:r>
        <w:t>își exprimă îngrijorarea cu privire la nivelurile de îndatorare ale IMM-urilor din Europa, în special ale IMM-urilor situate pe piețe izolate și de mici dimensiuni, așa cum e cazul regiunilor insulare și ultraperiferice. Politicile care vizează îmbunătățirea accesului IMM-urilor la finanțarea prin capitaluri proprii ar trebui consolidate la toate nivelurile de guvernare, reducând astfel nivelurile nesustenabile ale finanțării prin datorii; Motivele de îngrijorare sunt cu atât mai mari dacă se ține seama de microîntreprinderile care nu pot avea acces la finanțare prin intermediul sistemului financiar;</w:t>
      </w:r>
    </w:p>
    <w:p w:rsidR="00B00F9F" w:rsidRPr="00863239" w:rsidRDefault="00B00F9F" w:rsidP="0098721A"/>
    <w:p w:rsidR="00B00F9F" w:rsidRPr="00863239" w:rsidRDefault="00B00F9F">
      <w:pPr>
        <w:keepNext/>
        <w:rPr>
          <w:i/>
        </w:rPr>
      </w:pPr>
      <w:r>
        <w:rPr>
          <w:i/>
        </w:rPr>
        <w:t xml:space="preserve">Guvernanța </w:t>
      </w:r>
    </w:p>
    <w:p w:rsidR="00B00F9F" w:rsidRPr="00863239" w:rsidRDefault="00B00F9F">
      <w:pPr>
        <w:keepNext/>
      </w:pPr>
    </w:p>
    <w:p w:rsidR="00B00F9F" w:rsidRPr="00863239" w:rsidRDefault="0098721A" w:rsidP="007F1DB5">
      <w:pPr>
        <w:pStyle w:val="ListParagraph"/>
        <w:keepNext/>
        <w:numPr>
          <w:ilvl w:val="0"/>
          <w:numId w:val="8"/>
        </w:numPr>
        <w:suppressAutoHyphens/>
        <w:ind w:left="567" w:hanging="567"/>
      </w:pPr>
      <w:r>
        <w:t>subliniază că strategiile regionale privind IMM-urile sunt responsabilitatea guvernelor locale și regionale, în conformitate cu principiul subsidiarității;</w:t>
      </w:r>
    </w:p>
    <w:p w:rsidR="00B00F9F" w:rsidRPr="00863239" w:rsidRDefault="00B00F9F" w:rsidP="00560476"/>
    <w:p w:rsidR="00B00F9F" w:rsidRPr="00863239" w:rsidRDefault="0098721A" w:rsidP="00560476">
      <w:pPr>
        <w:pStyle w:val="ListParagraph"/>
        <w:numPr>
          <w:ilvl w:val="0"/>
          <w:numId w:val="8"/>
        </w:numPr>
        <w:suppressAutoHyphens/>
        <w:ind w:left="567" w:hanging="567"/>
      </w:pPr>
      <w:r>
        <w:t>ia act de sporirea competențelor acordate rețelei reprezentanților pentru IMM-uri în ceea ce privește guvernarea politicilor UE privind IMM-urile; solicită reprezentanților naționali să își intensifice interacțiunea cu autoritățile regionale și cu alți actori teritoriali; sugerează organizarea unor schimburi anuale între reprezentantul UE pentru IMM-uri și membrii CoR, pentru a monitoriza punerea în aplicare a Strategiei pentru IMM-uri la nivel regional și local;</w:t>
      </w:r>
    </w:p>
    <w:p w:rsidR="00B00F9F" w:rsidRPr="00863239" w:rsidRDefault="00B00F9F" w:rsidP="00560476"/>
    <w:p w:rsidR="00B00F9F" w:rsidRPr="00863239" w:rsidRDefault="0098721A" w:rsidP="00560476">
      <w:pPr>
        <w:pStyle w:val="ListParagraph"/>
        <w:numPr>
          <w:ilvl w:val="0"/>
          <w:numId w:val="8"/>
        </w:numPr>
        <w:suppressAutoHyphens/>
        <w:ind w:left="567" w:hanging="567"/>
      </w:pPr>
      <w:r>
        <w:t>subliniază că colaborarea paneuropeană, transfrontalieră și interregională, schimbul de cunoștințe și învățarea sunt elemente importante ale unei abordări europene coordonate în ceea ce privește punerea în aplicare a politicilor UE, care ar trebui încurajată, facilitată și sprijinită prin programe ale UE;</w:t>
      </w:r>
    </w:p>
    <w:p w:rsidR="00B00F9F" w:rsidRPr="00863239" w:rsidRDefault="00B00F9F" w:rsidP="00560476">
      <w:pPr>
        <w:rPr>
          <w:rFonts w:ascii="Calibri" w:hAnsi="Calibri" w:cs="Calibri"/>
        </w:rPr>
      </w:pPr>
    </w:p>
    <w:p w:rsidR="00B00F9F" w:rsidRPr="00863239" w:rsidRDefault="0098721A" w:rsidP="00560476">
      <w:pPr>
        <w:pStyle w:val="ListParagraph"/>
        <w:numPr>
          <w:ilvl w:val="0"/>
          <w:numId w:val="8"/>
        </w:numPr>
        <w:suppressAutoHyphens/>
        <w:ind w:left="567" w:hanging="567"/>
      </w:pPr>
      <w:r>
        <w:t>solicită Comisiei să îmbunătățească coordonarea orizontală a strategiei pentru IMM-uri, mărind astfel impactul strategiei asupra alocării fondurilor structurale și de investiții europene în perioada 2021-2027;</w:t>
      </w:r>
    </w:p>
    <w:p w:rsidR="00B00F9F" w:rsidRPr="00863239" w:rsidRDefault="00B00F9F" w:rsidP="00560476">
      <w:pPr>
        <w:rPr>
          <w:rFonts w:ascii="Calibri" w:hAnsi="Calibri" w:cs="Calibri"/>
        </w:rPr>
      </w:pPr>
    </w:p>
    <w:p w:rsidR="00B00F9F" w:rsidRPr="00863239" w:rsidRDefault="0098721A" w:rsidP="00560476">
      <w:pPr>
        <w:pStyle w:val="ListParagraph"/>
        <w:numPr>
          <w:ilvl w:val="0"/>
          <w:numId w:val="8"/>
        </w:numPr>
        <w:suppressAutoHyphens/>
        <w:ind w:left="567" w:hanging="567"/>
      </w:pPr>
      <w:r>
        <w:t>solicită Comisiei să se asigure că tot mai multe IMM-uri vor beneficia de finanțare din partea UE, întrucât finanțarea pentru programe specifice dedicate IMM-urilor, precum COSME (2,3 miliarde EUR în perioada 2014-2020), este modestă comparativ cu fondurile structurale și de investiții europene (460 de miliarde EUR). În cadrul programelor cu gestiune directă și partajată, precum FEDR, regiunile asigură cu succes alocarea bugetului corespunzător pentru IMM-uri. Îndeamnă Comisia să dezvolte linii de program și inițiative specifice pentru IMM-uri în programele-cadru, precum Orizont Europa, și să faciliteze accesul IMM-urilor la acest tip de programe în derulare;</w:t>
      </w:r>
    </w:p>
    <w:p w:rsidR="00B00F9F" w:rsidRPr="00863239" w:rsidRDefault="00B00F9F" w:rsidP="00560476"/>
    <w:p w:rsidR="00B00F9F" w:rsidRPr="00863239" w:rsidRDefault="0098721A" w:rsidP="007F1DB5">
      <w:pPr>
        <w:pStyle w:val="ListParagraph"/>
        <w:numPr>
          <w:ilvl w:val="0"/>
          <w:numId w:val="8"/>
        </w:numPr>
        <w:ind w:left="567" w:hanging="567"/>
      </w:pPr>
      <w:r>
        <w:t>evidențiază importanța vitală a fondurilor ESI în finanțarea tranziției către durabilitate și reamintește că CoR a solicitat să fie delimitate 30 % din totalul finanțării din fondurile structurale, în loc de 25 % prevăzute, pentru prioritățile din cadrul Pactului verde;</w:t>
      </w:r>
    </w:p>
    <w:p w:rsidR="00B00F9F" w:rsidRPr="00863239" w:rsidRDefault="00B00F9F" w:rsidP="00560476"/>
    <w:p w:rsidR="00B00F9F" w:rsidRPr="00863239" w:rsidRDefault="00B00F9F">
      <w:pPr>
        <w:keepNext/>
        <w:rPr>
          <w:i/>
        </w:rPr>
      </w:pPr>
      <w:r>
        <w:rPr>
          <w:i/>
        </w:rPr>
        <w:t>Calea către redresarea IMM-urilor după pandemia de COVID-19</w:t>
      </w:r>
    </w:p>
    <w:p w:rsidR="00B00F9F" w:rsidRPr="00863239" w:rsidRDefault="00B00F9F" w:rsidP="002D5C92">
      <w:pPr>
        <w:keepNext/>
        <w:spacing w:line="240" w:lineRule="auto"/>
        <w:rPr>
          <w:i/>
        </w:rPr>
      </w:pPr>
    </w:p>
    <w:p w:rsidR="00B00F9F" w:rsidRPr="00863239" w:rsidRDefault="0098721A" w:rsidP="007F1DB5">
      <w:pPr>
        <w:pStyle w:val="ListParagraph"/>
        <w:keepNext/>
        <w:numPr>
          <w:ilvl w:val="0"/>
          <w:numId w:val="8"/>
        </w:numPr>
        <w:ind w:left="567" w:hanging="567"/>
      </w:pPr>
      <w:r>
        <w:t xml:space="preserve">evidențiază faptul că, în urma măsurilor de distanțare socială adoptate ca răspuns la pandemia de COVID-19, tranziția IMM-urilor către digitalizare în condiții echitabile este și mai urgentă și mai importantă pentru supraviețuirea acestora și pentru competitivitatea strategică generală a Europei; </w:t>
      </w:r>
    </w:p>
    <w:p w:rsidR="009E311A" w:rsidRPr="00863239" w:rsidRDefault="009E311A" w:rsidP="002D5C92">
      <w:pPr>
        <w:pStyle w:val="ListParagraph"/>
        <w:spacing w:line="240" w:lineRule="auto"/>
        <w:ind w:left="567"/>
      </w:pPr>
    </w:p>
    <w:p w:rsidR="009E311A" w:rsidRPr="00863239" w:rsidRDefault="009E311A" w:rsidP="00347264">
      <w:pPr>
        <w:pStyle w:val="ListParagraph"/>
        <w:numPr>
          <w:ilvl w:val="0"/>
          <w:numId w:val="8"/>
        </w:numPr>
        <w:ind w:left="567" w:hanging="567"/>
      </w:pPr>
      <w:r>
        <w:t>subliniază capacitatea de reacție a Comisiei Europene în timpul pandemiei, care a conceput programe de sprijinire a IMM-urilor și de menținere a ocupării forței de muncă, cum ar fi sistemul SURE. IMM-urile din sectorul agroalimentar, al serviciilor sau al turismului, care se numără printre cele mai afectate în timpul pandemiei, au nevoie de mecanisme flexibile care să le permită supraviețuirea după criză, dat fiind că nivelul de ocupare a forței de muncă în Europa este strâns legat de supraviețuirea lor.</w:t>
      </w:r>
    </w:p>
    <w:p w:rsidR="00B00F9F" w:rsidRPr="00863239" w:rsidRDefault="00B00F9F" w:rsidP="002D5C92">
      <w:pPr>
        <w:spacing w:line="240" w:lineRule="auto"/>
      </w:pPr>
    </w:p>
    <w:p w:rsidR="00B00F9F" w:rsidRPr="00863239" w:rsidRDefault="0098721A" w:rsidP="0098721A">
      <w:pPr>
        <w:pStyle w:val="ListParagraph"/>
        <w:numPr>
          <w:ilvl w:val="0"/>
          <w:numId w:val="8"/>
        </w:numPr>
        <w:ind w:left="567" w:hanging="567"/>
      </w:pPr>
      <w:r>
        <w:t>recunoaște oportunitățile de a realiza progrese semnificative în ceea ce privește tranziția către durabilitate ca urmare a restructurării, ținând cont de dimensiunea întreprinderilor și a sectoarelor afectate de criză. Aceste progrese trebuie să fie sprijinite prin stimulente sub formă de investiții, cu ajutorul cărora IMM-urile să poată valorifica oportunitățile oferite de tehnologiile ecologice și modelele de afaceri circulare;</w:t>
      </w:r>
    </w:p>
    <w:p w:rsidR="007E78BE" w:rsidRPr="00863239" w:rsidRDefault="007E78BE" w:rsidP="002D5C92">
      <w:pPr>
        <w:spacing w:line="240" w:lineRule="auto"/>
      </w:pPr>
    </w:p>
    <w:p w:rsidR="00B00F9F" w:rsidRPr="00863239" w:rsidRDefault="0098721A" w:rsidP="0098721A">
      <w:pPr>
        <w:pStyle w:val="ListParagraph"/>
        <w:numPr>
          <w:ilvl w:val="0"/>
          <w:numId w:val="8"/>
        </w:numPr>
        <w:ind w:left="567" w:hanging="567"/>
      </w:pPr>
      <w:r>
        <w:t xml:space="preserve">îndeamnă Comisia să monitorizeze în ce măsură impactul măsurilor de sprijin de urgență nu subminează ambiția acesteia de a crea condiții echitabile pentru IMM-uri. În plus, solicită Comisiei să evalueze impactul crizei provocate de pandemia de COVID-19 asupra nivelurilor deja crescute de instabilitate geopolitică; perturbarea fluxurilor comerciale și a lanțurilor de aprovizionare ar putea conduce la relocalizarea activității economice, în special în cazul infrastructurilor de importanță sistemică, cum este sectorul dispozitivelor medicale, și poate oferi oportunități și provocări pentru IMM-uri și pentru regiuni. IMM-urile care se confruntă cu probleme de lichiditate ar putea fi tentate să accepte oferte de la cumpărători strategici, ceea ce generează riscul unor interferențe externe nedorite în economie; </w:t>
      </w:r>
    </w:p>
    <w:p w:rsidR="00B00F9F" w:rsidRPr="00863239" w:rsidRDefault="00B00F9F" w:rsidP="002D5C92">
      <w:pPr>
        <w:spacing w:line="240" w:lineRule="auto"/>
      </w:pPr>
    </w:p>
    <w:p w:rsidR="00B00F9F" w:rsidRPr="00863239" w:rsidRDefault="0098721A" w:rsidP="0098721A">
      <w:pPr>
        <w:pStyle w:val="ListParagraph"/>
        <w:numPr>
          <w:ilvl w:val="0"/>
          <w:numId w:val="8"/>
        </w:numPr>
        <w:ind w:left="567" w:hanging="567"/>
      </w:pPr>
      <w:r>
        <w:t xml:space="preserve">speră că Comisia va acționa cu prudență atunci când sunt afectate interesele IMM-urilor și ale economiei europene în aceste domenii, de exemplu așa cum a procedat atunci când a modificat temporar normele privind ajutoarele de stat. Autoritățile locale și regionale vor rămâne vigilente și vor face în continuare schimb de informații între ele și cu autoritățile de la nivel superior, astfel încât să poată învăța împreună cum să răspundă în mod proporțional la această situație fără precedent; </w:t>
      </w:r>
    </w:p>
    <w:p w:rsidR="00B00F9F" w:rsidRPr="00863239" w:rsidRDefault="00B00F9F" w:rsidP="002D5C92">
      <w:pPr>
        <w:spacing w:line="240" w:lineRule="auto"/>
      </w:pPr>
    </w:p>
    <w:p w:rsidR="00B00F9F" w:rsidRPr="00863239" w:rsidRDefault="0098721A" w:rsidP="0098721A">
      <w:pPr>
        <w:pStyle w:val="ListParagraph"/>
        <w:numPr>
          <w:ilvl w:val="0"/>
          <w:numId w:val="8"/>
        </w:numPr>
        <w:ind w:left="567" w:hanging="567"/>
      </w:pPr>
      <w:r>
        <w:t xml:space="preserve">subliniază că Comisia trebuie să fie sensibilă la interesele IMM-urilor care nu au în prezent legături puternice cu sistemul financiar, fiindcă acestea se autofinanțează în mare măsură. Unele dintre aceste întreprinderi se confruntă cu probleme grave de lichiditate și au nevoie urgent de credite rambursabile și/sau nerambursabile pentru prima oară în existența lor. Această situație afectează în special microîntreprinderile, dar ea poate avea impact și asupra întreprinderilor familiale mai mari; </w:t>
      </w:r>
    </w:p>
    <w:p w:rsidR="00B00F9F" w:rsidRPr="00863239" w:rsidRDefault="00B00F9F" w:rsidP="002D5C92">
      <w:pPr>
        <w:spacing w:line="240" w:lineRule="auto"/>
      </w:pPr>
    </w:p>
    <w:p w:rsidR="00B00F9F" w:rsidRPr="00863239" w:rsidRDefault="0098721A" w:rsidP="00560476">
      <w:pPr>
        <w:pStyle w:val="ListParagraph"/>
        <w:numPr>
          <w:ilvl w:val="0"/>
          <w:numId w:val="8"/>
        </w:numPr>
        <w:suppressAutoHyphens/>
        <w:ind w:left="567" w:hanging="567"/>
      </w:pPr>
      <w:r>
        <w:t xml:space="preserve">solicită Comisiei să ofere autorităților regionale acces la finanțare europeană în cadrul pachetului de redresare, pentru a stimula redresarea economică. Autoritățile locale și regionale sunt cele mai în măsură să evalueze nevoile IMM-urilor care se adaptează la o economie post-pandemie; </w:t>
      </w:r>
    </w:p>
    <w:p w:rsidR="00B00F9F" w:rsidRPr="00863239" w:rsidRDefault="00B00F9F" w:rsidP="002D5C92">
      <w:pPr>
        <w:spacing w:line="240" w:lineRule="auto"/>
        <w:rPr>
          <w:rFonts w:ascii="Calibri" w:hAnsi="Calibri" w:cs="Calibri"/>
        </w:rPr>
      </w:pPr>
    </w:p>
    <w:p w:rsidR="00B00F9F" w:rsidRPr="00863239" w:rsidRDefault="0098721A" w:rsidP="00347264">
      <w:pPr>
        <w:pStyle w:val="ListParagraph"/>
        <w:keepNext/>
        <w:numPr>
          <w:ilvl w:val="0"/>
          <w:numId w:val="8"/>
        </w:numPr>
        <w:ind w:left="567" w:hanging="567"/>
      </w:pPr>
      <w:r>
        <w:t xml:space="preserve">subliniază că obiectivul de a crește stabilitatea financiară și reziliența întreprinderilor ar trebui să rămână o prioritate principală a decidenților politici de la toate nivelurile; avertizează că măsurile propuse de sprijinire a IMM-urilor nu ar trebui să se bazeze excesiv pe instrumente de datorie. </w:t>
      </w:r>
    </w:p>
    <w:p w:rsidR="00B00F9F" w:rsidRPr="00863239" w:rsidRDefault="00B00F9F" w:rsidP="00347264">
      <w:pPr>
        <w:keepNext/>
      </w:pPr>
    </w:p>
    <w:p w:rsidR="00661505" w:rsidRPr="00863239" w:rsidRDefault="00B00F9F" w:rsidP="00347264">
      <w:pPr>
        <w:keepNext/>
      </w:pPr>
      <w:r>
        <w:t>Bruxelles, 12 octombrie 2020</w:t>
      </w:r>
    </w:p>
    <w:p w:rsidR="00661505" w:rsidRPr="00863239" w:rsidRDefault="00661505" w:rsidP="00347264">
      <w:pPr>
        <w:keepNext/>
        <w:rPr>
          <w:b/>
          <w:highlight w:val="lightGray"/>
        </w:rPr>
      </w:pPr>
    </w:p>
    <w:tbl>
      <w:tblPr>
        <w:tblW w:w="0" w:type="auto"/>
        <w:tblLayout w:type="fixed"/>
        <w:tblLook w:val="04A0" w:firstRow="1" w:lastRow="0" w:firstColumn="1" w:lastColumn="0" w:noHBand="0" w:noVBand="1"/>
      </w:tblPr>
      <w:tblGrid>
        <w:gridCol w:w="4621"/>
        <w:gridCol w:w="4622"/>
      </w:tblGrid>
      <w:tr w:rsidR="00661505" w:rsidRPr="00863239" w:rsidTr="00FF41C9">
        <w:trPr>
          <w:cantSplit/>
        </w:trPr>
        <w:tc>
          <w:tcPr>
            <w:tcW w:w="4621" w:type="dxa"/>
            <w:hideMark/>
          </w:tcPr>
          <w:p w:rsidR="00661505" w:rsidRPr="00863239" w:rsidRDefault="00661505">
            <w:pPr>
              <w:keepNext/>
              <w:jc w:val="center"/>
            </w:pPr>
            <w:r>
              <w:t>Președintele</w:t>
            </w:r>
            <w:r w:rsidR="002D5C92">
              <w:t xml:space="preserve"> </w:t>
            </w:r>
            <w:r>
              <w:br/>
              <w:t>Comitetului European al Regiunilor</w:t>
            </w:r>
            <w:r w:rsidR="002D5C92">
              <w:t xml:space="preserve"> </w:t>
            </w:r>
            <w:r>
              <w:br/>
            </w:r>
            <w:r w:rsidR="002D5C92">
              <w:br/>
            </w:r>
            <w:r>
              <w:br/>
            </w:r>
            <w:r>
              <w:br/>
            </w:r>
            <w:r>
              <w:br/>
              <w:t xml:space="preserve">Apostolos </w:t>
            </w:r>
            <w:r w:rsidR="002D5C92">
              <w:t>TZITZIKOSTAS</w:t>
            </w:r>
          </w:p>
        </w:tc>
        <w:tc>
          <w:tcPr>
            <w:tcW w:w="4622" w:type="dxa"/>
          </w:tcPr>
          <w:p w:rsidR="00661505" w:rsidRPr="00863239" w:rsidRDefault="00661505">
            <w:pPr>
              <w:keepNext/>
              <w:jc w:val="center"/>
            </w:pPr>
          </w:p>
        </w:tc>
      </w:tr>
      <w:tr w:rsidR="00661505" w:rsidRPr="00863239" w:rsidTr="00FF41C9">
        <w:trPr>
          <w:cantSplit/>
        </w:trPr>
        <w:tc>
          <w:tcPr>
            <w:tcW w:w="4621" w:type="dxa"/>
          </w:tcPr>
          <w:p w:rsidR="00661505" w:rsidRPr="00863239" w:rsidRDefault="00661505" w:rsidP="00347264">
            <w:pPr>
              <w:keepNext/>
              <w:jc w:val="center"/>
            </w:pPr>
          </w:p>
        </w:tc>
        <w:tc>
          <w:tcPr>
            <w:tcW w:w="4622" w:type="dxa"/>
            <w:hideMark/>
          </w:tcPr>
          <w:p w:rsidR="00661505" w:rsidRPr="00863239" w:rsidRDefault="00661505" w:rsidP="002D5C92">
            <w:pPr>
              <w:keepNext/>
              <w:jc w:val="center"/>
            </w:pPr>
            <w:r>
              <w:t>Secretarul general</w:t>
            </w:r>
            <w:r w:rsidR="002D5C92">
              <w:t xml:space="preserve"> </w:t>
            </w:r>
            <w:r>
              <w:br/>
              <w:t>al Comitetului European al Regiunilor</w:t>
            </w:r>
            <w:r w:rsidR="002D5C92">
              <w:t xml:space="preserve"> </w:t>
            </w:r>
            <w:r>
              <w:br/>
            </w:r>
            <w:r>
              <w:br/>
            </w:r>
            <w:r>
              <w:br/>
            </w:r>
            <w:r>
              <w:br/>
            </w:r>
            <w:r>
              <w:br/>
              <w:t xml:space="preserve">Petr </w:t>
            </w:r>
            <w:r w:rsidR="002D5C92">
              <w:t>BLÍŽKOVSKÝ</w:t>
            </w:r>
          </w:p>
        </w:tc>
      </w:tr>
    </w:tbl>
    <w:p w:rsidR="00661505" w:rsidRPr="00863239" w:rsidRDefault="00661505" w:rsidP="00560476">
      <w:pPr>
        <w:rPr>
          <w:b/>
          <w:highlight w:val="lightGray"/>
        </w:rPr>
      </w:pPr>
    </w:p>
    <w:p w:rsidR="00661505" w:rsidRPr="00863239" w:rsidRDefault="00661505">
      <w:pPr>
        <w:spacing w:line="240" w:lineRule="auto"/>
        <w:rPr>
          <w:b/>
          <w:highlight w:val="lightGray"/>
        </w:rPr>
      </w:pPr>
      <w:r>
        <w:br w:type="page"/>
      </w:r>
    </w:p>
    <w:p w:rsidR="00B00F9F" w:rsidRPr="00863239" w:rsidRDefault="00B00F9F" w:rsidP="0098721A">
      <w:pPr>
        <w:numPr>
          <w:ilvl w:val="0"/>
          <w:numId w:val="5"/>
        </w:numPr>
        <w:ind w:left="567" w:hanging="567"/>
        <w:rPr>
          <w:b/>
        </w:rPr>
      </w:pPr>
      <w:r>
        <w:rPr>
          <w:b/>
        </w:rPr>
        <w:t>PROCEDURĂ</w:t>
      </w:r>
    </w:p>
    <w:p w:rsidR="000B042A" w:rsidRPr="00863239" w:rsidRDefault="000B042A" w:rsidP="000B042A">
      <w:pPr>
        <w:rPr>
          <w:b/>
        </w:rPr>
      </w:pPr>
    </w:p>
    <w:tbl>
      <w:tblPr>
        <w:tblW w:w="5000" w:type="pct"/>
        <w:jc w:val="center"/>
        <w:tblLayout w:type="fixed"/>
        <w:tblCellMar>
          <w:left w:w="57" w:type="dxa"/>
          <w:right w:w="57" w:type="dxa"/>
        </w:tblCellMar>
        <w:tblLook w:val="0000" w:firstRow="0" w:lastRow="0" w:firstColumn="0" w:lastColumn="0" w:noHBand="0" w:noVBand="0"/>
      </w:tblPr>
      <w:tblGrid>
        <w:gridCol w:w="3748"/>
        <w:gridCol w:w="5314"/>
      </w:tblGrid>
      <w:tr w:rsidR="00405083" w:rsidRPr="00863239">
        <w:trPr>
          <w:jc w:val="center"/>
        </w:trPr>
        <w:tc>
          <w:tcPr>
            <w:tcW w:w="3799" w:type="dxa"/>
            <w:tcBorders>
              <w:top w:val="single" w:sz="4" w:space="0" w:color="000000"/>
              <w:left w:val="single" w:sz="4" w:space="0" w:color="000000"/>
              <w:bottom w:val="single" w:sz="4" w:space="0" w:color="000000"/>
            </w:tcBorders>
            <w:shd w:val="clear" w:color="auto" w:fill="FFFFFF"/>
          </w:tcPr>
          <w:p w:rsidR="006377C6" w:rsidRPr="00863239" w:rsidRDefault="006377C6" w:rsidP="006377C6">
            <w:pPr>
              <w:rPr>
                <w:b/>
              </w:rPr>
            </w:pPr>
            <w:r>
              <w:rPr>
                <w:b/>
              </w:rPr>
              <w:t>Titlu</w:t>
            </w:r>
          </w:p>
          <w:p w:rsidR="006377C6" w:rsidRPr="00863239" w:rsidRDefault="006377C6" w:rsidP="006377C6">
            <w:pPr>
              <w:rPr>
                <w:b/>
              </w:rPr>
            </w:pP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6377C6" w:rsidRPr="00863239" w:rsidRDefault="006377C6" w:rsidP="006377C6">
            <w:r>
              <w:rPr>
                <w:b/>
              </w:rPr>
              <w:t>Strategia pentru IMM-uri</w:t>
            </w:r>
          </w:p>
        </w:tc>
      </w:tr>
      <w:tr w:rsidR="00405083" w:rsidRPr="00863239">
        <w:trPr>
          <w:jc w:val="center"/>
        </w:trPr>
        <w:tc>
          <w:tcPr>
            <w:tcW w:w="3799" w:type="dxa"/>
            <w:tcBorders>
              <w:top w:val="single" w:sz="4" w:space="0" w:color="000000"/>
              <w:left w:val="single" w:sz="4" w:space="0" w:color="000000"/>
              <w:bottom w:val="single" w:sz="4" w:space="0" w:color="000000"/>
            </w:tcBorders>
            <w:shd w:val="clear" w:color="auto" w:fill="FFFFFF"/>
          </w:tcPr>
          <w:p w:rsidR="003502F5" w:rsidRPr="00863239" w:rsidRDefault="003502F5" w:rsidP="0098721A">
            <w:pPr>
              <w:rPr>
                <w:b/>
              </w:rPr>
            </w:pPr>
            <w:r>
              <w:rPr>
                <w:b/>
              </w:rPr>
              <w:t xml:space="preserve">Referințe </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rsidR="003502F5" w:rsidRPr="00863239" w:rsidRDefault="00FB1098" w:rsidP="0098721A">
            <w:r>
              <w:t>COM(2020) 103 final</w:t>
            </w: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Temei juridic</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DC2F0D">
            <w:r>
              <w:t>articolul 307 alineatul (4) din TFUE</w:t>
            </w: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Baza procedurală</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6377C6">
            <w:r>
              <w:t>Articolul 41 litera (b) punctul (i) din RP</w:t>
            </w: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2D5C92">
            <w:pPr>
              <w:spacing w:line="240" w:lineRule="auto"/>
              <w:rPr>
                <w:b/>
              </w:rPr>
            </w:pPr>
            <w:r>
              <w:rPr>
                <w:b/>
              </w:rPr>
              <w:t>Data sesizării de către Consiliu/</w:t>
            </w:r>
            <w:r>
              <w:rPr>
                <w:b/>
              </w:rPr>
              <w:br/>
              <w:t>Parlamentul European/</w:t>
            </w:r>
            <w:r>
              <w:rPr>
                <w:b/>
              </w:rPr>
              <w:br/>
              <w:t>Data scrisorii Comisiei</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2D5C92">
            <w:pPr>
              <w:spacing w:line="240" w:lineRule="auto"/>
            </w:pP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Data deciziei președintelui/ Biroului</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6377C6">
            <w:pPr>
              <w:ind w:left="100"/>
            </w:pP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Comisia competentă</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6377C6">
            <w:pPr>
              <w:ind w:left="100"/>
            </w:pP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Raportor</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6377C6">
            <w:r>
              <w:t>Comisia pentru politica economică (ECON)</w:t>
            </w: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Notă de analiză</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2D5C92">
            <w:r>
              <w:t>Eddy van Hijum (NL-PPE), membru al Consiliului executiv al provinciei Overijssel</w:t>
            </w: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 xml:space="preserve">Examinare în comisie </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6377C6">
            <w:pPr>
              <w:ind w:left="100"/>
            </w:pP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 xml:space="preserve">Data adoptării în comisie </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6377C6">
            <w:r>
              <w:t>23 iunie 2020</w:t>
            </w: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Rezultatul votului în comisie</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6377C6">
            <w:pPr>
              <w:ind w:left="100"/>
            </w:pP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(majoritate, unanimitate)</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54584B" w:rsidP="00347264">
            <w:r>
              <w:t>majoritate</w:t>
            </w: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 xml:space="preserve">Data adoptării în sesiunea plenară </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6377C6">
            <w:r>
              <w:t>12-14 octombrie 2020</w:t>
            </w: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6377C6">
            <w:pPr>
              <w:rPr>
                <w:b/>
              </w:rPr>
            </w:pPr>
            <w:r>
              <w:rPr>
                <w:b/>
              </w:rPr>
              <w:t xml:space="preserve">Avize precedente ale Comitetului </w:t>
            </w:r>
          </w:p>
        </w:tc>
        <w:tc>
          <w:tcPr>
            <w:tcW w:w="5387" w:type="dxa"/>
            <w:tcBorders>
              <w:left w:val="single" w:sz="4" w:space="0" w:color="000000"/>
              <w:bottom w:val="single" w:sz="4" w:space="0" w:color="000000"/>
              <w:right w:val="single" w:sz="4" w:space="0" w:color="000000"/>
            </w:tcBorders>
            <w:shd w:val="clear" w:color="auto" w:fill="FFFFFF"/>
          </w:tcPr>
          <w:p w:rsidR="00FB1098" w:rsidRPr="00863239" w:rsidRDefault="00FB1098" w:rsidP="006377C6">
            <w:r>
              <w:t xml:space="preserve">Avizul Comitetului European al Regiunilor pe tema </w:t>
            </w:r>
            <w:r>
              <w:rPr>
                <w:i/>
              </w:rPr>
              <w:t>„Contribuția regiunilor și orașelor la elaborarea unui nou cadru de politică a UE pentru IMM-uri”</w:t>
            </w:r>
            <w:r>
              <w:t xml:space="preserve"> (ECON-VI-46) – raportor: Tadeusz Truskolaski (PL-AE), octombrie 2019</w:t>
            </w:r>
          </w:p>
          <w:p w:rsidR="00313B5B" w:rsidRPr="00863239" w:rsidRDefault="00313B5B" w:rsidP="002D5C92">
            <w:pPr>
              <w:spacing w:line="240" w:lineRule="auto"/>
            </w:pPr>
          </w:p>
          <w:p w:rsidR="00FB1098" w:rsidRPr="00863239" w:rsidRDefault="00FB1098" w:rsidP="006377C6">
            <w:r>
              <w:t xml:space="preserve">Avizul Comitetului European al Regiunilor pe tema </w:t>
            </w:r>
            <w:r>
              <w:rPr>
                <w:i/>
              </w:rPr>
              <w:t>„Viitorul programului COSME după 2020: perspectiva autorităților locale și regionale”</w:t>
            </w:r>
            <w:r>
              <w:t xml:space="preserve"> (ECON-VI-27) – raportor: Robert Sorin Negoiță (RO-PSE), februarie 2018</w:t>
            </w:r>
          </w:p>
          <w:p w:rsidR="00FB1098" w:rsidRPr="00863239" w:rsidRDefault="00FB1098" w:rsidP="002D5C92">
            <w:pPr>
              <w:spacing w:line="240" w:lineRule="auto"/>
            </w:pPr>
          </w:p>
          <w:p w:rsidR="00FB1098" w:rsidRPr="00863239" w:rsidRDefault="00FB1098" w:rsidP="006377C6">
            <w:r>
              <w:t xml:space="preserve">Avizul Comitetului European al Regiunilor pe tema </w:t>
            </w:r>
            <w:r>
              <w:rPr>
                <w:i/>
              </w:rPr>
              <w:t>„Pachetul privind serviciile: O economie a serviciilor avantajoasă pentru europeni”</w:t>
            </w:r>
            <w:r>
              <w:t xml:space="preserve"> (ECON-VI-22) – raportor: Jean-Luc Vanraes (BE-ALDE), octombrie 2017</w:t>
            </w:r>
          </w:p>
          <w:p w:rsidR="00FB1098" w:rsidRPr="00863239" w:rsidRDefault="00FB1098" w:rsidP="002D5C92">
            <w:pPr>
              <w:spacing w:line="240" w:lineRule="auto"/>
            </w:pPr>
          </w:p>
          <w:p w:rsidR="00FB1098" w:rsidRPr="00863239" w:rsidRDefault="00FB1098" w:rsidP="006377C6">
            <w:r>
              <w:t xml:space="preserve">Avizul Comitetului European al Regiunilor pe tema </w:t>
            </w:r>
            <w:r>
              <w:rPr>
                <w:i/>
              </w:rPr>
              <w:t>„Reglementarea inteligentă pentru IMM-uri”</w:t>
            </w:r>
            <w:r>
              <w:t xml:space="preserve"> (ECON-VI-20) – raportor: Christian Buchmann (AT-PPE), iulie 2017</w:t>
            </w:r>
          </w:p>
          <w:p w:rsidR="00FB1098" w:rsidRPr="00863239" w:rsidRDefault="00FB1098" w:rsidP="002D5C92">
            <w:pPr>
              <w:spacing w:line="240" w:lineRule="auto"/>
            </w:pPr>
          </w:p>
          <w:p w:rsidR="006377C6" w:rsidRPr="00863239" w:rsidRDefault="00FB1098" w:rsidP="00827C01">
            <w:r>
              <w:t>Avizul Comitetului European al Regiunilor pe tema „</w:t>
            </w:r>
            <w:r>
              <w:rPr>
                <w:i/>
              </w:rPr>
              <w:t>Acordarea de sprijin întreprinderilor nou-înființate și celor în curs de extindere în Europa: perspectiva locală și regională</w:t>
            </w:r>
            <w:r>
              <w:t>” (ECON-VI-21) – raportor: Tadeusz Truskolaski (PL-AE), iulie 2017</w:t>
            </w:r>
          </w:p>
        </w:tc>
      </w:tr>
      <w:tr w:rsidR="00405083" w:rsidRPr="00863239">
        <w:trPr>
          <w:jc w:val="center"/>
        </w:trPr>
        <w:tc>
          <w:tcPr>
            <w:tcW w:w="3799" w:type="dxa"/>
            <w:tcBorders>
              <w:left w:val="single" w:sz="4" w:space="0" w:color="000000"/>
              <w:bottom w:val="single" w:sz="4" w:space="0" w:color="000000"/>
            </w:tcBorders>
            <w:shd w:val="clear" w:color="auto" w:fill="FFFFFF"/>
          </w:tcPr>
          <w:p w:rsidR="006377C6" w:rsidRPr="00863239" w:rsidRDefault="006377C6" w:rsidP="002D5C92">
            <w:pPr>
              <w:spacing w:line="240" w:lineRule="auto"/>
              <w:rPr>
                <w:b/>
              </w:rPr>
            </w:pPr>
            <w:r>
              <w:rPr>
                <w:b/>
              </w:rPr>
              <w:t>Data consultării Rețelei de monitorizare a subsidiarității</w:t>
            </w:r>
          </w:p>
        </w:tc>
        <w:tc>
          <w:tcPr>
            <w:tcW w:w="5387" w:type="dxa"/>
            <w:tcBorders>
              <w:left w:val="single" w:sz="4" w:space="0" w:color="000000"/>
              <w:bottom w:val="single" w:sz="4" w:space="0" w:color="000000"/>
              <w:right w:val="single" w:sz="4" w:space="0" w:color="000000"/>
            </w:tcBorders>
            <w:shd w:val="clear" w:color="auto" w:fill="FFFFFF"/>
          </w:tcPr>
          <w:p w:rsidR="006377C6" w:rsidRPr="00863239" w:rsidRDefault="006377C6" w:rsidP="002D5C92">
            <w:pPr>
              <w:spacing w:line="240" w:lineRule="auto"/>
            </w:pPr>
          </w:p>
        </w:tc>
      </w:tr>
    </w:tbl>
    <w:p w:rsidR="00EF21B5" w:rsidRPr="00863239" w:rsidRDefault="00EF21B5" w:rsidP="00EF21B5">
      <w:pPr>
        <w:jc w:val="center"/>
      </w:pPr>
      <w:r>
        <w:t>_____________</w:t>
      </w:r>
    </w:p>
    <w:sectPr w:rsidR="00EF21B5" w:rsidRPr="00863239" w:rsidSect="00863239">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9" w:footer="709"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E04" w:rsidRDefault="00FB0E04">
      <w:pPr>
        <w:spacing w:line="240" w:lineRule="auto"/>
      </w:pPr>
      <w:r>
        <w:separator/>
      </w:r>
    </w:p>
  </w:endnote>
  <w:endnote w:type="continuationSeparator" w:id="0">
    <w:p w:rsidR="00FB0E04" w:rsidRDefault="00FB0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239" w:rsidRPr="00863239" w:rsidRDefault="00863239" w:rsidP="00863239">
    <w:pPr>
      <w:pStyle w:val="Footer"/>
    </w:pPr>
    <w:r>
      <w:t xml:space="preserve">COR-2020-01373-00-00-AC-TRA (EN) </w:t>
    </w:r>
    <w:r>
      <w:fldChar w:fldCharType="begin"/>
    </w:r>
    <w:r>
      <w:instrText xml:space="preserve"> PAGE  \* Arabic  \* MERGEFORMAT </w:instrText>
    </w:r>
    <w:r>
      <w:fldChar w:fldCharType="separate"/>
    </w:r>
    <w:r w:rsidR="008D1021">
      <w:rPr>
        <w:noProof/>
      </w:rPr>
      <w:t>1</w:t>
    </w:r>
    <w:r>
      <w:fldChar w:fldCharType="end"/>
    </w:r>
    <w:r>
      <w:t>/</w:t>
    </w:r>
    <w:r w:rsidR="00BC75C5">
      <w:fldChar w:fldCharType="begin"/>
    </w:r>
    <w:r w:rsidR="00BC75C5">
      <w:instrText xml:space="preserve"> NUMPAGES </w:instrText>
    </w:r>
    <w:r w:rsidR="00BC75C5">
      <w:fldChar w:fldCharType="separate"/>
    </w:r>
    <w:r w:rsidR="008D1021">
      <w:rPr>
        <w:noProof/>
      </w:rPr>
      <w:t>1</w:t>
    </w:r>
    <w:r w:rsidR="00BC75C5">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239" w:rsidRPr="00863239" w:rsidRDefault="00863239" w:rsidP="008632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505" w:rsidRPr="00863239" w:rsidRDefault="00863239" w:rsidP="00863239">
    <w:pPr>
      <w:pStyle w:val="Footer"/>
    </w:pPr>
    <w:r>
      <w:t xml:space="preserve">COR-2020-01373-00-00-AC-TRA (EN) </w:t>
    </w:r>
    <w:r>
      <w:fldChar w:fldCharType="begin"/>
    </w:r>
    <w:r>
      <w:instrText xml:space="preserve"> PAGE  \* Arabic  \* MERGEFORMAT </w:instrText>
    </w:r>
    <w:r>
      <w:fldChar w:fldCharType="separate"/>
    </w:r>
    <w:r w:rsidR="0001303C">
      <w:rPr>
        <w:noProof/>
      </w:rPr>
      <w:t>11</w:t>
    </w:r>
    <w:r>
      <w:fldChar w:fldCharType="end"/>
    </w:r>
    <w:r>
      <w:t>/</w:t>
    </w:r>
    <w:r w:rsidR="00BC75C5">
      <w:fldChar w:fldCharType="begin"/>
    </w:r>
    <w:r w:rsidR="00BC75C5">
      <w:instrText xml:space="preserve"> NUMPAGES </w:instrText>
    </w:r>
    <w:r w:rsidR="00BC75C5">
      <w:fldChar w:fldCharType="separate"/>
    </w:r>
    <w:r w:rsidR="0001303C">
      <w:rPr>
        <w:noProof/>
      </w:rPr>
      <w:t>12</w:t>
    </w:r>
    <w:r w:rsidR="00BC75C5">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239" w:rsidRPr="00863239" w:rsidRDefault="00863239" w:rsidP="00863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E04" w:rsidRDefault="00FB0E04">
      <w:pPr>
        <w:spacing w:line="240" w:lineRule="auto"/>
      </w:pPr>
      <w:r>
        <w:separator/>
      </w:r>
    </w:p>
  </w:footnote>
  <w:footnote w:type="continuationSeparator" w:id="0">
    <w:p w:rsidR="00FB0E04" w:rsidRDefault="00FB0E04">
      <w:pPr>
        <w:spacing w:line="240" w:lineRule="auto"/>
      </w:pPr>
      <w:r>
        <w:continuationSeparator/>
      </w:r>
    </w:p>
  </w:footnote>
  <w:footnote w:id="1">
    <w:p w:rsidR="0098721A" w:rsidRPr="0098721A" w:rsidRDefault="0098721A" w:rsidP="007F1DB5">
      <w:pPr>
        <w:pStyle w:val="FootnoteText"/>
        <w:ind w:left="567" w:hanging="567"/>
      </w:pPr>
      <w:r>
        <w:rPr>
          <w:rStyle w:val="FootnoteReference"/>
        </w:rPr>
        <w:footnoteRef/>
      </w:r>
      <w:r>
        <w:t xml:space="preserve"> </w:t>
      </w:r>
      <w:r>
        <w:tab/>
        <w:t>A se vedea Raportul anual privind IMM-urile din Europa (2019).</w:t>
      </w:r>
    </w:p>
  </w:footnote>
  <w:footnote w:id="2">
    <w:p w:rsidR="0098721A" w:rsidRPr="0098721A" w:rsidRDefault="0098721A" w:rsidP="007F1DB5">
      <w:pPr>
        <w:pStyle w:val="FootnoteText"/>
        <w:ind w:left="567" w:hanging="567"/>
      </w:pPr>
      <w:r>
        <w:rPr>
          <w:rStyle w:val="FootnoteReference"/>
        </w:rPr>
        <w:footnoteRef/>
      </w:r>
      <w:r>
        <w:rPr>
          <w:rStyle w:val="FootnoteReference"/>
        </w:rPr>
        <w:tab/>
      </w:r>
      <w:r>
        <w:t>Cercetările statistice sprijinite de programul COSME au determinat procentul de întreprinderi familiale din sectorul nefinanciar din Danemarca (60 %), Finlanda (70 %), Țările de Jos (71 %) și Polonia (92 %).</w:t>
      </w:r>
    </w:p>
  </w:footnote>
  <w:footnote w:id="3">
    <w:p w:rsidR="0098721A" w:rsidRPr="0098721A" w:rsidRDefault="0098721A" w:rsidP="007F1DB5">
      <w:pPr>
        <w:pStyle w:val="FootnoteText"/>
        <w:ind w:left="567" w:hanging="567"/>
      </w:pPr>
      <w:r>
        <w:rPr>
          <w:rStyle w:val="FootnoteReference"/>
        </w:rPr>
        <w:footnoteRef/>
      </w:r>
      <w:r>
        <w:tab/>
        <w:t>Conform statisticilor din Țările de Jos, regiunile cu o concentrare mai ridicată a întreprinderilor familiale au un PIB apropiat de media europeană (Eurostat, 2017; CBS, 2017).</w:t>
      </w:r>
    </w:p>
  </w:footnote>
  <w:footnote w:id="4">
    <w:p w:rsidR="0098721A" w:rsidRPr="0098721A" w:rsidRDefault="0098721A" w:rsidP="007F1DB5">
      <w:pPr>
        <w:pStyle w:val="FootnoteText"/>
        <w:ind w:left="567" w:hanging="567"/>
      </w:pPr>
      <w:r>
        <w:rPr>
          <w:rStyle w:val="FootnoteReference"/>
        </w:rPr>
        <w:footnoteRef/>
      </w:r>
      <w:r>
        <w:tab/>
      </w:r>
      <w:hyperlink r:id="rId1" w:history="1">
        <w:r>
          <w:rPr>
            <w:rStyle w:val="Hyperlink"/>
          </w:rPr>
          <w:t>https://aachen.digital/</w:t>
        </w:r>
      </w:hyperlink>
      <w:r>
        <w:t xml:space="preserve"> </w:t>
      </w:r>
    </w:p>
  </w:footnote>
  <w:footnote w:id="5">
    <w:p w:rsidR="0098721A" w:rsidRPr="0098721A" w:rsidRDefault="0098721A" w:rsidP="007F1DB5">
      <w:pPr>
        <w:pStyle w:val="FootnoteText"/>
        <w:ind w:left="567" w:hanging="567"/>
      </w:pPr>
      <w:r>
        <w:rPr>
          <w:rStyle w:val="FootnoteReference"/>
        </w:rPr>
        <w:footnoteRef/>
      </w:r>
      <w:r>
        <w:tab/>
      </w:r>
      <w:hyperlink r:id="rId2" w:history="1">
        <w:r>
          <w:rPr>
            <w:rStyle w:val="Hyperlink"/>
          </w:rPr>
          <w:t>https://blogs.ec.europa.eu/promotingenterprise/files/2020/02/2020_PublicPROCUREMENTfosSME-GUIDANCEforCAuthorities.pdf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239" w:rsidRPr="00863239" w:rsidRDefault="00863239" w:rsidP="008632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239" w:rsidRPr="00863239" w:rsidRDefault="00863239" w:rsidP="008632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239" w:rsidRPr="00863239" w:rsidRDefault="00863239" w:rsidP="008632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DA679E8"/>
    <w:lvl w:ilvl="0">
      <w:start w:val="1"/>
      <w:numFmt w:val="decimal"/>
      <w:pStyle w:val="Heading1"/>
      <w:lvlText w:val="%1."/>
      <w:legacy w:legacy="1" w:legacySpace="0"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multilevel"/>
    <w:tmpl w:val="00000001"/>
    <w:name w:val="WW8Num1"/>
    <w:lvl w:ilvl="0">
      <w:start w:val="1"/>
      <w:numFmt w:val="decimal"/>
      <w:lvlText w:val="%1."/>
      <w:lvlJc w:val="left"/>
      <w:pPr>
        <w:tabs>
          <w:tab w:val="num" w:pos="0"/>
        </w:tabs>
        <w:ind w:left="720" w:hanging="360"/>
      </w:pPr>
      <w:rPr>
        <w:rFonts w:ascii="Times New Roman" w:hAnsi="Times New Roman" w:cs="Times New Roman"/>
        <w:i w:val="0"/>
        <w:iCs w:val="0"/>
        <w:color w:val="000000"/>
        <w:sz w:val="22"/>
        <w:szCs w:val="22"/>
        <w:lang w:val="en-G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2"/>
    <w:multiLevelType w:val="multilevel"/>
    <w:tmpl w:val="00000002"/>
    <w:name w:val="WW8Num2"/>
    <w:lvl w:ilvl="0">
      <w:start w:val="1"/>
      <w:numFmt w:val="upperRoman"/>
      <w:lvlText w:val="%1."/>
      <w:lvlJc w:val="right"/>
      <w:pPr>
        <w:tabs>
          <w:tab w:val="num" w:pos="720"/>
        </w:tabs>
        <w:ind w:left="720" w:hanging="360"/>
      </w:pPr>
      <w:rPr>
        <w:rFonts w:cs="Times New Roman"/>
        <w:lang w:val="en-GB"/>
      </w:rPr>
    </w:lvl>
    <w:lvl w:ilvl="1">
      <w:start w:val="1"/>
      <w:numFmt w:val="upperRoman"/>
      <w:lvlText w:val="%2."/>
      <w:lvlJc w:val="right"/>
      <w:pPr>
        <w:tabs>
          <w:tab w:val="num" w:pos="1440"/>
        </w:tabs>
        <w:ind w:left="1440" w:hanging="360"/>
      </w:pPr>
    </w:lvl>
    <w:lvl w:ilvl="2">
      <w:start w:val="1"/>
      <w:numFmt w:val="upperRoman"/>
      <w:lvlText w:val="%2.%3."/>
      <w:lvlJc w:val="right"/>
      <w:pPr>
        <w:tabs>
          <w:tab w:val="num" w:pos="2160"/>
        </w:tabs>
        <w:ind w:left="2160" w:hanging="360"/>
      </w:pPr>
    </w:lvl>
    <w:lvl w:ilvl="3">
      <w:start w:val="1"/>
      <w:numFmt w:val="upperRoman"/>
      <w:lvlText w:val="%2.%3.%4."/>
      <w:lvlJc w:val="right"/>
      <w:pPr>
        <w:tabs>
          <w:tab w:val="num" w:pos="2880"/>
        </w:tabs>
        <w:ind w:left="2880" w:hanging="360"/>
      </w:pPr>
    </w:lvl>
    <w:lvl w:ilvl="4">
      <w:start w:val="1"/>
      <w:numFmt w:val="upperRoman"/>
      <w:lvlText w:val="%2.%3.%4.%5."/>
      <w:lvlJc w:val="right"/>
      <w:pPr>
        <w:tabs>
          <w:tab w:val="num" w:pos="3600"/>
        </w:tabs>
        <w:ind w:left="3600" w:hanging="360"/>
      </w:pPr>
    </w:lvl>
    <w:lvl w:ilvl="5">
      <w:start w:val="1"/>
      <w:numFmt w:val="upperRoman"/>
      <w:lvlText w:val="%2.%3.%4.%5.%6."/>
      <w:lvlJc w:val="right"/>
      <w:pPr>
        <w:tabs>
          <w:tab w:val="num" w:pos="4320"/>
        </w:tabs>
        <w:ind w:left="4320" w:hanging="360"/>
      </w:pPr>
    </w:lvl>
    <w:lvl w:ilvl="6">
      <w:start w:val="1"/>
      <w:numFmt w:val="upperRoman"/>
      <w:lvlText w:val="%2.%3.%4.%5.%6.%7."/>
      <w:lvlJc w:val="right"/>
      <w:pPr>
        <w:tabs>
          <w:tab w:val="num" w:pos="5040"/>
        </w:tabs>
        <w:ind w:left="5040" w:hanging="360"/>
      </w:pPr>
    </w:lvl>
    <w:lvl w:ilvl="7">
      <w:start w:val="1"/>
      <w:numFmt w:val="upperRoman"/>
      <w:lvlText w:val="%2.%3.%4.%5.%6.%7.%8."/>
      <w:lvlJc w:val="right"/>
      <w:pPr>
        <w:tabs>
          <w:tab w:val="num" w:pos="5760"/>
        </w:tabs>
        <w:ind w:left="5760" w:hanging="360"/>
      </w:pPr>
    </w:lvl>
    <w:lvl w:ilvl="8">
      <w:start w:val="1"/>
      <w:numFmt w:val="upperRoman"/>
      <w:lvlText w:val="%2.%3.%4.%5.%6.%7.%8.%9."/>
      <w:lvlJc w:val="right"/>
      <w:pPr>
        <w:tabs>
          <w:tab w:val="num" w:pos="6480"/>
        </w:tabs>
        <w:ind w:left="6480" w:hanging="360"/>
      </w:pPr>
    </w:lvl>
  </w:abstractNum>
  <w:abstractNum w:abstractNumId="3"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8D11E74"/>
    <w:multiLevelType w:val="hybridMultilevel"/>
    <w:tmpl w:val="18FA9310"/>
    <w:lvl w:ilvl="0" w:tplc="267CC186">
      <w:start w:val="1"/>
      <w:numFmt w:val="upperRoman"/>
      <w:lvlText w:val="%1."/>
      <w:lvlJc w:val="left"/>
      <w:pPr>
        <w:ind w:left="72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9E0AD1"/>
    <w:multiLevelType w:val="hybridMultilevel"/>
    <w:tmpl w:val="32CABFA6"/>
    <w:lvl w:ilvl="0" w:tplc="29DE7924">
      <w:start w:val="1"/>
      <w:numFmt w:val="bullet"/>
      <w:lvlRestart w:val="0"/>
      <w:lvlText w:val="-"/>
      <w:lvlJc w:val="left"/>
      <w:pPr>
        <w:tabs>
          <w:tab w:val="num" w:pos="0"/>
        </w:tabs>
        <w:ind w:left="283" w:hanging="283"/>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A6486E"/>
    <w:multiLevelType w:val="hybridMultilevel"/>
    <w:tmpl w:val="B1A8EB94"/>
    <w:lvl w:ilvl="0" w:tplc="516893A2">
      <w:start w:val="1"/>
      <w:numFmt w:val="decimal"/>
      <w:pStyle w:val="normalpoint"/>
      <w:lvlText w:val="%1."/>
      <w:lvlJc w:val="left"/>
      <w:pPr>
        <w:ind w:left="720" w:hanging="360"/>
      </w:pPr>
      <w:rPr>
        <w:i w:val="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A615D04"/>
    <w:multiLevelType w:val="hybridMultilevel"/>
    <w:tmpl w:val="BA028D1A"/>
    <w:lvl w:ilvl="0" w:tplc="267CC186">
      <w:start w:val="1"/>
      <w:numFmt w:val="upperRoman"/>
      <w:lvlText w:val="%1."/>
      <w:lvlJc w:val="left"/>
      <w:pPr>
        <w:ind w:left="720" w:hanging="360"/>
      </w:pPr>
      <w:rPr>
        <w:b/>
        <w:i w:val="0"/>
      </w:rPr>
    </w:lvl>
    <w:lvl w:ilvl="1" w:tplc="8108A8E8">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4"/>
  </w:num>
  <w:num w:numId="6">
    <w:abstractNumId w:val="0"/>
  </w:num>
  <w:num w:numId="7">
    <w:abstractNumId w:val="1"/>
    <w:lvlOverride w:ilvl="0">
      <w:lvl w:ilvl="0">
        <w:start w:val="1"/>
        <w:numFmt w:val="decimal"/>
        <w:lvlText w:val="%1."/>
        <w:lvlJc w:val="left"/>
        <w:pPr>
          <w:tabs>
            <w:tab w:val="num" w:pos="0"/>
          </w:tabs>
          <w:ind w:left="720" w:hanging="360"/>
        </w:pPr>
        <w:rPr>
          <w:rFonts w:ascii="Times New Roman" w:hAnsi="Times New Roman" w:cs="Times New Roman"/>
          <w:i w:val="0"/>
          <w:iCs w:val="0"/>
          <w:color w:val="000000"/>
          <w:sz w:val="22"/>
          <w:szCs w:val="22"/>
          <w:lang w:val="en-GB"/>
        </w:rPr>
      </w:lvl>
    </w:lvlOverride>
    <w:lvlOverride w:ilvl="1">
      <w:lvl w:ilvl="1">
        <w:start w:val="1"/>
        <w:numFmt w:val="lowerLetter"/>
        <w:lvlText w:val="%2."/>
        <w:lvlJc w:val="left"/>
        <w:pPr>
          <w:tabs>
            <w:tab w:val="num" w:pos="0"/>
          </w:tabs>
          <w:ind w:left="1440" w:hanging="360"/>
        </w:pPr>
      </w:lvl>
    </w:lvlOverride>
    <w:lvlOverride w:ilvl="2">
      <w:lvl w:ilvl="2">
        <w:start w:val="1"/>
        <w:numFmt w:val="lowerRoman"/>
        <w:lvlText w:val="%2.%3."/>
        <w:lvlJc w:val="right"/>
        <w:pPr>
          <w:tabs>
            <w:tab w:val="num" w:pos="0"/>
          </w:tabs>
          <w:ind w:left="2160" w:hanging="180"/>
        </w:pPr>
      </w:lvl>
    </w:lvlOverride>
    <w:lvlOverride w:ilvl="3">
      <w:lvl w:ilvl="3">
        <w:start w:val="1"/>
        <w:numFmt w:val="decimal"/>
        <w:lvlText w:val="%2.%3.%4."/>
        <w:lvlJc w:val="left"/>
        <w:pPr>
          <w:tabs>
            <w:tab w:val="num" w:pos="0"/>
          </w:tabs>
          <w:ind w:left="2880" w:hanging="360"/>
        </w:pPr>
      </w:lvl>
    </w:lvlOverride>
    <w:lvlOverride w:ilvl="4">
      <w:lvl w:ilvl="4">
        <w:start w:val="1"/>
        <w:numFmt w:val="lowerLetter"/>
        <w:lvlText w:val="%2.%3.%4.%5."/>
        <w:lvlJc w:val="left"/>
        <w:pPr>
          <w:tabs>
            <w:tab w:val="num" w:pos="0"/>
          </w:tabs>
          <w:ind w:left="3600" w:hanging="360"/>
        </w:pPr>
      </w:lvl>
    </w:lvlOverride>
    <w:lvlOverride w:ilvl="5">
      <w:lvl w:ilvl="5">
        <w:start w:val="1"/>
        <w:numFmt w:val="lowerRoman"/>
        <w:lvlText w:val="%2.%3.%4.%5.%6."/>
        <w:lvlJc w:val="right"/>
        <w:pPr>
          <w:tabs>
            <w:tab w:val="num" w:pos="0"/>
          </w:tabs>
          <w:ind w:left="4320" w:hanging="180"/>
        </w:pPr>
      </w:lvl>
    </w:lvlOverride>
    <w:lvlOverride w:ilvl="6">
      <w:lvl w:ilvl="6">
        <w:start w:val="1"/>
        <w:numFmt w:val="decimal"/>
        <w:lvlText w:val="%2.%3.%4.%5.%6.%7."/>
        <w:lvlJc w:val="left"/>
        <w:pPr>
          <w:tabs>
            <w:tab w:val="num" w:pos="0"/>
          </w:tabs>
          <w:ind w:left="5040" w:hanging="360"/>
        </w:pPr>
      </w:lvl>
    </w:lvlOverride>
    <w:lvlOverride w:ilvl="7">
      <w:lvl w:ilvl="7">
        <w:start w:val="1"/>
        <w:numFmt w:val="lowerLetter"/>
        <w:lvlText w:val="%2.%3.%4.%5.%6.%7.%8."/>
        <w:lvlJc w:val="left"/>
        <w:pPr>
          <w:tabs>
            <w:tab w:val="num" w:pos="0"/>
          </w:tabs>
          <w:ind w:left="5760" w:hanging="360"/>
        </w:pPr>
      </w:lvl>
    </w:lvlOverride>
    <w:lvlOverride w:ilvl="8">
      <w:lvl w:ilvl="8">
        <w:start w:val="1"/>
        <w:numFmt w:val="lowerRoman"/>
        <w:lvlText w:val="%2.%3.%4.%5.%6.%7.%8.%9."/>
        <w:lvlJc w:val="right"/>
        <w:pPr>
          <w:tabs>
            <w:tab w:val="num" w:pos="0"/>
          </w:tabs>
          <w:ind w:left="6480" w:hanging="180"/>
        </w:pPr>
      </w:lvl>
    </w:lvlOverride>
  </w:num>
  <w:num w:numId="8">
    <w:abstractNumId w:val="1"/>
    <w:lvlOverride w:ilvl="0">
      <w:lvl w:ilvl="0">
        <w:start w:val="1"/>
        <w:numFmt w:val="decimal"/>
        <w:lvlText w:val="%1."/>
        <w:lvlJc w:val="left"/>
        <w:pPr>
          <w:tabs>
            <w:tab w:val="num" w:pos="0"/>
          </w:tabs>
          <w:ind w:left="720" w:hanging="360"/>
        </w:pPr>
        <w:rPr>
          <w:rFonts w:ascii="Times New Roman" w:hAnsi="Times New Roman" w:cs="Times New Roman"/>
          <w:i w:val="0"/>
          <w:iCs w:val="0"/>
          <w:color w:val="000000"/>
          <w:sz w:val="22"/>
          <w:szCs w:val="22"/>
          <w:lang w:val="en-GB"/>
        </w:rPr>
      </w:lvl>
    </w:lvlOverride>
    <w:lvlOverride w:ilvl="1">
      <w:lvl w:ilvl="1">
        <w:start w:val="1"/>
        <w:numFmt w:val="lowerLetter"/>
        <w:lvlText w:val="%2."/>
        <w:lvlJc w:val="left"/>
        <w:pPr>
          <w:tabs>
            <w:tab w:val="num" w:pos="0"/>
          </w:tabs>
          <w:ind w:left="1440" w:hanging="360"/>
        </w:pPr>
      </w:lvl>
    </w:lvlOverride>
    <w:lvlOverride w:ilvl="2">
      <w:lvl w:ilvl="2">
        <w:start w:val="1"/>
        <w:numFmt w:val="lowerRoman"/>
        <w:lvlText w:val="%2.%3."/>
        <w:lvlJc w:val="right"/>
        <w:pPr>
          <w:tabs>
            <w:tab w:val="num" w:pos="0"/>
          </w:tabs>
          <w:ind w:left="2160" w:hanging="180"/>
        </w:pPr>
      </w:lvl>
    </w:lvlOverride>
    <w:lvlOverride w:ilvl="3">
      <w:lvl w:ilvl="3">
        <w:start w:val="1"/>
        <w:numFmt w:val="decimal"/>
        <w:lvlText w:val="%2.%3.%4."/>
        <w:lvlJc w:val="left"/>
        <w:pPr>
          <w:tabs>
            <w:tab w:val="num" w:pos="0"/>
          </w:tabs>
          <w:ind w:left="2880" w:hanging="360"/>
        </w:pPr>
      </w:lvl>
    </w:lvlOverride>
    <w:lvlOverride w:ilvl="4">
      <w:lvl w:ilvl="4">
        <w:start w:val="1"/>
        <w:numFmt w:val="lowerLetter"/>
        <w:lvlText w:val="%2.%3.%4.%5."/>
        <w:lvlJc w:val="left"/>
        <w:pPr>
          <w:tabs>
            <w:tab w:val="num" w:pos="0"/>
          </w:tabs>
          <w:ind w:left="3600" w:hanging="360"/>
        </w:pPr>
      </w:lvl>
    </w:lvlOverride>
    <w:lvlOverride w:ilvl="5">
      <w:lvl w:ilvl="5">
        <w:start w:val="1"/>
        <w:numFmt w:val="lowerRoman"/>
        <w:lvlText w:val="%2.%3.%4.%5.%6."/>
        <w:lvlJc w:val="right"/>
        <w:pPr>
          <w:tabs>
            <w:tab w:val="num" w:pos="0"/>
          </w:tabs>
          <w:ind w:left="4320" w:hanging="180"/>
        </w:pPr>
      </w:lvl>
    </w:lvlOverride>
    <w:lvlOverride w:ilvl="6">
      <w:lvl w:ilvl="6">
        <w:start w:val="1"/>
        <w:numFmt w:val="decimal"/>
        <w:lvlText w:val="%2.%3.%4.%5.%6.%7."/>
        <w:lvlJc w:val="left"/>
        <w:pPr>
          <w:tabs>
            <w:tab w:val="num" w:pos="0"/>
          </w:tabs>
          <w:ind w:left="5040" w:hanging="360"/>
        </w:pPr>
      </w:lvl>
    </w:lvlOverride>
    <w:lvlOverride w:ilvl="7">
      <w:lvl w:ilvl="7">
        <w:start w:val="1"/>
        <w:numFmt w:val="lowerLetter"/>
        <w:lvlText w:val="%2.%3.%4.%5.%6.%7.%8."/>
        <w:lvlJc w:val="left"/>
        <w:pPr>
          <w:tabs>
            <w:tab w:val="num" w:pos="0"/>
          </w:tabs>
          <w:ind w:left="5760" w:hanging="360"/>
        </w:pPr>
      </w:lvl>
    </w:lvlOverride>
    <w:lvlOverride w:ilvl="8">
      <w:lvl w:ilvl="8">
        <w:start w:val="1"/>
        <w:numFmt w:val="lowerRoman"/>
        <w:lvlText w:val="%2.%3.%4.%5.%6.%7.%8.%9."/>
        <w:lvlJc w:val="right"/>
        <w:pPr>
          <w:tabs>
            <w:tab w:val="num" w:pos="0"/>
          </w:tabs>
          <w:ind w:left="6480" w:hanging="180"/>
        </w:pPr>
      </w:lvl>
    </w:lvlOverride>
  </w:num>
  <w:num w:numId="9">
    <w:abstractNumId w:val="6"/>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A0"/>
    <w:rsid w:val="00005993"/>
    <w:rsid w:val="0001303C"/>
    <w:rsid w:val="00040E07"/>
    <w:rsid w:val="00055BA0"/>
    <w:rsid w:val="00070A65"/>
    <w:rsid w:val="0008361D"/>
    <w:rsid w:val="0009038C"/>
    <w:rsid w:val="000B042A"/>
    <w:rsid w:val="000E0D03"/>
    <w:rsid w:val="000F0C64"/>
    <w:rsid w:val="0011114D"/>
    <w:rsid w:val="00152AFE"/>
    <w:rsid w:val="001548DA"/>
    <w:rsid w:val="001842F5"/>
    <w:rsid w:val="001948FC"/>
    <w:rsid w:val="00196AAE"/>
    <w:rsid w:val="001B710A"/>
    <w:rsid w:val="001D1F5C"/>
    <w:rsid w:val="001F34E5"/>
    <w:rsid w:val="0022387A"/>
    <w:rsid w:val="00227524"/>
    <w:rsid w:val="00230405"/>
    <w:rsid w:val="002363DD"/>
    <w:rsid w:val="00236D72"/>
    <w:rsid w:val="002424B1"/>
    <w:rsid w:val="00246A0D"/>
    <w:rsid w:val="00293212"/>
    <w:rsid w:val="002A2DBE"/>
    <w:rsid w:val="002D49E7"/>
    <w:rsid w:val="002D5C92"/>
    <w:rsid w:val="002E1C29"/>
    <w:rsid w:val="002F3226"/>
    <w:rsid w:val="003011C5"/>
    <w:rsid w:val="00313B5B"/>
    <w:rsid w:val="00347264"/>
    <w:rsid w:val="003502F5"/>
    <w:rsid w:val="00390011"/>
    <w:rsid w:val="003A15FA"/>
    <w:rsid w:val="003A5CCA"/>
    <w:rsid w:val="003C020B"/>
    <w:rsid w:val="003C21E1"/>
    <w:rsid w:val="00404D0D"/>
    <w:rsid w:val="00405083"/>
    <w:rsid w:val="004121BD"/>
    <w:rsid w:val="00431561"/>
    <w:rsid w:val="00436571"/>
    <w:rsid w:val="0045032E"/>
    <w:rsid w:val="004A337C"/>
    <w:rsid w:val="004D1D96"/>
    <w:rsid w:val="005016ED"/>
    <w:rsid w:val="00515EAA"/>
    <w:rsid w:val="005357D5"/>
    <w:rsid w:val="0054584B"/>
    <w:rsid w:val="00560476"/>
    <w:rsid w:val="00570EDD"/>
    <w:rsid w:val="00590965"/>
    <w:rsid w:val="005B3ECF"/>
    <w:rsid w:val="005E4E25"/>
    <w:rsid w:val="00605A6E"/>
    <w:rsid w:val="006133F2"/>
    <w:rsid w:val="00621AD7"/>
    <w:rsid w:val="006377C6"/>
    <w:rsid w:val="00661505"/>
    <w:rsid w:val="00693D3F"/>
    <w:rsid w:val="006A261E"/>
    <w:rsid w:val="006D34C6"/>
    <w:rsid w:val="006D6EB5"/>
    <w:rsid w:val="007112DA"/>
    <w:rsid w:val="00727453"/>
    <w:rsid w:val="00772910"/>
    <w:rsid w:val="007821E6"/>
    <w:rsid w:val="007B7BCB"/>
    <w:rsid w:val="007C4385"/>
    <w:rsid w:val="007E78BE"/>
    <w:rsid w:val="007F1DB5"/>
    <w:rsid w:val="007F52BF"/>
    <w:rsid w:val="008163C5"/>
    <w:rsid w:val="00827C01"/>
    <w:rsid w:val="00830C0D"/>
    <w:rsid w:val="00832B78"/>
    <w:rsid w:val="008419A5"/>
    <w:rsid w:val="00842062"/>
    <w:rsid w:val="00863239"/>
    <w:rsid w:val="008A408E"/>
    <w:rsid w:val="008C6F57"/>
    <w:rsid w:val="008C6FA5"/>
    <w:rsid w:val="008D1021"/>
    <w:rsid w:val="008F12F9"/>
    <w:rsid w:val="008F5E15"/>
    <w:rsid w:val="008F7B21"/>
    <w:rsid w:val="0090554D"/>
    <w:rsid w:val="00906EFD"/>
    <w:rsid w:val="00910895"/>
    <w:rsid w:val="00921919"/>
    <w:rsid w:val="00932D1F"/>
    <w:rsid w:val="00942D59"/>
    <w:rsid w:val="00945902"/>
    <w:rsid w:val="0098721A"/>
    <w:rsid w:val="009C2D40"/>
    <w:rsid w:val="009E311A"/>
    <w:rsid w:val="009E622F"/>
    <w:rsid w:val="009F2458"/>
    <w:rsid w:val="00A000FC"/>
    <w:rsid w:val="00A01D9B"/>
    <w:rsid w:val="00A07CC5"/>
    <w:rsid w:val="00A22CBC"/>
    <w:rsid w:val="00A31A96"/>
    <w:rsid w:val="00A91F7B"/>
    <w:rsid w:val="00AA28DD"/>
    <w:rsid w:val="00AB5348"/>
    <w:rsid w:val="00AD6754"/>
    <w:rsid w:val="00B00F9F"/>
    <w:rsid w:val="00B16D7B"/>
    <w:rsid w:val="00B60792"/>
    <w:rsid w:val="00B633E7"/>
    <w:rsid w:val="00B64E1B"/>
    <w:rsid w:val="00B7788A"/>
    <w:rsid w:val="00B83F5F"/>
    <w:rsid w:val="00B91233"/>
    <w:rsid w:val="00BB2F7D"/>
    <w:rsid w:val="00BB467E"/>
    <w:rsid w:val="00BC75C5"/>
    <w:rsid w:val="00BD4FC1"/>
    <w:rsid w:val="00C2164B"/>
    <w:rsid w:val="00C30419"/>
    <w:rsid w:val="00C4118F"/>
    <w:rsid w:val="00C71125"/>
    <w:rsid w:val="00C7196A"/>
    <w:rsid w:val="00CC0E0E"/>
    <w:rsid w:val="00D211F6"/>
    <w:rsid w:val="00D67637"/>
    <w:rsid w:val="00D734A0"/>
    <w:rsid w:val="00DA7C22"/>
    <w:rsid w:val="00DB36DA"/>
    <w:rsid w:val="00DC2F0D"/>
    <w:rsid w:val="00DE1B28"/>
    <w:rsid w:val="00DF2F5C"/>
    <w:rsid w:val="00E02E41"/>
    <w:rsid w:val="00E72B3F"/>
    <w:rsid w:val="00EA11AF"/>
    <w:rsid w:val="00EA12B6"/>
    <w:rsid w:val="00EF21B5"/>
    <w:rsid w:val="00F069CE"/>
    <w:rsid w:val="00F102FA"/>
    <w:rsid w:val="00F1496E"/>
    <w:rsid w:val="00F17709"/>
    <w:rsid w:val="00F204DA"/>
    <w:rsid w:val="00F371A8"/>
    <w:rsid w:val="00F51108"/>
    <w:rsid w:val="00F770A0"/>
    <w:rsid w:val="00FA5F0D"/>
    <w:rsid w:val="00FA661C"/>
    <w:rsid w:val="00FB0E04"/>
    <w:rsid w:val="00FB1098"/>
    <w:rsid w:val="00FC11D7"/>
    <w:rsid w:val="00FC3F91"/>
    <w:rsid w:val="00FE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oNotEmbedSmartTags/>
  <w:decimalSymbol w:val="."/>
  <w:listSeparator w:val=","/>
  <w15:docId w15:val="{9A36F367-13F9-4963-9EF2-8ECA93EA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5C5"/>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727453"/>
    <w:pPr>
      <w:numPr>
        <w:numId w:val="6"/>
      </w:numPr>
      <w:ind w:left="720" w:hanging="720"/>
      <w:outlineLvl w:val="0"/>
    </w:pPr>
    <w:rPr>
      <w:kern w:val="28"/>
    </w:rPr>
  </w:style>
  <w:style w:type="paragraph" w:styleId="Heading2">
    <w:name w:val="heading 2"/>
    <w:basedOn w:val="Normal"/>
    <w:next w:val="Normal"/>
    <w:link w:val="Heading2Char"/>
    <w:qFormat/>
    <w:rsid w:val="00727453"/>
    <w:pPr>
      <w:numPr>
        <w:ilvl w:val="1"/>
        <w:numId w:val="6"/>
      </w:numPr>
      <w:ind w:left="720" w:hanging="720"/>
      <w:outlineLvl w:val="1"/>
    </w:pPr>
  </w:style>
  <w:style w:type="paragraph" w:styleId="Heading3">
    <w:name w:val="heading 3"/>
    <w:basedOn w:val="Normal"/>
    <w:next w:val="Normal"/>
    <w:link w:val="Heading3Char"/>
    <w:qFormat/>
    <w:rsid w:val="00727453"/>
    <w:pPr>
      <w:numPr>
        <w:ilvl w:val="2"/>
        <w:numId w:val="6"/>
      </w:numPr>
      <w:ind w:left="720" w:hanging="720"/>
      <w:outlineLvl w:val="2"/>
    </w:pPr>
  </w:style>
  <w:style w:type="paragraph" w:styleId="Heading4">
    <w:name w:val="heading 4"/>
    <w:basedOn w:val="Normal"/>
    <w:next w:val="Normal"/>
    <w:link w:val="Heading4Char"/>
    <w:qFormat/>
    <w:rsid w:val="00727453"/>
    <w:pPr>
      <w:numPr>
        <w:ilvl w:val="3"/>
        <w:numId w:val="6"/>
      </w:numPr>
      <w:ind w:left="720" w:hanging="720"/>
      <w:outlineLvl w:val="3"/>
    </w:pPr>
  </w:style>
  <w:style w:type="paragraph" w:styleId="Heading5">
    <w:name w:val="heading 5"/>
    <w:basedOn w:val="Normal"/>
    <w:next w:val="Normal"/>
    <w:link w:val="Heading5Char"/>
    <w:qFormat/>
    <w:rsid w:val="00727453"/>
    <w:pPr>
      <w:numPr>
        <w:ilvl w:val="4"/>
        <w:numId w:val="6"/>
      </w:numPr>
      <w:ind w:left="720" w:hanging="720"/>
      <w:outlineLvl w:val="4"/>
    </w:pPr>
  </w:style>
  <w:style w:type="paragraph" w:styleId="Heading6">
    <w:name w:val="heading 6"/>
    <w:basedOn w:val="Normal"/>
    <w:next w:val="Normal"/>
    <w:link w:val="Heading6Char"/>
    <w:qFormat/>
    <w:rsid w:val="00727453"/>
    <w:pPr>
      <w:numPr>
        <w:ilvl w:val="5"/>
        <w:numId w:val="6"/>
      </w:numPr>
      <w:ind w:left="720" w:hanging="720"/>
      <w:outlineLvl w:val="5"/>
    </w:pPr>
  </w:style>
  <w:style w:type="paragraph" w:styleId="Heading7">
    <w:name w:val="heading 7"/>
    <w:basedOn w:val="Normal"/>
    <w:next w:val="Normal"/>
    <w:link w:val="Heading7Char"/>
    <w:qFormat/>
    <w:rsid w:val="00727453"/>
    <w:pPr>
      <w:numPr>
        <w:ilvl w:val="6"/>
        <w:numId w:val="6"/>
      </w:numPr>
      <w:ind w:left="720" w:hanging="720"/>
      <w:outlineLvl w:val="6"/>
    </w:pPr>
  </w:style>
  <w:style w:type="paragraph" w:styleId="Heading8">
    <w:name w:val="heading 8"/>
    <w:basedOn w:val="Normal"/>
    <w:next w:val="Normal"/>
    <w:link w:val="Heading8Char"/>
    <w:qFormat/>
    <w:rsid w:val="00727453"/>
    <w:pPr>
      <w:numPr>
        <w:ilvl w:val="7"/>
        <w:numId w:val="6"/>
      </w:numPr>
      <w:ind w:left="720" w:hanging="720"/>
      <w:outlineLvl w:val="7"/>
    </w:pPr>
  </w:style>
  <w:style w:type="paragraph" w:styleId="Heading9">
    <w:name w:val="heading 9"/>
    <w:basedOn w:val="Normal"/>
    <w:next w:val="Normal"/>
    <w:link w:val="Heading9Char"/>
    <w:qFormat/>
    <w:rsid w:val="00727453"/>
    <w:pPr>
      <w:numPr>
        <w:ilvl w:val="8"/>
        <w:numId w:val="6"/>
      </w:numPr>
      <w:ind w:left="720" w:hanging="720"/>
      <w:outlineLvl w:val="8"/>
    </w:pPr>
  </w:style>
  <w:style w:type="character" w:default="1" w:styleId="DefaultParagraphFont">
    <w:name w:val="Default Paragraph Font"/>
    <w:uiPriority w:val="1"/>
    <w:semiHidden/>
    <w:unhideWhenUsed/>
    <w:rsid w:val="00BC75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75C5"/>
  </w:style>
  <w:style w:type="character" w:styleId="Hyperlink">
    <w:name w:val="Hyperlink"/>
    <w:rPr>
      <w:color w:val="0000FF"/>
      <w:u w:val="single"/>
    </w:rPr>
  </w:style>
  <w:style w:type="character" w:customStyle="1" w:styleId="FootnoteTextChar">
    <w:name w:val="Footnote Text Char"/>
    <w:basedOn w:val="DefaultParagraphFont"/>
    <w:link w:val="FootnoteText"/>
    <w:rsid w:val="0098721A"/>
    <w:rPr>
      <w:sz w:val="16"/>
      <w:lang w:eastAsia="en-US"/>
    </w:rPr>
  </w:style>
  <w:style w:type="character" w:styleId="FootnoteReference">
    <w:name w:val="footnote reference"/>
    <w:basedOn w:val="DefaultParagraphFont"/>
    <w:qFormat/>
    <w:rsid w:val="00727453"/>
    <w:rPr>
      <w:sz w:val="24"/>
      <w:vertAlign w:val="superscript"/>
    </w:rPr>
  </w:style>
  <w:style w:type="character" w:styleId="EndnoteReference">
    <w:name w:val="endnote reference"/>
    <w:rPr>
      <w:vertAlign w:val="superscript"/>
    </w:rPr>
  </w:style>
  <w:style w:type="paragraph" w:styleId="NoSpacing">
    <w:name w:val="No Spacing"/>
    <w:qFormat/>
    <w:pPr>
      <w:suppressAutoHyphens/>
      <w:spacing w:line="100" w:lineRule="atLeast"/>
    </w:pPr>
    <w:rPr>
      <w:rFonts w:ascii="Calibri" w:eastAsia="Arial Unicode MS" w:hAnsi="Calibri" w:cs="Calibri"/>
      <w:sz w:val="22"/>
      <w:szCs w:val="22"/>
      <w:lang w:eastAsia="ar-SA"/>
    </w:rPr>
  </w:style>
  <w:style w:type="paragraph" w:styleId="ListParagraph">
    <w:name w:val="List Paragraph"/>
    <w:basedOn w:val="Normal"/>
    <w:qFormat/>
    <w:pPr>
      <w:ind w:left="720"/>
    </w:pPr>
  </w:style>
  <w:style w:type="paragraph" w:styleId="Header">
    <w:name w:val="header"/>
    <w:basedOn w:val="Normal"/>
    <w:rsid w:val="00727453"/>
  </w:style>
  <w:style w:type="paragraph" w:styleId="Footer">
    <w:name w:val="footer"/>
    <w:basedOn w:val="Normal"/>
    <w:rsid w:val="00727453"/>
  </w:style>
  <w:style w:type="paragraph" w:styleId="FootnoteText">
    <w:name w:val="footnote text"/>
    <w:basedOn w:val="Normal"/>
    <w:link w:val="FootnoteTextChar"/>
    <w:qFormat/>
    <w:rsid w:val="00727453"/>
    <w:pPr>
      <w:keepLines/>
      <w:spacing w:after="60" w:line="240" w:lineRule="auto"/>
      <w:ind w:left="720" w:hanging="720"/>
    </w:pPr>
    <w:rPr>
      <w:sz w:val="16"/>
    </w:rPr>
  </w:style>
  <w:style w:type="character" w:customStyle="1" w:styleId="Heading1Char">
    <w:name w:val="Heading 1 Char"/>
    <w:basedOn w:val="DefaultParagraphFont"/>
    <w:link w:val="Heading1"/>
    <w:rsid w:val="008F12F9"/>
    <w:rPr>
      <w:kern w:val="28"/>
      <w:sz w:val="22"/>
      <w:lang w:eastAsia="en-US"/>
    </w:rPr>
  </w:style>
  <w:style w:type="character" w:customStyle="1" w:styleId="Heading2Char">
    <w:name w:val="Heading 2 Char"/>
    <w:basedOn w:val="DefaultParagraphFont"/>
    <w:link w:val="Heading2"/>
    <w:rsid w:val="008F12F9"/>
    <w:rPr>
      <w:sz w:val="22"/>
      <w:lang w:eastAsia="en-US"/>
    </w:rPr>
  </w:style>
  <w:style w:type="character" w:customStyle="1" w:styleId="Heading3Char">
    <w:name w:val="Heading 3 Char"/>
    <w:basedOn w:val="DefaultParagraphFont"/>
    <w:link w:val="Heading3"/>
    <w:rsid w:val="008F12F9"/>
    <w:rPr>
      <w:sz w:val="22"/>
      <w:lang w:eastAsia="en-US"/>
    </w:rPr>
  </w:style>
  <w:style w:type="character" w:customStyle="1" w:styleId="Heading4Char">
    <w:name w:val="Heading 4 Char"/>
    <w:basedOn w:val="DefaultParagraphFont"/>
    <w:link w:val="Heading4"/>
    <w:rsid w:val="008F12F9"/>
    <w:rPr>
      <w:sz w:val="22"/>
      <w:lang w:eastAsia="en-US"/>
    </w:rPr>
  </w:style>
  <w:style w:type="character" w:customStyle="1" w:styleId="Heading5Char">
    <w:name w:val="Heading 5 Char"/>
    <w:basedOn w:val="DefaultParagraphFont"/>
    <w:link w:val="Heading5"/>
    <w:rsid w:val="008F12F9"/>
    <w:rPr>
      <w:sz w:val="22"/>
      <w:lang w:eastAsia="en-US"/>
    </w:rPr>
  </w:style>
  <w:style w:type="character" w:customStyle="1" w:styleId="Heading6Char">
    <w:name w:val="Heading 6 Char"/>
    <w:basedOn w:val="DefaultParagraphFont"/>
    <w:link w:val="Heading6"/>
    <w:rsid w:val="008F12F9"/>
    <w:rPr>
      <w:sz w:val="22"/>
      <w:lang w:eastAsia="en-US"/>
    </w:rPr>
  </w:style>
  <w:style w:type="character" w:customStyle="1" w:styleId="Heading7Char">
    <w:name w:val="Heading 7 Char"/>
    <w:basedOn w:val="DefaultParagraphFont"/>
    <w:link w:val="Heading7"/>
    <w:rsid w:val="008F12F9"/>
    <w:rPr>
      <w:sz w:val="22"/>
      <w:lang w:eastAsia="en-US"/>
    </w:rPr>
  </w:style>
  <w:style w:type="character" w:customStyle="1" w:styleId="Heading8Char">
    <w:name w:val="Heading 8 Char"/>
    <w:basedOn w:val="DefaultParagraphFont"/>
    <w:link w:val="Heading8"/>
    <w:rsid w:val="008F12F9"/>
    <w:rPr>
      <w:sz w:val="22"/>
      <w:lang w:eastAsia="en-US"/>
    </w:rPr>
  </w:style>
  <w:style w:type="character" w:customStyle="1" w:styleId="Heading9Char">
    <w:name w:val="Heading 9 Char"/>
    <w:basedOn w:val="DefaultParagraphFont"/>
    <w:link w:val="Heading9"/>
    <w:rsid w:val="008F12F9"/>
    <w:rPr>
      <w:sz w:val="22"/>
      <w:lang w:eastAsia="en-US"/>
    </w:rPr>
  </w:style>
  <w:style w:type="character" w:styleId="FollowedHyperlink">
    <w:name w:val="FollowedHyperlink"/>
    <w:basedOn w:val="DefaultParagraphFont"/>
    <w:uiPriority w:val="99"/>
    <w:semiHidden/>
    <w:unhideWhenUsed/>
    <w:rsid w:val="00932D1F"/>
    <w:rPr>
      <w:color w:val="954F72" w:themeColor="followedHyperlink"/>
      <w:u w:val="single"/>
    </w:rPr>
  </w:style>
  <w:style w:type="paragraph" w:styleId="BalloonText">
    <w:name w:val="Balloon Text"/>
    <w:basedOn w:val="Normal"/>
    <w:link w:val="BalloonTextChar"/>
    <w:uiPriority w:val="99"/>
    <w:semiHidden/>
    <w:unhideWhenUsed/>
    <w:rsid w:val="005604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476"/>
    <w:rPr>
      <w:rFonts w:ascii="Tahoma" w:hAnsi="Tahoma" w:cs="Tahoma"/>
      <w:sz w:val="16"/>
      <w:szCs w:val="16"/>
      <w:lang w:eastAsia="en-US"/>
    </w:rPr>
  </w:style>
  <w:style w:type="table" w:styleId="TableGrid">
    <w:name w:val="Table Grid"/>
    <w:basedOn w:val="TableNormal"/>
    <w:uiPriority w:val="39"/>
    <w:rsid w:val="00184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D1D96"/>
    <w:rPr>
      <w:sz w:val="22"/>
      <w:lang w:eastAsia="en-US"/>
    </w:rPr>
  </w:style>
  <w:style w:type="paragraph" w:customStyle="1" w:styleId="normalpoint">
    <w:name w:val="normalpoint"/>
    <w:basedOn w:val="Normal"/>
    <w:link w:val="normalpointChar"/>
    <w:qFormat/>
    <w:rsid w:val="00661505"/>
    <w:pPr>
      <w:numPr>
        <w:numId w:val="9"/>
      </w:numPr>
    </w:pPr>
  </w:style>
  <w:style w:type="character" w:customStyle="1" w:styleId="normalpointChar">
    <w:name w:val="normalpoint Char"/>
    <w:basedOn w:val="DefaultParagraphFont"/>
    <w:link w:val="normalpoint"/>
    <w:rsid w:val="0066150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blogs.ec.europa.eu/promotingenterprise/files/2020/02/2020_PublicPROCUREMENTfosSME-GUIDANCEforCAuthorities.pdf" TargetMode="External"/><Relationship Id="rId1" Type="http://schemas.openxmlformats.org/officeDocument/2006/relationships/hyperlink" Target="https://aachen.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b452354-65a4-4dd6-8824-e6b830247e3e">3T5AXJEHYTWU-518926207-7142</_dlc_DocId>
    <_dlc_DocIdUrl xmlns="0b452354-65a4-4dd6-8824-e6b830247e3e">
      <Url>http://dm2016/cor/2020/_layouts/15/DocIdRedir.aspx?ID=3T5AXJEHYTWU-518926207-7142</Url>
      <Description>3T5AXJEHYTWU-518926207-7142</Description>
    </_dlc_DocIdUrl>
    <DocumentType_0 xmlns="http://schemas.microsoft.com/sharepoint/v3/fields">
      <Terms xmlns="http://schemas.microsoft.com/office/infopath/2007/PartnerControls">
        <TermInfo xmlns="http://schemas.microsoft.com/office/infopath/2007/PartnerControls">
          <TermName xmlns="http://schemas.microsoft.com/office/infopath/2007/PartnerControls">AC</TermName>
          <TermId xmlns="http://schemas.microsoft.com/office/infopath/2007/PartnerControls">a4cc1d15-fb08-4679-ad46-e4e0cba5fe92</TermId>
        </TermInfo>
      </Terms>
    </DocumentType_0>
    <Procedure xmlns="0b452354-65a4-4dd6-8824-e6b830247e3e" xsi:nil="true"/>
    <DocumentSource_0 xmlns="http://schemas.microsoft.com/sharepoint/v3/fields">
      <Terms xmlns="http://schemas.microsoft.com/office/infopath/2007/PartnerControls">
        <TermInfo xmlns="http://schemas.microsoft.com/office/infopath/2007/PartnerControls">
          <TermName xmlns="http://schemas.microsoft.com/office/infopath/2007/PartnerControls">CoR</TermName>
          <TermId xmlns="http://schemas.microsoft.com/office/infopath/2007/PartnerControls">cb2d75ef-4a7d-4393-b797-49ed6298a5ea</TermId>
        </TermInfo>
      </Terms>
    </DocumentSource_0>
    <ProductionDate xmlns="0b452354-65a4-4dd6-8824-e6b830247e3e">2020-10-23T12:00:00+00:00</ProductionDate>
    <FicheYear xmlns="0b452354-65a4-4dd6-8824-e6b830247e3e">2020</FicheYear>
    <DocumentNumber xmlns="0add1300-e480-43b5-aff3-25d40ee47de6">1373</DocumentNumber>
    <DocumentVersion xmlns="0b452354-65a4-4dd6-8824-e6b830247e3e">0</DocumentVersion>
    <DossierNumber xmlns="0b452354-65a4-4dd6-8824-e6b830247e3e">8</DossierNumber>
    <Confidentiality_0 xmlns="http://schemas.microsoft.com/sharepoint/v3/fields">
      <Terms xmlns="http://schemas.microsoft.com/office/infopath/2007/PartnerControls">
        <TermInfo xmlns="http://schemas.microsoft.com/office/infopath/2007/PartnerControls">
          <TermName xmlns="http://schemas.microsoft.com/office/infopath/2007/PartnerControls">Unrestricted</TermName>
          <TermId xmlns="http://schemas.microsoft.com/office/infopath/2007/PartnerControls">826e22d7-d029-4ec0-a450-0c28ff673572</TermId>
        </TermInfo>
      </Terms>
    </Confidentiality_0>
    <MeetingDate xmlns="0b452354-65a4-4dd6-8824-e6b830247e3e" xsi:nil="true"/>
    <TaxCatchAll xmlns="0b452354-65a4-4dd6-8824-e6b830247e3e">
      <Value>67</Value>
      <Value>38</Value>
      <Value>37</Value>
      <Value>36</Value>
      <Value>35</Value>
      <Value>34</Value>
      <Value>31</Value>
      <Value>30</Value>
      <Value>29</Value>
      <Value>27</Value>
      <Value>26</Value>
      <Value>25</Value>
      <Value>23</Value>
      <Value>19</Value>
      <Value>18</Value>
      <Value>17</Value>
      <Value>16</Value>
      <Value>15</Value>
      <Value>14</Value>
      <Value>13</Value>
      <Value>12</Value>
      <Value>11</Value>
      <Value>99</Value>
      <Value>8</Value>
      <Value>7</Value>
      <Value>6</Value>
      <Value>5</Value>
      <Value>4</Value>
      <Value>1</Value>
    </TaxCatchAll>
    <DocumentLanguage_0 xmlns="http://schemas.microsoft.com/sharepoint/v3/fields">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feb747a2-64cd-4299-af12-4833ddc30497</TermId>
        </TermInfo>
      </Terms>
    </DocumentLanguage_0>
    <Rapporteur xmlns="0b452354-65a4-4dd6-8824-e6b830247e3e">VAN HIJUM</Rapporteur>
    <VersionStatus_0 xmlns="http://schemas.microsoft.com/sharepoint/v3/fields">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ea5e6674-7b27-4bac-b091-73adbb394efe</TermId>
        </TermInfo>
      </Terms>
    </VersionStatus_0>
    <DocumentYear xmlns="0b452354-65a4-4dd6-8824-e6b830247e3e">2020</DocumentYear>
    <FicheNumber xmlns="0b452354-65a4-4dd6-8824-e6b830247e3e">11341</FicheNumber>
    <DocumentPart xmlns="0b452354-65a4-4dd6-8824-e6b830247e3e">0</DocumentPart>
    <AdoptionDate xmlns="0b452354-65a4-4dd6-8824-e6b830247e3e">2020-10-12T12:00:00+00:00</AdoptionDate>
    <RequestingService xmlns="0b452354-65a4-4dd6-8824-e6b830247e3e">Commission ECON</RequestingService>
    <MeetingName_0 xmlns="http://schemas.microsoft.com/sharepoint/v3/fields">
      <Terms xmlns="http://schemas.microsoft.com/office/infopath/2007/PartnerControls"/>
    </MeetingName_0>
    <AvailableTranslations_0 xmlns="http://schemas.microsoft.com/sharepoint/v3/fields">
      <Terms xmlns="http://schemas.microsoft.com/office/infopath/2007/PartnerControls">
        <TermInfo xmlns="http://schemas.microsoft.com/office/infopath/2007/PartnerControls">
          <TermName xmlns="http://schemas.microsoft.com/office/infopath/2007/PartnerControls">MT</TermName>
          <TermId xmlns="http://schemas.microsoft.com/office/infopath/2007/PartnerControls">7df99101-6854-4a26-b53a-b88c0da02c26</TermId>
        </TermInfo>
        <TermInfo xmlns="http://schemas.microsoft.com/office/infopath/2007/PartnerControls">
          <TermName xmlns="http://schemas.microsoft.com/office/infopath/2007/PartnerControls">RO</TermName>
          <TermId xmlns="http://schemas.microsoft.com/office/infopath/2007/PartnerControls">feb747a2-64cd-4299-af12-4833ddc30497</TermId>
        </TermInfo>
        <TermInfo xmlns="http://schemas.microsoft.com/office/infopath/2007/PartnerControls">
          <TermName xmlns="http://schemas.microsoft.com/office/infopath/2007/PartnerControls">SV</TermName>
          <TermId xmlns="http://schemas.microsoft.com/office/infopath/2007/PartnerControls">c2ed69e7-a339-43d7-8f22-d93680a92aa0</TermId>
        </TermInfo>
        <TermInfo xmlns="http://schemas.microsoft.com/office/infopath/2007/PartnerControls">
          <TermName xmlns="http://schemas.microsoft.com/office/infopath/2007/PartnerControls">SK</TermName>
          <TermId xmlns="http://schemas.microsoft.com/office/infopath/2007/PartnerControls">46d9fce0-ef79-4f71-b89b-cd6aa82426b8</TermId>
        </TermInfo>
        <TermInfo xmlns="http://schemas.microsoft.com/office/infopath/2007/PartnerControls">
          <TermName xmlns="http://schemas.microsoft.com/office/infopath/2007/PartnerControls">PT</TermName>
          <TermId xmlns="http://schemas.microsoft.com/office/infopath/2007/PartnerControls">50ccc04a-eadd-42ae-a0cb-acaf45f812ba</TermId>
        </TermInfo>
        <TermInfo xmlns="http://schemas.microsoft.com/office/infopath/2007/PartnerControls">
          <TermName xmlns="http://schemas.microsoft.com/office/infopath/2007/PartnerControls">LT</TermName>
          <TermId xmlns="http://schemas.microsoft.com/office/infopath/2007/PartnerControls">a7ff5ce7-6123-4f68-865a-a57c31810414</TermId>
        </TermInfo>
        <TermInfo xmlns="http://schemas.microsoft.com/office/infopath/2007/PartnerControls">
          <TermName xmlns="http://schemas.microsoft.com/office/infopath/2007/PartnerControls">ES</TermName>
          <TermId xmlns="http://schemas.microsoft.com/office/infopath/2007/PartnerControls">e7a6b05b-ae16-40c8-add9-68b64b03aeba</TermId>
        </TermInfo>
        <TermInfo xmlns="http://schemas.microsoft.com/office/infopath/2007/PartnerControls">
          <TermName xmlns="http://schemas.microsoft.com/office/infopath/2007/PartnerControls">HR</TermName>
          <TermId xmlns="http://schemas.microsoft.com/office/infopath/2007/PartnerControls">2f555653-ed1a-4fe6-8362-9082d95989e5</TermId>
        </TermInfo>
        <TermInfo xmlns="http://schemas.microsoft.com/office/infopath/2007/PartnerControls">
          <TermName xmlns="http://schemas.microsoft.com/office/infopath/2007/PartnerControls">HU</TermName>
          <TermId xmlns="http://schemas.microsoft.com/office/infopath/2007/PartnerControls">6b229040-c589-4408-b4c1-4285663d20a8</TermId>
        </TermInfo>
        <TermInfo xmlns="http://schemas.microsoft.com/office/infopath/2007/PartnerControls">
          <TermName xmlns="http://schemas.microsoft.com/office/infopath/2007/PartnerControls">FR</TermName>
          <TermId xmlns="http://schemas.microsoft.com/office/infopath/2007/PartnerControls">d2afafd3-4c81-4f60-8f52-ee33f2f54ff3</TermId>
        </TermInfo>
        <TermInfo xmlns="http://schemas.microsoft.com/office/infopath/2007/PartnerControls">
          <TermName xmlns="http://schemas.microsoft.com/office/infopath/2007/PartnerControls">SL</TermName>
          <TermId xmlns="http://schemas.microsoft.com/office/infopath/2007/PartnerControls">98a412ae-eb01-49e9-ae3d-585a81724cfc</TermId>
        </TermInfo>
        <TermInfo xmlns="http://schemas.microsoft.com/office/infopath/2007/PartnerControls">
          <TermName xmlns="http://schemas.microsoft.com/office/infopath/2007/PartnerControls">EN</TermName>
          <TermId xmlns="http://schemas.microsoft.com/office/infopath/2007/PartnerControls">f2175f21-25d7-44a3-96da-d6a61b075e1b</TermId>
        </TermInfo>
        <TermInfo xmlns="http://schemas.microsoft.com/office/infopath/2007/PartnerControls">
          <TermName xmlns="http://schemas.microsoft.com/office/infopath/2007/PartnerControls">PL</TermName>
          <TermId xmlns="http://schemas.microsoft.com/office/infopath/2007/PartnerControls">1e03da61-4678-4e07-b136-b5024ca9197b</TermId>
        </TermInfo>
        <TermInfo xmlns="http://schemas.microsoft.com/office/infopath/2007/PartnerControls">
          <TermName xmlns="http://schemas.microsoft.com/office/infopath/2007/PartnerControls">DE</TermName>
          <TermId xmlns="http://schemas.microsoft.com/office/infopath/2007/PartnerControls">f6b31e5a-26fa-4935-b661-318e46daf27e</TermId>
        </TermInfo>
        <TermInfo xmlns="http://schemas.microsoft.com/office/infopath/2007/PartnerControls">
          <TermName xmlns="http://schemas.microsoft.com/office/infopath/2007/PartnerControls">BG</TermName>
          <TermId xmlns="http://schemas.microsoft.com/office/infopath/2007/PartnerControls">1a1b3951-7821-4e6a-85f5-5673fc08bd2c</TermId>
        </TermInfo>
        <TermInfo xmlns="http://schemas.microsoft.com/office/infopath/2007/PartnerControls">
          <TermName xmlns="http://schemas.microsoft.com/office/infopath/2007/PartnerControls">IT</TermName>
          <TermId xmlns="http://schemas.microsoft.com/office/infopath/2007/PartnerControls">0774613c-01ed-4e5d-a25d-11d2388de825</TermId>
        </TermInfo>
        <TermInfo xmlns="http://schemas.microsoft.com/office/infopath/2007/PartnerControls">
          <TermName xmlns="http://schemas.microsoft.com/office/infopath/2007/PartnerControls">LV</TermName>
          <TermId xmlns="http://schemas.microsoft.com/office/infopath/2007/PartnerControls">46f7e311-5d9f-4663-b433-18aeccb7ace7</TermId>
        </TermInfo>
        <TermInfo xmlns="http://schemas.microsoft.com/office/infopath/2007/PartnerControls">
          <TermName xmlns="http://schemas.microsoft.com/office/infopath/2007/PartnerControls">NL</TermName>
          <TermId xmlns="http://schemas.microsoft.com/office/infopath/2007/PartnerControls">55c6556c-b4f4-441d-9acf-c498d4f838bd</TermId>
        </TermInfo>
        <TermInfo xmlns="http://schemas.microsoft.com/office/infopath/2007/PartnerControls">
          <TermName xmlns="http://schemas.microsoft.com/office/infopath/2007/PartnerControls">EL</TermName>
          <TermId xmlns="http://schemas.microsoft.com/office/infopath/2007/PartnerControls">6d4f4d51-af9b-4650-94b4-4276bee85c91</TermId>
        </TermInfo>
        <TermInfo xmlns="http://schemas.microsoft.com/office/infopath/2007/PartnerControls">
          <TermName xmlns="http://schemas.microsoft.com/office/infopath/2007/PartnerControls">DA</TermName>
          <TermId xmlns="http://schemas.microsoft.com/office/infopath/2007/PartnerControls">5d49c027-8956-412b-aa16-e85a0f96ad0e</TermId>
        </TermInfo>
        <TermInfo xmlns="http://schemas.microsoft.com/office/infopath/2007/PartnerControls">
          <TermName xmlns="http://schemas.microsoft.com/office/infopath/2007/PartnerControls">FI</TermName>
          <TermId xmlns="http://schemas.microsoft.com/office/infopath/2007/PartnerControls">87606a43-d45f-42d6-b8c9-e1a3457db5b7</TermId>
        </TermInfo>
        <TermInfo xmlns="http://schemas.microsoft.com/office/infopath/2007/PartnerControls">
          <TermName xmlns="http://schemas.microsoft.com/office/infopath/2007/PartnerControls">ET</TermName>
          <TermId xmlns="http://schemas.microsoft.com/office/infopath/2007/PartnerControls">ff6c3f4c-b02c-4c3c-ab07-2c37995a7a0a</TermId>
        </TermInfo>
        <TermInfo xmlns="http://schemas.microsoft.com/office/infopath/2007/PartnerControls">
          <TermName xmlns="http://schemas.microsoft.com/office/infopath/2007/PartnerControls">CS</TermName>
          <TermId xmlns="http://schemas.microsoft.com/office/infopath/2007/PartnerControls">72f9705b-0217-4fd3-bea2-cbc7ed80e26e</TermId>
        </TermInfo>
      </Terms>
    </AvailableTranslations_0>
    <DocumentStatus_0 xmlns="http://schemas.microsoft.com/sharepoint/v3/fields">
      <Terms xmlns="http://schemas.microsoft.com/office/infopath/2007/PartnerControls">
        <TermInfo xmlns="http://schemas.microsoft.com/office/infopath/2007/PartnerControls">
          <TermName xmlns="http://schemas.microsoft.com/office/infopath/2007/PartnerControls">TRA</TermName>
          <TermId xmlns="http://schemas.microsoft.com/office/infopath/2007/PartnerControls">150d2a88-1431-44e6-a8ca-0bb753ab8672</TermId>
        </TermInfo>
      </Terms>
    </DocumentStatus_0>
    <OriginalLanguage_0 xmlns="http://schemas.microsoft.com/sharepoint/v3/fields">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f2175f21-25d7-44a3-96da-d6a61b075e1b</TermId>
        </TermInfo>
      </Terms>
    </OriginalLanguage_0>
    <MeetingNumber xmlns="0add1300-e480-43b5-aff3-25d40ee47de6" xsi:nil="true"/>
    <DossierName_0 xmlns="http://schemas.microsoft.com/sharepoint/v3/fields">
      <Terms xmlns="http://schemas.microsoft.com/office/infopath/2007/PartnerControls">
        <TermInfo xmlns="http://schemas.microsoft.com/office/infopath/2007/PartnerControls">
          <TermName xmlns="http://schemas.microsoft.com/office/infopath/2007/PartnerControls">ECON-VII</TermName>
          <TermId xmlns="http://schemas.microsoft.com/office/infopath/2007/PartnerControls">31b7e0d8-3068-4ab9-9a7e-7c02e44a80a4</TermId>
        </TermInfo>
      </Terms>
    </DossierName_0>
    <OriginalSender xmlns="0b452354-65a4-4dd6-8824-e6b830247e3e">
      <UserInfo>
        <DisplayName/>
        <AccountId xsi:nil="true"/>
        <AccountType/>
      </UserInfo>
    </OriginalSend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M Document" ma:contentTypeID="0x010100EA97B91038054C99906057A708A1480A00D6D032D2272B3B40BB953090B31F81EB" ma:contentTypeVersion="5" ma:contentTypeDescription="Defines the documents for Document Manager V2" ma:contentTypeScope="" ma:versionID="8878daa69ffc0cc887f6e13b8afb61c5">
  <xsd:schema xmlns:xsd="http://www.w3.org/2001/XMLSchema" xmlns:xs="http://www.w3.org/2001/XMLSchema" xmlns:p="http://schemas.microsoft.com/office/2006/metadata/properties" xmlns:ns2="0b452354-65a4-4dd6-8824-e6b830247e3e" xmlns:ns3="http://schemas.microsoft.com/sharepoint/v3/fields" xmlns:ns4="0add1300-e480-43b5-aff3-25d40ee47de6" targetNamespace="http://schemas.microsoft.com/office/2006/metadata/properties" ma:root="true" ma:fieldsID="faea984360b4aef6cc186be280176f9d" ns2:_="" ns3:_="" ns4:_="">
    <xsd:import namespace="0b452354-65a4-4dd6-8824-e6b830247e3e"/>
    <xsd:import namespace="http://schemas.microsoft.com/sharepoint/v3/fields"/>
    <xsd:import namespace="0add1300-e480-43b5-aff3-25d40ee47de6"/>
    <xsd:element name="properties">
      <xsd:complexType>
        <xsd:sequence>
          <xsd:element name="documentManagement">
            <xsd:complexType>
              <xsd:all>
                <xsd:element ref="ns2:_dlc_DocId" minOccurs="0"/>
                <xsd:element ref="ns2:_dlc_DocIdUrl" minOccurs="0"/>
                <xsd:element ref="ns2:_dlc_DocIdPersistId" minOccurs="0"/>
                <xsd:element ref="ns2:ProductionDate" minOccurs="0"/>
                <xsd:element ref="ns3:DocumentLanguage_0" minOccurs="0"/>
                <xsd:element ref="ns2:DossierNumber" minOccurs="0"/>
                <xsd:element ref="ns4:MeetingNumber" minOccurs="0"/>
                <xsd:element ref="ns2:Rapporteur" minOccurs="0"/>
                <xsd:element ref="ns2:AdoptionDate" minOccurs="0"/>
                <xsd:element ref="ns3:Confidentiality_0" minOccurs="0"/>
                <xsd:element ref="ns2:TaxCatchAll" minOccurs="0"/>
                <xsd:element ref="ns2:TaxCatchAllLabel" minOccurs="0"/>
                <xsd:element ref="ns3:DocumentSource_0" minOccurs="0"/>
                <xsd:element ref="ns4:DocumentNumber" minOccurs="0"/>
                <xsd:element ref="ns2:MeetingDate" minOccurs="0"/>
                <xsd:element ref="ns3:OriginalLanguage_0" minOccurs="0"/>
                <xsd:element ref="ns2:Procedure" minOccurs="0"/>
                <xsd:element ref="ns3:VersionStatus_0" minOccurs="0"/>
                <xsd:element ref="ns3:DocumentStatus_0" minOccurs="0"/>
                <xsd:element ref="ns2:DocumentYear"/>
                <xsd:element ref="ns3:DocumentType_0" minOccurs="0"/>
                <xsd:element ref="ns2:DocumentPart" minOccurs="0"/>
                <xsd:element ref="ns3:MeetingName_0" minOccurs="0"/>
                <xsd:element ref="ns3:AvailableTranslations_0" minOccurs="0"/>
                <xsd:element ref="ns2:FicheYear" minOccurs="0"/>
                <xsd:element ref="ns2:RequestingService" minOccurs="0"/>
                <xsd:element ref="ns2:FicheNumber" minOccurs="0"/>
                <xsd:element ref="ns3:DossierName_0" minOccurs="0"/>
                <xsd:element ref="ns2:DocumentVersion" minOccurs="0"/>
                <xsd:element ref="ns2:OriginalSen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52354-65a4-4dd6-8824-e6b830247e3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ductionDate" ma:index="12" nillable="true" ma:displayName="Production Date" ma:format="DateOnly" ma:internalName="ProductionDate">
      <xsd:simpleType>
        <xsd:restriction base="dms:DateTime"/>
      </xsd:simpleType>
    </xsd:element>
    <xsd:element name="DossierNumber" ma:index="14" nillable="true" ma:displayName="Dossier Number" ma:decimals="0" ma:internalName="DossierNumber">
      <xsd:simpleType>
        <xsd:restriction base="dms:Unknown"/>
      </xsd:simpleType>
    </xsd:element>
    <xsd:element name="Rapporteur" ma:index="16" nillable="true" ma:displayName="Rapporteur" ma:internalName="Rapporteur">
      <xsd:simpleType>
        <xsd:restriction base="dms:Text"/>
      </xsd:simpleType>
    </xsd:element>
    <xsd:element name="AdoptionDate" ma:index="17" nillable="true" ma:displayName="Adoption Date" ma:format="DateOnly" ma:internalName="AdoptionDate">
      <xsd:simpleType>
        <xsd:restriction base="dms:DateTime"/>
      </xsd:simpleType>
    </xsd:element>
    <xsd:element name="TaxCatchAll" ma:index="19" nillable="true" ma:displayName="Taxonomy Catch All Column" ma:description="" ma:hidden="true" ma:list="{2372cf09-4e2b-4dd9-bbd8-042ba4cc2786}" ma:internalName="TaxCatchAll" ma:showField="CatchAllData" ma:web="0b452354-65a4-4dd6-8824-e6b830247e3e">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description="" ma:hidden="true" ma:list="{2372cf09-4e2b-4dd9-bbd8-042ba4cc2786}" ma:internalName="TaxCatchAllLabel" ma:readOnly="true" ma:showField="CatchAllDataLabel" ma:web="0b452354-65a4-4dd6-8824-e6b830247e3e">
      <xsd:complexType>
        <xsd:complexContent>
          <xsd:extension base="dms:MultiChoiceLookup">
            <xsd:sequence>
              <xsd:element name="Value" type="dms:Lookup" maxOccurs="unbounded" minOccurs="0" nillable="true"/>
            </xsd:sequence>
          </xsd:extension>
        </xsd:complexContent>
      </xsd:complexType>
    </xsd:element>
    <xsd:element name="MeetingDate" ma:index="25" nillable="true" ma:displayName="Meeting Date" ma:format="DateOnly" ma:internalName="MeetingDate">
      <xsd:simpleType>
        <xsd:restriction base="dms:DateTime"/>
      </xsd:simpleType>
    </xsd:element>
    <xsd:element name="Procedure" ma:index="28" nillable="true" ma:displayName="Procedure" ma:internalName="Procedure">
      <xsd:simpleType>
        <xsd:restriction base="dms:Text"/>
      </xsd:simpleType>
    </xsd:element>
    <xsd:element name="DocumentYear" ma:index="33" ma:displayName="Document Year" ma:decimals="0" ma:internalName="DocumentYear">
      <xsd:simpleType>
        <xsd:restriction base="dms:Unknown"/>
      </xsd:simpleType>
    </xsd:element>
    <xsd:element name="DocumentPart" ma:index="36" nillable="true" ma:displayName="Document Part" ma:decimals="0" ma:internalName="DocumentPart">
      <xsd:simpleType>
        <xsd:restriction base="dms:Unknown"/>
      </xsd:simpleType>
    </xsd:element>
    <xsd:element name="FicheYear" ma:index="41" nillable="true" ma:displayName="Fiche Year" ma:decimals="0" ma:internalName="FicheYear">
      <xsd:simpleType>
        <xsd:restriction base="dms:Unknown"/>
      </xsd:simpleType>
    </xsd:element>
    <xsd:element name="RequestingService" ma:index="42" nillable="true" ma:displayName="Requesting Service" ma:internalName="RequestingService">
      <xsd:simpleType>
        <xsd:restriction base="dms:Text"/>
      </xsd:simpleType>
    </xsd:element>
    <xsd:element name="FicheNumber" ma:index="43" nillable="true" ma:displayName="Fiche Number" ma:decimals="0" ma:internalName="FicheNumber">
      <xsd:simpleType>
        <xsd:restriction base="dms:Unknown"/>
      </xsd:simpleType>
    </xsd:element>
    <xsd:element name="DocumentVersion" ma:index="46" nillable="true" ma:displayName="Document Version" ma:decimals="0" ma:internalName="DocumentVersion">
      <xsd:simpleType>
        <xsd:restriction base="dms:Unknown"/>
      </xsd:simpleType>
    </xsd:element>
    <xsd:element name="OriginalSender" ma:index="47" nillable="true" ma:displayName="Original Sender" ma:internalName="OriginalSen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Language_0" ma:index="13" nillable="true" ma:taxonomy="true" ma:internalName="DocumentLanguage_0" ma:taxonomyFieldName="DocumentLanguage" ma:displayName="Document Language" ma:fieldId="{ee5c55ab-e8dd-441f-8840-fdce66906fe3}" ma:sspId="995823bb-b37b-4c02-aebb-d0209d382c3c" ma:termSetId="3e8d1f59-71f7-428c-bd68-e1e655ad5441" ma:anchorId="00000000-0000-0000-0000-000000000000" ma:open="false" ma:isKeyword="false">
      <xsd:complexType>
        <xsd:sequence>
          <xsd:element ref="pc:Terms" minOccurs="0" maxOccurs="1"/>
        </xsd:sequence>
      </xsd:complexType>
    </xsd:element>
    <xsd:element name="Confidentiality_0" ma:index="18" nillable="true" ma:taxonomy="true" ma:internalName="Confidentiality_0" ma:taxonomyFieldName="Confidentiality" ma:displayName="Confidentiality" ma:fieldId="{ee5c4bfe-2b62-4831-9131-22edf8f3665c}" ma:sspId="995823bb-b37b-4c02-aebb-d0209d382c3c" ma:termSetId="11d040ac-3a9a-4d4c-b9cf-922342a701d6" ma:anchorId="00000000-0000-0000-0000-000000000000" ma:open="false" ma:isKeyword="false">
      <xsd:complexType>
        <xsd:sequence>
          <xsd:element ref="pc:Terms" minOccurs="0" maxOccurs="1"/>
        </xsd:sequence>
      </xsd:complexType>
    </xsd:element>
    <xsd:element name="DocumentSource_0" ma:index="22" ma:taxonomy="true" ma:internalName="DocumentSource_0" ma:taxonomyFieldName="DocumentSource" ma:displayName="Document Source" ma:fieldId="{ee5c1c29-f257-4aae-8e5e-529c0040e17a}" ma:sspId="995823bb-b37b-4c02-aebb-d0209d382c3c" ma:termSetId="ca143256-a90d-4d26-b249-02646b17c0c5" ma:anchorId="00000000-0000-0000-0000-000000000000" ma:open="false" ma:isKeyword="false">
      <xsd:complexType>
        <xsd:sequence>
          <xsd:element ref="pc:Terms" minOccurs="0" maxOccurs="1"/>
        </xsd:sequence>
      </xsd:complexType>
    </xsd:element>
    <xsd:element name="OriginalLanguage_0" ma:index="26" nillable="true" ma:taxonomy="true" ma:internalName="OriginalLanguage_0" ma:taxonomyFieldName="OriginalLanguage" ma:displayName="Original Language" ma:fieldId="{ee5ce750-ff6c-4875-8192-ef11fb51efba}" ma:taxonomyMulti="true" ma:sspId="995823bb-b37b-4c02-aebb-d0209d382c3c" ma:termSetId="3e8d1f59-71f7-428c-bd68-e1e655ad5441" ma:anchorId="00000000-0000-0000-0000-000000000000" ma:open="false" ma:isKeyword="false">
      <xsd:complexType>
        <xsd:sequence>
          <xsd:element ref="pc:Terms" minOccurs="0" maxOccurs="1"/>
        </xsd:sequence>
      </xsd:complexType>
    </xsd:element>
    <xsd:element name="VersionStatus_0" ma:index="29" ma:taxonomy="true" ma:internalName="VersionStatus_0" ma:taxonomyFieldName="VersionStatus" ma:displayName="Version Status" ma:indexed="true" ma:fieldId="{ee5cb94b-3df1-4df3-b49b-6e47ce2a7e87}" ma:sspId="995823bb-b37b-4c02-aebb-d0209d382c3c" ma:termSetId="adeca67b-2bdd-4d0f-b3af-a690b4c6d95d" ma:anchorId="00000000-0000-0000-0000-000000000000" ma:open="false" ma:isKeyword="false">
      <xsd:complexType>
        <xsd:sequence>
          <xsd:element ref="pc:Terms" minOccurs="0" maxOccurs="1"/>
        </xsd:sequence>
      </xsd:complexType>
    </xsd:element>
    <xsd:element name="DocumentStatus_0" ma:index="31" nillable="true" ma:taxonomy="true" ma:internalName="DocumentStatus_0" ma:taxonomyFieldName="DocumentStatus" ma:displayName="Document Status" ma:fieldId="{ee5cab93-ac4d-4e2f-b298-e5342324388c}" ma:sspId="995823bb-b37b-4c02-aebb-d0209d382c3c" ma:termSetId="54b85ca4-9023-4cbf-8e96-81af7735228f" ma:anchorId="00000000-0000-0000-0000-000000000000" ma:open="false" ma:isKeyword="false">
      <xsd:complexType>
        <xsd:sequence>
          <xsd:element ref="pc:Terms" minOccurs="0" maxOccurs="1"/>
        </xsd:sequence>
      </xsd:complexType>
    </xsd:element>
    <xsd:element name="DocumentType_0" ma:index="34" nillable="true" ma:taxonomy="true" ma:internalName="DocumentType_0" ma:taxonomyFieldName="DocumentType" ma:displayName="Document Type" ma:indexed="true" ma:fieldId="{ee5cf431-2d10-41e6-bd88-1b6bd5b84f5f}" ma:sspId="995823bb-b37b-4c02-aebb-d0209d382c3c" ma:termSetId="67a76952-94e0-437b-9a60-5085083dde02" ma:anchorId="00000000-0000-0000-0000-000000000000" ma:open="false" ma:isKeyword="false">
      <xsd:complexType>
        <xsd:sequence>
          <xsd:element ref="pc:Terms" minOccurs="0" maxOccurs="1"/>
        </xsd:sequence>
      </xsd:complexType>
    </xsd:element>
    <xsd:element name="MeetingName_0" ma:index="37" nillable="true" ma:taxonomy="true" ma:internalName="MeetingName_0" ma:taxonomyFieldName="MeetingName" ma:displayName="Meeting Name" ma:indexed="true" ma:fieldId="{ee5c9b55-8403-4f9e-a156-b6ce5b7b9456}" ma:sspId="995823bb-b37b-4c02-aebb-d0209d382c3c" ma:termSetId="a04e9634-de73-4a41-8cb5-e1efdb89060c" ma:anchorId="00000000-0000-0000-0000-000000000000" ma:open="false" ma:isKeyword="false">
      <xsd:complexType>
        <xsd:sequence>
          <xsd:element ref="pc:Terms" minOccurs="0" maxOccurs="1"/>
        </xsd:sequence>
      </xsd:complexType>
    </xsd:element>
    <xsd:element name="AvailableTranslations_0" ma:index="39" nillable="true" ma:taxonomy="true" ma:internalName="AvailableTranslations_0" ma:taxonomyFieldName="AvailableTranslations" ma:displayName="Available Translations" ma:fieldId="{ee5c7c01-1a65-4138-aa64-80e01e34d799}" ma:taxonomyMulti="true" ma:sspId="995823bb-b37b-4c02-aebb-d0209d382c3c" ma:termSetId="3e8d1f59-71f7-428c-bd68-e1e655ad5441" ma:anchorId="00000000-0000-0000-0000-000000000000" ma:open="false" ma:isKeyword="false">
      <xsd:complexType>
        <xsd:sequence>
          <xsd:element ref="pc:Terms" minOccurs="0" maxOccurs="1"/>
        </xsd:sequence>
      </xsd:complexType>
    </xsd:element>
    <xsd:element name="DossierName_0" ma:index="44" nillable="true" ma:taxonomy="true" ma:internalName="DossierName_0" ma:taxonomyFieldName="DossierName" ma:displayName="Dossier Name" ma:fieldId="{ee5cf7da-503b-4593-8db2-4f0e09c901fd}" ma:sspId="995823bb-b37b-4c02-aebb-d0209d382c3c" ma:termSetId="2b392f04-1222-4352-87c1-6fd60ec33b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dd1300-e480-43b5-aff3-25d40ee47de6" elementFormDefault="qualified">
    <xsd:import namespace="http://schemas.microsoft.com/office/2006/documentManagement/types"/>
    <xsd:import namespace="http://schemas.microsoft.com/office/infopath/2007/PartnerControls"/>
    <xsd:element name="MeetingNumber" ma:index="15" nillable="true" ma:displayName="Meeting Number" ma:decimals="0" ma:indexed="true" ma:internalName="MeetingNumber">
      <xsd:simpleType>
        <xsd:restriction base="dms:Unknown"/>
      </xsd:simpleType>
    </xsd:element>
    <xsd:element name="DocumentNumber" ma:index="24" nillable="true" ma:displayName="Document Number" ma:decimals="0" ma:indexed="true" ma:internalName="DocumentNumbe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A45599-5650-4B1A-ABED-8645850D2987}">
  <ds:schemaRefs>
    <ds:schemaRef ds:uri="http://schemas.microsoft.com/office/2006/metadata/properties"/>
    <ds:schemaRef ds:uri="http://schemas.microsoft.com/office/infopath/2007/PartnerControls"/>
    <ds:schemaRef ds:uri="0b452354-65a4-4dd6-8824-e6b830247e3e"/>
    <ds:schemaRef ds:uri="http://schemas.microsoft.com/sharepoint/v3/fields"/>
    <ds:schemaRef ds:uri="0add1300-e480-43b5-aff3-25d40ee47de6"/>
  </ds:schemaRefs>
</ds:datastoreItem>
</file>

<file path=customXml/itemProps2.xml><?xml version="1.0" encoding="utf-8"?>
<ds:datastoreItem xmlns:ds="http://schemas.openxmlformats.org/officeDocument/2006/customXml" ds:itemID="{4C332945-10A5-4C6B-90DE-5238B30ECAAE}">
  <ds:schemaRefs>
    <ds:schemaRef ds:uri="http://schemas.microsoft.com/sharepoint/v3/contenttype/forms"/>
  </ds:schemaRefs>
</ds:datastoreItem>
</file>

<file path=customXml/itemProps3.xml><?xml version="1.0" encoding="utf-8"?>
<ds:datastoreItem xmlns:ds="http://schemas.openxmlformats.org/officeDocument/2006/customXml" ds:itemID="{14139C72-B55C-4270-ADCB-72D2B6B9A1FE}">
  <ds:schemaRefs>
    <ds:schemaRef ds:uri="http://schemas.microsoft.com/sharepoint/events"/>
  </ds:schemaRefs>
</ds:datastoreItem>
</file>

<file path=customXml/itemProps4.xml><?xml version="1.0" encoding="utf-8"?>
<ds:datastoreItem xmlns:ds="http://schemas.openxmlformats.org/officeDocument/2006/customXml" ds:itemID="{C01DE7C5-5E07-47CC-8428-8BF023D05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52354-65a4-4dd6-8824-e6b830247e3e"/>
    <ds:schemaRef ds:uri="http://schemas.microsoft.com/sharepoint/v3/fields"/>
    <ds:schemaRef ds:uri="0add1300-e480-43b5-aff3-25d40ee47d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4557</Words>
  <Characters>25978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SME Strategy</vt:lpstr>
    </vt:vector>
  </TitlesOfParts>
  <Company>EESC-ECOR</Company>
  <LinksUpToDate>false</LinksUpToDate>
  <CharactersWithSpaces>30475</CharactersWithSpaces>
  <SharedDoc>false</SharedDoc>
  <HLinks>
    <vt:vector size="30" baseType="variant">
      <vt:variant>
        <vt:i4>3342389</vt:i4>
      </vt:variant>
      <vt:variant>
        <vt:i4>6</vt:i4>
      </vt:variant>
      <vt:variant>
        <vt:i4>0</vt:i4>
      </vt:variant>
      <vt:variant>
        <vt:i4>5</vt:i4>
      </vt:variant>
      <vt:variant>
        <vt:lpwstr>http://www.europeanfamilybusinesses.eu/media-centre/efb-policy-documents-studies/family-business-statistics</vt:lpwstr>
      </vt:variant>
      <vt:variant>
        <vt:lpwstr/>
      </vt:variant>
      <vt:variant>
        <vt:i4>4784154</vt:i4>
      </vt:variant>
      <vt:variant>
        <vt:i4>3</vt:i4>
      </vt:variant>
      <vt:variant>
        <vt:i4>0</vt:i4>
      </vt:variant>
      <vt:variant>
        <vt:i4>5</vt:i4>
      </vt:variant>
      <vt:variant>
        <vt:lpwstr>https://memportal.cor.europa.eu/</vt:lpwstr>
      </vt:variant>
      <vt:variant>
        <vt:lpwstr/>
      </vt:variant>
      <vt:variant>
        <vt:i4>4784154</vt:i4>
      </vt:variant>
      <vt:variant>
        <vt:i4>0</vt:i4>
      </vt:variant>
      <vt:variant>
        <vt:i4>0</vt:i4>
      </vt:variant>
      <vt:variant>
        <vt:i4>5</vt:i4>
      </vt:variant>
      <vt:variant>
        <vt:lpwstr>https://memportal.cor.europa.eu/</vt:lpwstr>
      </vt:variant>
      <vt:variant>
        <vt:lpwstr/>
      </vt:variant>
      <vt:variant>
        <vt:i4>3407949</vt:i4>
      </vt:variant>
      <vt:variant>
        <vt:i4>3</vt:i4>
      </vt:variant>
      <vt:variant>
        <vt:i4>0</vt:i4>
      </vt:variant>
      <vt:variant>
        <vt:i4>5</vt:i4>
      </vt:variant>
      <vt:variant>
        <vt:lpwstr>https://blogs.ec.europa.eu/promotingenterprise/files/2020/02/2020_PublicPROCUREMENTfosSME-GUIDANCEforCAuthorities.pdf</vt:lpwstr>
      </vt:variant>
      <vt:variant>
        <vt:lpwstr/>
      </vt:variant>
      <vt:variant>
        <vt:i4>7143528</vt:i4>
      </vt:variant>
      <vt:variant>
        <vt:i4>0</vt:i4>
      </vt:variant>
      <vt:variant>
        <vt:i4>0</vt:i4>
      </vt:variant>
      <vt:variant>
        <vt:i4>5</vt:i4>
      </vt:variant>
      <vt:variant>
        <vt:lpwstr>https://aachen.digital/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Strategia pentru IMM-uri</dc:title>
  <dc:creator>Julian van den Akker</dc:creator>
  <cp:keywords>COR-2020-01373-00-00-AC-TRA-EN</cp:keywords>
  <dc:description>Rapporteur: VAN HIJUM - Original language: EN - Date of document: 23/10/2020 - Date of meeting:  - External documents: COM(2020)103 - Administrator: M. ZAJACZKOWSKI Piotr Pawel</dc:description>
  <cp:lastModifiedBy>TDriveSVCUserAccpt</cp:lastModifiedBy>
  <cp:revision>7</cp:revision>
  <cp:lastPrinted>2020-05-25T05:15:00Z</cp:lastPrinted>
  <dcterms:created xsi:type="dcterms:W3CDTF">2020-10-23T12:51:00Z</dcterms:created>
  <dcterms:modified xsi:type="dcterms:W3CDTF">2022-03-06T18:09:00Z</dcterms:modified>
  <cp:category>ECON-VII/8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f_formatted">
    <vt:bool>true</vt:bool>
  </property>
  <property fmtid="{D5CDD505-2E9C-101B-9397-08002B2CF9AE}" pid="3" name="Pref_Date">
    <vt:lpwstr>20/10/2020, 20/10/2020, 30/06/2020, 08/06/2020, 03/06/2020, 02/06/2020, 27/05/2020, 26/05/2020, 26/05/2020, 26/05/2020</vt:lpwstr>
  </property>
  <property fmtid="{D5CDD505-2E9C-101B-9397-08002B2CF9AE}" pid="4" name="Pref_Time">
    <vt:lpwstr>14:53:37, 14:37:46, 17:44:31, 12:36:31, 16:31:02, 13:05:28, 16:45:44, 12:29:09, 12:02:57, 11:47:56</vt:lpwstr>
  </property>
  <property fmtid="{D5CDD505-2E9C-101B-9397-08002B2CF9AE}" pid="5" name="Pref_User">
    <vt:lpwstr>hnic, htoo, hnic, jhvi, hnic, hnic, hnic, jhvi, jhvi, YMUR</vt:lpwstr>
  </property>
  <property fmtid="{D5CDD505-2E9C-101B-9397-08002B2CF9AE}" pid="6" name="Pref_FileName">
    <vt:lpwstr>COR-2020-01373-00-00-AC-TRA-EN-CRR.docx, COR-2020-01373-00-00-AC-CRR-EN.docx, COR-2020-01373-00-00-PAC-TRA-EN-CRR.docx, COR-2020-01373-00-04-PA-ORI.docx, COR-2020-01373-00-03-PA-ORI.docx, COR-2020-01373-00-02-PA-ORI.docx, COR-2020-01373-00-01-PA-ORI.docx,</vt:lpwstr>
  </property>
  <property fmtid="{D5CDD505-2E9C-101B-9397-08002B2CF9AE}" pid="7" name="ContentTypeId">
    <vt:lpwstr>0x010100EA97B91038054C99906057A708A1480A00D6D032D2272B3B40BB953090B31F81EB</vt:lpwstr>
  </property>
  <property fmtid="{D5CDD505-2E9C-101B-9397-08002B2CF9AE}" pid="8" name="_dlc_DocIdItemGuid">
    <vt:lpwstr>4b227f16-f9d2-4a83-86d6-161ed645e84e</vt:lpwstr>
  </property>
  <property fmtid="{D5CDD505-2E9C-101B-9397-08002B2CF9AE}" pid="9" name="AvailableTranslations">
    <vt:lpwstr>14;#MT|7df99101-6854-4a26-b53a-b88c0da02c26;#38;#RO|feb747a2-64cd-4299-af12-4833ddc30497;#29;#SV|c2ed69e7-a339-43d7-8f22-d93680a92aa0;#15;#SK|46d9fce0-ef79-4f71-b89b-cd6aa82426b8;#35;#PT|50ccc04a-eadd-42ae-a0cb-acaf45f812ba;#19;#LT|a7ff5ce7-6123-4f68-865a</vt:lpwstr>
  </property>
  <property fmtid="{D5CDD505-2E9C-101B-9397-08002B2CF9AE}" pid="10" name="DocumentType_0">
    <vt:lpwstr>AC|a4cc1d15-fb08-4679-ad46-e4e0cba5fe92</vt:lpwstr>
  </property>
  <property fmtid="{D5CDD505-2E9C-101B-9397-08002B2CF9AE}" pid="11" name="DossierName_0">
    <vt:lpwstr>ECON-VII|31b7e0d8-3068-4ab9-9a7e-7c02e44a80a4</vt:lpwstr>
  </property>
  <property fmtid="{D5CDD505-2E9C-101B-9397-08002B2CF9AE}" pid="12" name="DocumentSource_0">
    <vt:lpwstr>CoR|cb2d75ef-4a7d-4393-b797-49ed6298a5ea</vt:lpwstr>
  </property>
  <property fmtid="{D5CDD505-2E9C-101B-9397-08002B2CF9AE}" pid="13" name="DocumentNumber">
    <vt:i4>1373</vt:i4>
  </property>
  <property fmtid="{D5CDD505-2E9C-101B-9397-08002B2CF9AE}" pid="14" name="FicheYear">
    <vt:i4>2020</vt:i4>
  </property>
  <property fmtid="{D5CDD505-2E9C-101B-9397-08002B2CF9AE}" pid="15" name="DocumentVersion">
    <vt:i4>0</vt:i4>
  </property>
  <property fmtid="{D5CDD505-2E9C-101B-9397-08002B2CF9AE}" pid="16" name="DossierNumber">
    <vt:i4>8</vt:i4>
  </property>
  <property fmtid="{D5CDD505-2E9C-101B-9397-08002B2CF9AE}" pid="17" name="DocumentStatus">
    <vt:lpwstr>8;#TRA|150d2a88-1431-44e6-a8ca-0bb753ab8672</vt:lpwstr>
  </property>
  <property fmtid="{D5CDD505-2E9C-101B-9397-08002B2CF9AE}" pid="18" name="DocumentPart">
    <vt:i4>0</vt:i4>
  </property>
  <property fmtid="{D5CDD505-2E9C-101B-9397-08002B2CF9AE}" pid="19" name="DossierName">
    <vt:lpwstr>67;#ECON-VII|31b7e0d8-3068-4ab9-9a7e-7c02e44a80a4</vt:lpwstr>
  </property>
  <property fmtid="{D5CDD505-2E9C-101B-9397-08002B2CF9AE}" pid="20" name="DocumentSource">
    <vt:lpwstr>1;#CoR|cb2d75ef-4a7d-4393-b797-49ed6298a5ea</vt:lpwstr>
  </property>
  <property fmtid="{D5CDD505-2E9C-101B-9397-08002B2CF9AE}" pid="21" name="AdoptionDate">
    <vt:filetime>2020-10-12T12:00:00Z</vt:filetime>
  </property>
  <property fmtid="{D5CDD505-2E9C-101B-9397-08002B2CF9AE}" pid="22" name="DocumentType">
    <vt:lpwstr>99;#AC|a4cc1d15-fb08-4679-ad46-e4e0cba5fe92</vt:lpwstr>
  </property>
  <property fmtid="{D5CDD505-2E9C-101B-9397-08002B2CF9AE}" pid="23" name="RequestingService">
    <vt:lpwstr>Commission ECON</vt:lpwstr>
  </property>
  <property fmtid="{D5CDD505-2E9C-101B-9397-08002B2CF9AE}" pid="24" name="Confidentiality">
    <vt:lpwstr>5;#Unrestricted|826e22d7-d029-4ec0-a450-0c28ff673572</vt:lpwstr>
  </property>
  <property fmtid="{D5CDD505-2E9C-101B-9397-08002B2CF9AE}" pid="25" name="MeetingName_0">
    <vt:lpwstr/>
  </property>
  <property fmtid="{D5CDD505-2E9C-101B-9397-08002B2CF9AE}" pid="26" name="Confidentiality_0">
    <vt:lpwstr>Unrestricted|826e22d7-d029-4ec0-a450-0c28ff673572</vt:lpwstr>
  </property>
  <property fmtid="{D5CDD505-2E9C-101B-9397-08002B2CF9AE}" pid="27" name="OriginalLanguage">
    <vt:lpwstr>7;#EN|f2175f21-25d7-44a3-96da-d6a61b075e1b</vt:lpwstr>
  </property>
  <property fmtid="{D5CDD505-2E9C-101B-9397-08002B2CF9AE}" pid="28" name="MeetingName">
    <vt:lpwstr/>
  </property>
  <property fmtid="{D5CDD505-2E9C-101B-9397-08002B2CF9AE}" pid="29" name="AvailableTranslations_0">
    <vt:lpwstr>MT|7df99101-6854-4a26-b53a-b88c0da02c26;ES|e7a6b05b-ae16-40c8-add9-68b64b03aeba;HU|6b229040-c589-4408-b4c1-4285663d20a8;FR|d2afafd3-4c81-4f60-8f52-ee33f2f54ff3;SL|98a412ae-eb01-49e9-ae3d-585a81724cfc;EN|f2175f21-25d7-44a3-96da-d6a61b075e1b;PL|1e03da61-467</vt:lpwstr>
  </property>
  <property fmtid="{D5CDD505-2E9C-101B-9397-08002B2CF9AE}" pid="30" name="DocumentStatus_0">
    <vt:lpwstr>TRA|150d2a88-1431-44e6-a8ca-0bb753ab8672</vt:lpwstr>
  </property>
  <property fmtid="{D5CDD505-2E9C-101B-9397-08002B2CF9AE}" pid="31" name="OriginalLanguage_0">
    <vt:lpwstr>EN|f2175f21-25d7-44a3-96da-d6a61b075e1b</vt:lpwstr>
  </property>
  <property fmtid="{D5CDD505-2E9C-101B-9397-08002B2CF9AE}" pid="32" name="TaxCatchAll">
    <vt:lpwstr>36;#FI|87606a43-d45f-42d6-b8c9-e1a3457db5b7;#34;#CS|72f9705b-0217-4fd3-bea2-cbc7ed80e26e;#67;#ECON-VII|31b7e0d8-3068-4ab9-9a7e-7c02e44a80a4;#27;#HU|6b229040-c589-4408-b4c1-4285663d20a8;#26;#SL|98a412ae-eb01-49e9-ae3d-585a81724cfc;#99;#AC|a4cc1d15-fb08-467</vt:lpwstr>
  </property>
  <property fmtid="{D5CDD505-2E9C-101B-9397-08002B2CF9AE}" pid="33" name="Rapporteur">
    <vt:lpwstr>VAN HIJUM</vt:lpwstr>
  </property>
  <property fmtid="{D5CDD505-2E9C-101B-9397-08002B2CF9AE}" pid="34" name="VersionStatus_0">
    <vt:lpwstr>Final|ea5e6674-7b27-4bac-b091-73adbb394efe</vt:lpwstr>
  </property>
  <property fmtid="{D5CDD505-2E9C-101B-9397-08002B2CF9AE}" pid="35" name="VersionStatus">
    <vt:lpwstr>6;#Final|ea5e6674-7b27-4bac-b091-73adbb394efe</vt:lpwstr>
  </property>
  <property fmtid="{D5CDD505-2E9C-101B-9397-08002B2CF9AE}" pid="36" name="DocumentYear">
    <vt:i4>2020</vt:i4>
  </property>
  <property fmtid="{D5CDD505-2E9C-101B-9397-08002B2CF9AE}" pid="37" name="FicheNumber">
    <vt:i4>11341</vt:i4>
  </property>
  <property fmtid="{D5CDD505-2E9C-101B-9397-08002B2CF9AE}" pid="38" name="DocumentLanguage">
    <vt:lpwstr>38;#RO|feb747a2-64cd-4299-af12-4833ddc30497</vt:lpwstr>
  </property>
</Properties>
</file>