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Danish braille, basic translation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is a reference sheet for single-character six-dot braille translation in compliance with the official Danish braille code of 1993. The document covers the Unicode tables Basic Latin and Latin-1 Supplement as well as certain other common characters. A question mark in a translation string indicates that there is no suitable (six-dot) translation of a given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Note that the various components of the braille output are separated by spaces, not by characters representing empty braille cells. If a translation calls for a blank cell to be inserted, as is the case with percentages, then a proper blank cell is inserted. Similarly, in the pangram, the spaces are empty braille cells.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letters q, w, x, z and ü are prefixed by ⠠ in grade 2. This is not reflected in the translation strings below.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Lowercase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 c d e f g h i j k l m n o p q r s t u v w x y z æ ø 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 ⠃ ⠉ ⠙ ⠑ ⠋ ⠛ ⠓ ⠊ ⠚ ⠅ ⠇ ⠍ ⠝ ⠕ ⠏ ⠟ ⠗ ⠎ ⠞ ⠥ ⠧ ⠺ ⠭ ⠽ ⠵ ⠜ ⠪ ⠡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Uppercase alphabet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Letters prefixed by ⠨. Note that in six-dot braille uppercase letters are generally only used for acronyms, Roman numerals and other situations where the reader must be able to distinguish a sequence of letters from an actual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 C D E F G H I J K L M N O P Q R S T U V W X Y Z Æ Ø 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⠁ ⠨⠃ ⠨⠉ ⠨⠙ ⠨⠑ ⠨⠋ ⠨⠛ ⠨⠓ ⠨⠊ ⠨⠚ ⠨⠅ ⠨⠇ ⠨⠍ ⠨⠝ ⠨⠕ ⠨⠏ ⠨⠟ ⠨⠗ ⠨⠎ ⠨⠞ ⠨⠥ ⠨⠧ ⠨⠺ ⠨⠭ ⠨⠽ ⠨⠵ ⠨⠜ ⠨⠪ ⠨⠡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hnoml9m7qkf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Sequence of uppercase letters (acronyms)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Acronyms are marked up as such in input files (the markup encompasses only the actual acronym; surrounding letters or punctuation not included). ⠸ denotes the start of the sequence. If a lowercase suffix is present (typically -s or -er), insert ⠠ before that suffix. If the sequence ends with a lowercase suffix preceded by an apostrophe, disregard the previous rule and retain just the apostrophe. Lowercase letters within the sequence are not considered significant.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NATO NATOs FN’s TotPs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⠸⠝⠁⠞⠕ ⠸⠝⠁⠞⠕⠠⠎⠀⠸⠋⠝⠈⠎ ⠸⠞⠕⠞⠏⠎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Accents and foreign 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some accent-letter combinations are properly accounted for, basically to allow interoperability with German and Swedish: ä, ö and ü. All other accents and semi-common foreign letters (e.g. ß, ð) are represented by a prefix (⠐) and the base letter. This should also apply to accented letters which are outside Latin-1 (e.g. </w:t>
      </w:r>
      <w:r w:rsidDel="00000000" w:rsidR="00000000" w:rsidRPr="00000000">
        <w:rPr>
          <w:rtl w:val="0"/>
        </w:rPr>
        <w:t xml:space="preserve">š)</w:t>
      </w:r>
      <w:r w:rsidDel="00000000" w:rsidR="00000000" w:rsidRPr="00000000">
        <w:rPr>
          <w:rtl w:val="0"/>
        </w:rPr>
        <w:t xml:space="preserve"> and hence are not listed here.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pnc8h2tlbfo" w:id="1"/>
      <w:bookmarkEnd w:id="1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 á ä â ã À Á Ä Â 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⠐⠁ ⠐⠁ ⠜ ⠐⠁ ⠐⠁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⠐⠁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⠐⠁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⠜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⠐⠁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pmsqh3ibys4" w:id="2"/>
      <w:bookmarkEnd w:id="2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ç 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⠐⠉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⠐⠉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2rnvoaa93fr" w:id="3"/>
      <w:bookmarkEnd w:id="3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è é ë ê È É Ë 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⠐⠑ ⠐⠑ ⠐⠑ ⠐⠑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⠐⠑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⠐⠑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⠐⠑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⠐⠑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gftw24ijeur" w:id="4"/>
      <w:bookmarkEnd w:id="4"/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ì í ï î Ì Í Ï 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⠐⠊ ⠐⠊ ⠐⠊ ⠐⠊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⠐⠊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⠐⠊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⠐⠊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⠐⠊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enw7jxzvhwd" w:id="5"/>
      <w:bookmarkEnd w:id="5"/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ñ 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⠐⠝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⠐⠝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3k7ss5iwuyo" w:id="6"/>
      <w:bookmarkEnd w:id="6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ò ó ö ô õ Ò Ó Ö Ô 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⠐⠕ ⠐⠕ ⠪ ⠐⠕ ⠐⠕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⠐⠕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⠐⠕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⠪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⠐⠕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⠐⠕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5zddtfhsakd" w:id="7"/>
      <w:bookmarkEnd w:id="7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ù ú ü û Ù Ú Ü 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⠐⠥ ⠐⠥ ⠳ ⠐⠥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⠐⠥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⠐⠥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⠳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⠐⠥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f5npqna7k5g" w:id="8"/>
      <w:bookmarkEnd w:id="8"/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ý ÿ 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⠐⠽ ⠐⠽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⠐⠽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9854e9bs9jy" w:id="9"/>
      <w:bookmarkEnd w:id="9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ð Ð þ Þ 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⠐⠙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⠐⠙ ⠐⠞ </w:t>
      </w:r>
      <w:r w:rsidDel="00000000" w:rsidR="00000000" w:rsidRPr="00000000">
        <w:rPr>
          <w:rtl w:val="0"/>
        </w:rPr>
        <w:t xml:space="preserve">⠨</w:t>
      </w:r>
      <w:r w:rsidDel="00000000" w:rsidR="00000000" w:rsidRPr="00000000">
        <w:rPr>
          <w:rtl w:val="0"/>
        </w:rPr>
        <w:t xml:space="preserve">⠐⠞ ⠐⠎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Numbers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Single digits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prefix ⠼ indicates a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1 2 3 4 5 6 7 8 9 0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⠼⠁ ⠼⠃ ⠼⠉ ⠼⠙ ⠼⠑ ⠼⠋ ⠼⠛ ⠼⠓ ⠼⠊ ⠼⠚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Combined digits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⠼⠃⠙ ⠼⠉⠋⠑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Decimal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Traditionally, in Danish, a comma is used to separate the fractional part of a number while a period may be used to group digits by threes. However, due to the increasing influence of English, we often encounter the inverse situation: separation by period and grouping by comma. The braille code follows the traditional rules only, but I think we have to allow the other case on equal terms.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3,14159 9.999,99 2.71828 9,999.99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⠼⠉⠂⠁⠙⠁⠑⠊ ⠼⠊⠄⠊⠊⠊⠂⠊⠊ ⠼⠃⠄⠛⠁⠓⠃⠓ ⠼⠊⠂⠊⠊⠊⠄⠊⠊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Fractions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 number is combined with a fraction, insert a second number prefix (with no leading space) before the fractional part. Obviously, this rule can only be applied when the fractional part is an actual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½ 4/5 20,11/45 89½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⠼⠁⠌⠃ ⠼⠙⠌⠑ ⠼⠃⠚⠂⠁⠁⠌⠙⠑ ⠼⠓⠊⠼⠁⠌⠃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Percentages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necessary, insert a space before the percentage mark to avoid ambiguity with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10% 20,5 %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⠼⠁⠚⠀⠚⠴ ⠼⠃⠚⠂⠑⠀⠚⠴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Numbers mixed with letters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</w:t>
      </w:r>
      <w:r w:rsidDel="00000000" w:rsidR="00000000" w:rsidRPr="00000000">
        <w:rPr>
          <w:rtl w:val="0"/>
        </w:rPr>
        <w:t xml:space="preserve">⠠ at every intersection, whether from letters to numbers or from numbers to letters.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24syv Radio24 Radio24syv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⠼⠃⠙⠠⠎⠽⠧ ⠗⠁⠙⠊⠕⠠⠼⠃⠙ ⠗⠁⠙⠊⠕⠠⠼⠃⠙⠠⠎⠽⠧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Roman numerals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⠠ for lowercase, ⠨ for single-character uppercase, ⠸ for multi-character uppercase. Will obviously require markup in input files, but we do that currently.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vii V VII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⠠⠧ ⠠⠧⠊⠊ ⠨⠧ ⠸⠧⠊⠊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Other characters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Punctuation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. ! ? ;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⠂ ⠄ ⠖ ⠢ ⠆ ⠒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Hyphens and dashes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that the hyphen (⠤) should be doubled to a dash padded by empty cells (⠀⠤⠤⠀) when surrounded by whitespace in real-world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– 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⠤ ⠤⠤ ⠤⠤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Parentheses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) [ ]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⠦ ⠴ ⠐⠦ ⠐⠴ ⠘⠪ ⠘⠕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Apostrophes and quotation 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 ‘ ’ ‚ ‛ " “ ” „ ‟ » 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⠈ ⠈ ⠈ ⠈ ⠈ ⠶ ⠶ ⠶ ⠶ ⠶ ⠶ ⠶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Basic maths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that a colon has one representation in maths (⠲, the division operator) and another in normal text (⠒). We will have to solve this somehow. Marking up maths will be tricky, so we may have to discard the mathematical representation entirely. There are other issues with maths as well: the ambiguity of ÷ (can mean subtraction or division), the increasing use of * for multiplication and / for division,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+ - ÷ ∙ × : = % ‰ √ 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⠖ ⠤ ⠤ ⠄ ⠄ ⠲ ⠶ ⠚⠴ ⠚⠴⠴ ⠩ ⠈⠴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Computing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\ | @ ~ # ^ 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⠘⠡ </w:t>
      </w:r>
      <w:r w:rsidDel="00000000" w:rsidR="00000000" w:rsidRPr="00000000">
        <w:rPr>
          <w:rtl w:val="0"/>
        </w:rPr>
        <w:t xml:space="preserve">⠘</w:t>
      </w:r>
      <w:r w:rsidDel="00000000" w:rsidR="00000000" w:rsidRPr="00000000">
        <w:rPr>
          <w:rtl w:val="0"/>
        </w:rPr>
        <w:t xml:space="preserve">⠇ ⠘⠁ ⠘⠠ ⠘⠼ ⠘⠰ ⠘⠤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Currencies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£ 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⠘⠲ ⠘⠇ ⠘⠑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&amp; § © ®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⠯ ⠬ </w:t>
      </w:r>
      <w:r w:rsidDel="00000000" w:rsidR="00000000" w:rsidRPr="00000000">
        <w:rPr>
          <w:rtl w:val="0"/>
        </w:rPr>
        <w:t xml:space="preserve">⠘⠉ ⠘⠗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uzw6cb1wkbr" w:id="11"/>
      <w:bookmarkEnd w:id="11"/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vtqp3qrr4ar" w:id="12"/>
      <w:bookmarkEnd w:id="12"/>
      <w:r w:rsidDel="00000000" w:rsidR="00000000" w:rsidRPr="00000000">
        <w:rPr>
          <w:rtl w:val="0"/>
        </w:rPr>
        <w:t xml:space="preserve">Emphasis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Emphasised text is surrounded by </w:t>
      </w:r>
      <w:r w:rsidDel="00000000" w:rsidR="00000000" w:rsidRPr="00000000">
        <w:rPr>
          <w:rtl w:val="0"/>
        </w:rPr>
        <w:t xml:space="preserve">⠰ with no spaces. This pattern is used for all forms of emphasis: italics, bold type, underlin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 text and the like. Punctuation is generally included, although markup varies in this regard.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Sid ned!</w:t>
      </w:r>
      <w:r w:rsidDel="00000000" w:rsidR="00000000" w:rsidRPr="00000000">
        <w:rPr>
          <w:rtl w:val="0"/>
        </w:rPr>
        <w:t xml:space="preserve"> råbte han.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⠰⠎⠊⠙⠀⠝⠑⠙⠖⠰⠀⠗⠡⠃⠞⠑⠀⠓⠁⠝⠄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Pangram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Quizdeltagerne spiste jordbær med fløde, mens cirkusklovnen Walther spillede på xylofon.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⠟⠥⠊⠵⠙⠑⠇⠞⠁⠛⠑⠗⠝⠑⠀⠎⠏⠊⠎⠞⠑⠀⠚⠕⠗⠙</w:t>
      </w:r>
      <w:r w:rsidDel="00000000" w:rsidR="00000000" w:rsidRPr="00000000">
        <w:rPr>
          <w:rtl w:val="0"/>
        </w:rPr>
        <w:t xml:space="preserve">⠃</w:t>
      </w:r>
      <w:r w:rsidDel="00000000" w:rsidR="00000000" w:rsidRPr="00000000">
        <w:rPr>
          <w:rtl w:val="0"/>
        </w:rPr>
        <w:t xml:space="preserve">⠜⠗⠀⠍⠑⠙⠀⠋⠇⠪⠙⠑⠂⠀⠍⠑⠝⠎⠀⠉⠊⠗⠅⠥⠎⠅⠇⠕⠧⠝⠑⠝⠀⠺⠁⠇⠞⠓⠑⠗⠀⠎⠏⠊⠇⠇⠑⠙⠑⠀⠏⠡⠀⠭⠽⠇⠕⠋⠕⠝⠄</w:t>
      </w:r>
    </w:p>
    <w:sectPr>
      <w:pgSz w:h="16838" w:w="11906"/>
      <w:pgMar w:bottom="1701" w:top="170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