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3F4C7F" w14:textId="3FD47160" w:rsidR="00381FCF" w:rsidRPr="005C5429" w:rsidRDefault="0077110B" w:rsidP="00BD08E0">
      <w:pPr>
        <w:spacing w:before="300" w:after="200"/>
        <w:ind w:right="1984"/>
        <w:rPr>
          <w:b/>
          <w:bCs/>
          <w:color w:val="1F3864"/>
          <w:sz w:val="28"/>
          <w:szCs w:val="28"/>
          <w:lang w:val="en-GB"/>
        </w:rPr>
      </w:pPr>
      <w:r w:rsidRPr="005C5429">
        <w:rPr>
          <w:b/>
          <w:bCs/>
          <w:noProof/>
          <w:color w:val="1F3864"/>
          <w:sz w:val="56"/>
          <w:szCs w:val="56"/>
          <w:lang w:val="en-GB"/>
        </w:rPr>
        <mc:AlternateContent>
          <mc:Choice Requires="wps">
            <w:drawing>
              <wp:anchor distT="0" distB="0" distL="114300" distR="114300" simplePos="0" relativeHeight="251658239" behindDoc="1" locked="0" layoutInCell="1" allowOverlap="1" wp14:anchorId="5262DD0B" wp14:editId="71470A35">
                <wp:simplePos x="0" y="0"/>
                <wp:positionH relativeFrom="column">
                  <wp:posOffset>768170</wp:posOffset>
                </wp:positionH>
                <wp:positionV relativeFrom="paragraph">
                  <wp:posOffset>3951318</wp:posOffset>
                </wp:positionV>
                <wp:extent cx="10179002" cy="701040"/>
                <wp:effectExtent l="0" t="4762" r="8572" b="8573"/>
                <wp:wrapNone/>
                <wp:docPr id="1337579306" name="Obdélník 3"/>
                <wp:cNvGraphicFramePr/>
                <a:graphic xmlns:a="http://schemas.openxmlformats.org/drawingml/2006/main">
                  <a:graphicData uri="http://schemas.microsoft.com/office/word/2010/wordprocessingShape">
                    <wps:wsp>
                      <wps:cNvSpPr/>
                      <wps:spPr>
                        <a:xfrm rot="5400000">
                          <a:off x="0" y="0"/>
                          <a:ext cx="10179002" cy="701040"/>
                        </a:xfrm>
                        <a:custGeom>
                          <a:avLst/>
                          <a:gdLst>
                            <a:gd name="csX0" fmla="*/ 0 w 10166350"/>
                            <a:gd name="csY0" fmla="*/ 0 h 198120"/>
                            <a:gd name="csX1" fmla="*/ 10166350 w 10166350"/>
                            <a:gd name="csY1" fmla="*/ 0 h 198120"/>
                            <a:gd name="csX2" fmla="*/ 10166350 w 10166350"/>
                            <a:gd name="csY2" fmla="*/ 198120 h 198120"/>
                            <a:gd name="csX3" fmla="*/ 0 w 10166350"/>
                            <a:gd name="csY3" fmla="*/ 198120 h 198120"/>
                            <a:gd name="csX4" fmla="*/ 0 w 10166350"/>
                            <a:gd name="csY4" fmla="*/ 0 h 198120"/>
                            <a:gd name="csX0" fmla="*/ 0 w 10166350"/>
                            <a:gd name="csY0" fmla="*/ 181947 h 380067"/>
                            <a:gd name="csX1" fmla="*/ 7343813 w 10166350"/>
                            <a:gd name="csY1" fmla="*/ 28 h 380067"/>
                            <a:gd name="csX2" fmla="*/ 10166350 w 10166350"/>
                            <a:gd name="csY2" fmla="*/ 181947 h 380067"/>
                            <a:gd name="csX3" fmla="*/ 10166350 w 10166350"/>
                            <a:gd name="csY3" fmla="*/ 380067 h 380067"/>
                            <a:gd name="csX4" fmla="*/ 0 w 10166350"/>
                            <a:gd name="csY4" fmla="*/ 380067 h 380067"/>
                            <a:gd name="csX5" fmla="*/ 0 w 10166350"/>
                            <a:gd name="csY5" fmla="*/ 181947 h 380067"/>
                            <a:gd name="csX0" fmla="*/ 0 w 10166350"/>
                            <a:gd name="csY0" fmla="*/ 181947 h 380086"/>
                            <a:gd name="csX1" fmla="*/ 7343813 w 10166350"/>
                            <a:gd name="csY1" fmla="*/ 28 h 380086"/>
                            <a:gd name="csX2" fmla="*/ 10166350 w 10166350"/>
                            <a:gd name="csY2" fmla="*/ 181947 h 380086"/>
                            <a:gd name="csX3" fmla="*/ 10166350 w 10166350"/>
                            <a:gd name="csY3" fmla="*/ 380067 h 380086"/>
                            <a:gd name="csX4" fmla="*/ 6738653 w 10166350"/>
                            <a:gd name="csY4" fmla="*/ 114584 h 380086"/>
                            <a:gd name="csX5" fmla="*/ 0 w 10166350"/>
                            <a:gd name="csY5" fmla="*/ 380067 h 380086"/>
                            <a:gd name="csX6" fmla="*/ 0 w 10166350"/>
                            <a:gd name="csY6" fmla="*/ 181947 h 380086"/>
                            <a:gd name="csX0" fmla="*/ 0 w 10166350"/>
                            <a:gd name="csY0" fmla="*/ 181976 h 380115"/>
                            <a:gd name="csX1" fmla="*/ 7652571 w 10166350"/>
                            <a:gd name="csY1" fmla="*/ 28 h 380115"/>
                            <a:gd name="csX2" fmla="*/ 10166350 w 10166350"/>
                            <a:gd name="csY2" fmla="*/ 181976 h 380115"/>
                            <a:gd name="csX3" fmla="*/ 10166350 w 10166350"/>
                            <a:gd name="csY3" fmla="*/ 380096 h 380115"/>
                            <a:gd name="csX4" fmla="*/ 6738653 w 10166350"/>
                            <a:gd name="csY4" fmla="*/ 114613 h 380115"/>
                            <a:gd name="csX5" fmla="*/ 0 w 10166350"/>
                            <a:gd name="csY5" fmla="*/ 380096 h 380115"/>
                            <a:gd name="csX6" fmla="*/ 0 w 10166350"/>
                            <a:gd name="csY6" fmla="*/ 181976 h 380115"/>
                            <a:gd name="csX0" fmla="*/ 0 w 10166350"/>
                            <a:gd name="csY0" fmla="*/ 181948 h 380087"/>
                            <a:gd name="csX1" fmla="*/ 7652571 w 10166350"/>
                            <a:gd name="csY1" fmla="*/ 0 h 380087"/>
                            <a:gd name="csX2" fmla="*/ 10166350 w 10166350"/>
                            <a:gd name="csY2" fmla="*/ 181948 h 380087"/>
                            <a:gd name="csX3" fmla="*/ 10166350 w 10166350"/>
                            <a:gd name="csY3" fmla="*/ 380068 h 380087"/>
                            <a:gd name="csX4" fmla="*/ 6738653 w 10166350"/>
                            <a:gd name="csY4" fmla="*/ 114585 h 380087"/>
                            <a:gd name="csX5" fmla="*/ 0 w 10166350"/>
                            <a:gd name="csY5" fmla="*/ 380068 h 380087"/>
                            <a:gd name="csX6" fmla="*/ 0 w 10166350"/>
                            <a:gd name="csY6" fmla="*/ 181948 h 380087"/>
                            <a:gd name="csX0" fmla="*/ 0 w 10166350"/>
                            <a:gd name="csY0" fmla="*/ 181948 h 701072"/>
                            <a:gd name="csX1" fmla="*/ 7652571 w 10166350"/>
                            <a:gd name="csY1" fmla="*/ 0 h 701072"/>
                            <a:gd name="csX2" fmla="*/ 10166350 w 10166350"/>
                            <a:gd name="csY2" fmla="*/ 181948 h 701072"/>
                            <a:gd name="csX3" fmla="*/ 10166350 w 10166350"/>
                            <a:gd name="csY3" fmla="*/ 380068 h 701072"/>
                            <a:gd name="csX4" fmla="*/ 9659983 w 10166350"/>
                            <a:gd name="csY4" fmla="*/ 697028 h 701072"/>
                            <a:gd name="csX5" fmla="*/ 6738653 w 10166350"/>
                            <a:gd name="csY5" fmla="*/ 114585 h 701072"/>
                            <a:gd name="csX6" fmla="*/ 0 w 10166350"/>
                            <a:gd name="csY6" fmla="*/ 380068 h 701072"/>
                            <a:gd name="csX7" fmla="*/ 0 w 10166350"/>
                            <a:gd name="csY7" fmla="*/ 181948 h 701072"/>
                            <a:gd name="csX0" fmla="*/ 0 w 10166350"/>
                            <a:gd name="csY0" fmla="*/ 181948 h 701072"/>
                            <a:gd name="csX1" fmla="*/ 7652571 w 10166350"/>
                            <a:gd name="csY1" fmla="*/ 0 h 701072"/>
                            <a:gd name="csX2" fmla="*/ 10166350 w 10166350"/>
                            <a:gd name="csY2" fmla="*/ 181948 h 701072"/>
                            <a:gd name="csX3" fmla="*/ 10166350 w 10166350"/>
                            <a:gd name="csY3" fmla="*/ 380068 h 701072"/>
                            <a:gd name="csX4" fmla="*/ 9659983 w 10166350"/>
                            <a:gd name="csY4" fmla="*/ 697028 h 701072"/>
                            <a:gd name="csX5" fmla="*/ 6738653 w 10166350"/>
                            <a:gd name="csY5" fmla="*/ 114585 h 701072"/>
                            <a:gd name="csX6" fmla="*/ 49651 w 10166350"/>
                            <a:gd name="csY6" fmla="*/ 546330 h 701072"/>
                            <a:gd name="csX7" fmla="*/ 0 w 10166350"/>
                            <a:gd name="csY7" fmla="*/ 181948 h 701072"/>
                            <a:gd name="csX0" fmla="*/ 0 w 10166350"/>
                            <a:gd name="csY0" fmla="*/ 181948 h 701072"/>
                            <a:gd name="csX1" fmla="*/ 7652571 w 10166350"/>
                            <a:gd name="csY1" fmla="*/ 0 h 701072"/>
                            <a:gd name="csX2" fmla="*/ 10166350 w 10166350"/>
                            <a:gd name="csY2" fmla="*/ 181948 h 701072"/>
                            <a:gd name="csX3" fmla="*/ 10166350 w 10166350"/>
                            <a:gd name="csY3" fmla="*/ 380068 h 701072"/>
                            <a:gd name="csX4" fmla="*/ 9659983 w 10166350"/>
                            <a:gd name="csY4" fmla="*/ 697028 h 701072"/>
                            <a:gd name="csX5" fmla="*/ 6738653 w 10166350"/>
                            <a:gd name="csY5" fmla="*/ 114585 h 701072"/>
                            <a:gd name="csX6" fmla="*/ 0 w 10166350"/>
                            <a:gd name="csY6" fmla="*/ 558205 h 701072"/>
                            <a:gd name="csX7" fmla="*/ 0 w 10166350"/>
                            <a:gd name="csY7" fmla="*/ 181948 h 701072"/>
                            <a:gd name="csX0" fmla="*/ 0 w 10167573"/>
                            <a:gd name="csY0" fmla="*/ 117683 h 701072"/>
                            <a:gd name="csX1" fmla="*/ 7653794 w 10167573"/>
                            <a:gd name="csY1" fmla="*/ 0 h 701072"/>
                            <a:gd name="csX2" fmla="*/ 10167573 w 10167573"/>
                            <a:gd name="csY2" fmla="*/ 181948 h 701072"/>
                            <a:gd name="csX3" fmla="*/ 10167573 w 10167573"/>
                            <a:gd name="csY3" fmla="*/ 380068 h 701072"/>
                            <a:gd name="csX4" fmla="*/ 9661206 w 10167573"/>
                            <a:gd name="csY4" fmla="*/ 697028 h 701072"/>
                            <a:gd name="csX5" fmla="*/ 6739876 w 10167573"/>
                            <a:gd name="csY5" fmla="*/ 114585 h 701072"/>
                            <a:gd name="csX6" fmla="*/ 1223 w 10167573"/>
                            <a:gd name="csY6" fmla="*/ 558205 h 701072"/>
                            <a:gd name="csX7" fmla="*/ 0 w 10167573"/>
                            <a:gd name="csY7" fmla="*/ 117683 h 701072"/>
                            <a:gd name="csX0" fmla="*/ 0 w 10167573"/>
                            <a:gd name="csY0" fmla="*/ 117683 h 701072"/>
                            <a:gd name="csX1" fmla="*/ 7653794 w 10167573"/>
                            <a:gd name="csY1" fmla="*/ 0 h 701072"/>
                            <a:gd name="csX2" fmla="*/ 10167573 w 10167573"/>
                            <a:gd name="csY2" fmla="*/ 181948 h 701072"/>
                            <a:gd name="csX3" fmla="*/ 10167573 w 10167573"/>
                            <a:gd name="csY3" fmla="*/ 380068 h 701072"/>
                            <a:gd name="csX4" fmla="*/ 9661206 w 10167573"/>
                            <a:gd name="csY4" fmla="*/ 697028 h 701072"/>
                            <a:gd name="csX5" fmla="*/ 6739876 w 10167573"/>
                            <a:gd name="csY5" fmla="*/ 114585 h 701072"/>
                            <a:gd name="csX6" fmla="*/ 1223 w 10167573"/>
                            <a:gd name="csY6" fmla="*/ 558205 h 701072"/>
                            <a:gd name="csX7" fmla="*/ 0 w 10167573"/>
                            <a:gd name="csY7" fmla="*/ 117683 h 701072"/>
                          </a:gdLst>
                          <a:ahLst/>
                          <a:cxnLst>
                            <a:cxn ang="0">
                              <a:pos x="csX0" y="csY0"/>
                            </a:cxn>
                            <a:cxn ang="0">
                              <a:pos x="csX1" y="csY1"/>
                            </a:cxn>
                            <a:cxn ang="0">
                              <a:pos x="csX2" y="csY2"/>
                            </a:cxn>
                            <a:cxn ang="0">
                              <a:pos x="csX3" y="csY3"/>
                            </a:cxn>
                            <a:cxn ang="0">
                              <a:pos x="csX4" y="csY4"/>
                            </a:cxn>
                            <a:cxn ang="0">
                              <a:pos x="csX5" y="csY5"/>
                            </a:cxn>
                            <a:cxn ang="0">
                              <a:pos x="csX6" y="csY6"/>
                            </a:cxn>
                            <a:cxn ang="0">
                              <a:pos x="csX7" y="csY7"/>
                            </a:cxn>
                          </a:cxnLst>
                          <a:rect l="l" t="t" r="r" b="b"/>
                          <a:pathLst>
                            <a:path w="10167573" h="701072">
                              <a:moveTo>
                                <a:pt x="0" y="117683"/>
                              </a:moveTo>
                              <a:cubicBezTo>
                                <a:pt x="1786878" y="441028"/>
                                <a:pt x="5819415" y="44853"/>
                                <a:pt x="7653794" y="0"/>
                              </a:cubicBezTo>
                              <a:lnTo>
                                <a:pt x="10167573" y="181948"/>
                              </a:lnTo>
                              <a:lnTo>
                                <a:pt x="10167573" y="380068"/>
                              </a:lnTo>
                              <a:cubicBezTo>
                                <a:pt x="10047553" y="408463"/>
                                <a:pt x="10232489" y="741275"/>
                                <a:pt x="9661206" y="697028"/>
                              </a:cubicBezTo>
                              <a:cubicBezTo>
                                <a:pt x="9089923" y="652781"/>
                                <a:pt x="8314247" y="109960"/>
                                <a:pt x="6739876" y="114585"/>
                              </a:cubicBezTo>
                              <a:lnTo>
                                <a:pt x="1223" y="558205"/>
                              </a:lnTo>
                              <a:cubicBezTo>
                                <a:pt x="815" y="411364"/>
                                <a:pt x="408" y="264524"/>
                                <a:pt x="0" y="117683"/>
                              </a:cubicBezTo>
                              <a:close/>
                            </a:path>
                          </a:pathLst>
                        </a:custGeom>
                        <a:gradFill flip="none" rotWithShape="1">
                          <a:gsLst>
                            <a:gs pos="47000">
                              <a:srgbClr val="F5AD2B"/>
                            </a:gs>
                            <a:gs pos="81000">
                              <a:srgbClr val="F23905"/>
                            </a:gs>
                            <a:gs pos="12000">
                              <a:srgbClr val="015C6D"/>
                            </a:gs>
                          </a:gsLst>
                          <a:lin ang="2700000" scaled="1"/>
                          <a:tileRect/>
                        </a:gra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8E53C9" id="Obdélník 3" o:spid="_x0000_s1026" style="position:absolute;margin-left:60.5pt;margin-top:311.15pt;width:801.5pt;height:55.2pt;rotation:90;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0167573,7010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" path="m,117683c1786878,441028,5819415,44853,7653794,r2513779,181948l10167573,380068v-120020,28395,64916,361207,-506367,316960c9089923,652781,8314247,109960,6739876,114585l1223,558205c815,411364,408,264524,,117683xe" fillcolor="#015c6d" stroked="f" strokeweight="1pt">
                <v:fill color2="#f23905" rotate="t" angle="45" colors="0 #015c6d;7864f #015c6d;30802f #f5ad2b" focus="100%" type="gradient"/>
                <v:stroke joinstyle="miter"/>
                <v:path arrowok="t" o:connecttype="custom" o:connectlocs="0,117678;7662397,0;10179002,181940;10179002,380051;9672066,696996;6747452,114580;1224,558180;0,117678" o:connectangles="0,0,0,0,0,0,0,0"/>
              </v:shape>
            </w:pict>
          </mc:Fallback>
        </mc:AlternateContent>
      </w:r>
      <w:r w:rsidR="00D609EC" w:rsidRPr="005C5429">
        <w:rPr>
          <w:b/>
          <w:bCs/>
          <w:noProof/>
          <w:color w:val="1F3864"/>
          <w:sz w:val="56"/>
          <w:szCs w:val="56"/>
          <w:lang w:val="en-GB"/>
        </w:rPr>
        <mc:AlternateContent>
          <mc:Choice Requires="wps">
            <w:drawing>
              <wp:anchor distT="0" distB="0" distL="114300" distR="114300" simplePos="0" relativeHeight="251657214" behindDoc="1" locked="0" layoutInCell="1" allowOverlap="1" wp14:anchorId="67587F9D" wp14:editId="016628DB">
                <wp:simplePos x="0" y="0"/>
                <wp:positionH relativeFrom="column">
                  <wp:posOffset>954974</wp:posOffset>
                </wp:positionH>
                <wp:positionV relativeFrom="paragraph">
                  <wp:posOffset>3946525</wp:posOffset>
                </wp:positionV>
                <wp:extent cx="10168121" cy="701076"/>
                <wp:effectExtent l="8890" t="0" r="0" b="0"/>
                <wp:wrapNone/>
                <wp:docPr id="1522422090" name="Obdélník 3"/>
                <wp:cNvGraphicFramePr/>
                <a:graphic xmlns:a="http://schemas.openxmlformats.org/drawingml/2006/main">
                  <a:graphicData uri="http://schemas.microsoft.com/office/word/2010/wordprocessingShape">
                    <wps:wsp>
                      <wps:cNvSpPr/>
                      <wps:spPr>
                        <a:xfrm rot="5400000">
                          <a:off x="0" y="0"/>
                          <a:ext cx="10168121" cy="701076"/>
                        </a:xfrm>
                        <a:custGeom>
                          <a:avLst/>
                          <a:gdLst>
                            <a:gd name="csX0" fmla="*/ 0 w 10166350"/>
                            <a:gd name="csY0" fmla="*/ 0 h 198120"/>
                            <a:gd name="csX1" fmla="*/ 10166350 w 10166350"/>
                            <a:gd name="csY1" fmla="*/ 0 h 198120"/>
                            <a:gd name="csX2" fmla="*/ 10166350 w 10166350"/>
                            <a:gd name="csY2" fmla="*/ 198120 h 198120"/>
                            <a:gd name="csX3" fmla="*/ 0 w 10166350"/>
                            <a:gd name="csY3" fmla="*/ 198120 h 198120"/>
                            <a:gd name="csX4" fmla="*/ 0 w 10166350"/>
                            <a:gd name="csY4" fmla="*/ 0 h 198120"/>
                            <a:gd name="csX0" fmla="*/ 0 w 10166350"/>
                            <a:gd name="csY0" fmla="*/ 181947 h 380067"/>
                            <a:gd name="csX1" fmla="*/ 7343813 w 10166350"/>
                            <a:gd name="csY1" fmla="*/ 28 h 380067"/>
                            <a:gd name="csX2" fmla="*/ 10166350 w 10166350"/>
                            <a:gd name="csY2" fmla="*/ 181947 h 380067"/>
                            <a:gd name="csX3" fmla="*/ 10166350 w 10166350"/>
                            <a:gd name="csY3" fmla="*/ 380067 h 380067"/>
                            <a:gd name="csX4" fmla="*/ 0 w 10166350"/>
                            <a:gd name="csY4" fmla="*/ 380067 h 380067"/>
                            <a:gd name="csX5" fmla="*/ 0 w 10166350"/>
                            <a:gd name="csY5" fmla="*/ 181947 h 380067"/>
                            <a:gd name="csX0" fmla="*/ 0 w 10166350"/>
                            <a:gd name="csY0" fmla="*/ 181947 h 380086"/>
                            <a:gd name="csX1" fmla="*/ 7343813 w 10166350"/>
                            <a:gd name="csY1" fmla="*/ 28 h 380086"/>
                            <a:gd name="csX2" fmla="*/ 10166350 w 10166350"/>
                            <a:gd name="csY2" fmla="*/ 181947 h 380086"/>
                            <a:gd name="csX3" fmla="*/ 10166350 w 10166350"/>
                            <a:gd name="csY3" fmla="*/ 380067 h 380086"/>
                            <a:gd name="csX4" fmla="*/ 6738653 w 10166350"/>
                            <a:gd name="csY4" fmla="*/ 114584 h 380086"/>
                            <a:gd name="csX5" fmla="*/ 0 w 10166350"/>
                            <a:gd name="csY5" fmla="*/ 380067 h 380086"/>
                            <a:gd name="csX6" fmla="*/ 0 w 10166350"/>
                            <a:gd name="csY6" fmla="*/ 181947 h 380086"/>
                            <a:gd name="csX0" fmla="*/ 0 w 10166350"/>
                            <a:gd name="csY0" fmla="*/ 181976 h 380115"/>
                            <a:gd name="csX1" fmla="*/ 7652571 w 10166350"/>
                            <a:gd name="csY1" fmla="*/ 28 h 380115"/>
                            <a:gd name="csX2" fmla="*/ 10166350 w 10166350"/>
                            <a:gd name="csY2" fmla="*/ 181976 h 380115"/>
                            <a:gd name="csX3" fmla="*/ 10166350 w 10166350"/>
                            <a:gd name="csY3" fmla="*/ 380096 h 380115"/>
                            <a:gd name="csX4" fmla="*/ 6738653 w 10166350"/>
                            <a:gd name="csY4" fmla="*/ 114613 h 380115"/>
                            <a:gd name="csX5" fmla="*/ 0 w 10166350"/>
                            <a:gd name="csY5" fmla="*/ 380096 h 380115"/>
                            <a:gd name="csX6" fmla="*/ 0 w 10166350"/>
                            <a:gd name="csY6" fmla="*/ 181976 h 380115"/>
                            <a:gd name="csX0" fmla="*/ 0 w 10166350"/>
                            <a:gd name="csY0" fmla="*/ 181948 h 380087"/>
                            <a:gd name="csX1" fmla="*/ 7652571 w 10166350"/>
                            <a:gd name="csY1" fmla="*/ 0 h 380087"/>
                            <a:gd name="csX2" fmla="*/ 10166350 w 10166350"/>
                            <a:gd name="csY2" fmla="*/ 181948 h 380087"/>
                            <a:gd name="csX3" fmla="*/ 10166350 w 10166350"/>
                            <a:gd name="csY3" fmla="*/ 380068 h 380087"/>
                            <a:gd name="csX4" fmla="*/ 6738653 w 10166350"/>
                            <a:gd name="csY4" fmla="*/ 114585 h 380087"/>
                            <a:gd name="csX5" fmla="*/ 0 w 10166350"/>
                            <a:gd name="csY5" fmla="*/ 380068 h 380087"/>
                            <a:gd name="csX6" fmla="*/ 0 w 10166350"/>
                            <a:gd name="csY6" fmla="*/ 181948 h 380087"/>
                            <a:gd name="csX0" fmla="*/ 0 w 10166350"/>
                            <a:gd name="csY0" fmla="*/ 181948 h 701072"/>
                            <a:gd name="csX1" fmla="*/ 7652571 w 10166350"/>
                            <a:gd name="csY1" fmla="*/ 0 h 701072"/>
                            <a:gd name="csX2" fmla="*/ 10166350 w 10166350"/>
                            <a:gd name="csY2" fmla="*/ 181948 h 701072"/>
                            <a:gd name="csX3" fmla="*/ 10166350 w 10166350"/>
                            <a:gd name="csY3" fmla="*/ 380068 h 701072"/>
                            <a:gd name="csX4" fmla="*/ 9659983 w 10166350"/>
                            <a:gd name="csY4" fmla="*/ 697028 h 701072"/>
                            <a:gd name="csX5" fmla="*/ 6738653 w 10166350"/>
                            <a:gd name="csY5" fmla="*/ 114585 h 701072"/>
                            <a:gd name="csX6" fmla="*/ 0 w 10166350"/>
                            <a:gd name="csY6" fmla="*/ 380068 h 701072"/>
                            <a:gd name="csX7" fmla="*/ 0 w 10166350"/>
                            <a:gd name="csY7" fmla="*/ 181948 h 701072"/>
                            <a:gd name="csX0" fmla="*/ 0 w 10166350"/>
                            <a:gd name="csY0" fmla="*/ 181948 h 701072"/>
                            <a:gd name="csX1" fmla="*/ 7652571 w 10166350"/>
                            <a:gd name="csY1" fmla="*/ 0 h 701072"/>
                            <a:gd name="csX2" fmla="*/ 10166350 w 10166350"/>
                            <a:gd name="csY2" fmla="*/ 181948 h 701072"/>
                            <a:gd name="csX3" fmla="*/ 10166350 w 10166350"/>
                            <a:gd name="csY3" fmla="*/ 380068 h 701072"/>
                            <a:gd name="csX4" fmla="*/ 9659983 w 10166350"/>
                            <a:gd name="csY4" fmla="*/ 697028 h 701072"/>
                            <a:gd name="csX5" fmla="*/ 6738653 w 10166350"/>
                            <a:gd name="csY5" fmla="*/ 114585 h 701072"/>
                            <a:gd name="csX6" fmla="*/ 49651 w 10166350"/>
                            <a:gd name="csY6" fmla="*/ 546330 h 701072"/>
                            <a:gd name="csX7" fmla="*/ 0 w 10166350"/>
                            <a:gd name="csY7" fmla="*/ 181948 h 701072"/>
                            <a:gd name="csX0" fmla="*/ 0 w 10166350"/>
                            <a:gd name="csY0" fmla="*/ 181948 h 701072"/>
                            <a:gd name="csX1" fmla="*/ 7652571 w 10166350"/>
                            <a:gd name="csY1" fmla="*/ 0 h 701072"/>
                            <a:gd name="csX2" fmla="*/ 10166350 w 10166350"/>
                            <a:gd name="csY2" fmla="*/ 181948 h 701072"/>
                            <a:gd name="csX3" fmla="*/ 10166350 w 10166350"/>
                            <a:gd name="csY3" fmla="*/ 380068 h 701072"/>
                            <a:gd name="csX4" fmla="*/ 9659983 w 10166350"/>
                            <a:gd name="csY4" fmla="*/ 697028 h 701072"/>
                            <a:gd name="csX5" fmla="*/ 6738653 w 10166350"/>
                            <a:gd name="csY5" fmla="*/ 114585 h 701072"/>
                            <a:gd name="csX6" fmla="*/ 0 w 10166350"/>
                            <a:gd name="csY6" fmla="*/ 558205 h 701072"/>
                            <a:gd name="csX7" fmla="*/ 0 w 10166350"/>
                            <a:gd name="csY7" fmla="*/ 181948 h 701072"/>
                            <a:gd name="csX0" fmla="*/ 0 w 10167573"/>
                            <a:gd name="csY0" fmla="*/ 117683 h 701072"/>
                            <a:gd name="csX1" fmla="*/ 7653794 w 10167573"/>
                            <a:gd name="csY1" fmla="*/ 0 h 701072"/>
                            <a:gd name="csX2" fmla="*/ 10167573 w 10167573"/>
                            <a:gd name="csY2" fmla="*/ 181948 h 701072"/>
                            <a:gd name="csX3" fmla="*/ 10167573 w 10167573"/>
                            <a:gd name="csY3" fmla="*/ 380068 h 701072"/>
                            <a:gd name="csX4" fmla="*/ 9661206 w 10167573"/>
                            <a:gd name="csY4" fmla="*/ 697028 h 701072"/>
                            <a:gd name="csX5" fmla="*/ 6739876 w 10167573"/>
                            <a:gd name="csY5" fmla="*/ 114585 h 701072"/>
                            <a:gd name="csX6" fmla="*/ 1223 w 10167573"/>
                            <a:gd name="csY6" fmla="*/ 558205 h 701072"/>
                            <a:gd name="csX7" fmla="*/ 0 w 10167573"/>
                            <a:gd name="csY7" fmla="*/ 117683 h 701072"/>
                            <a:gd name="csX0" fmla="*/ 0 w 10167573"/>
                            <a:gd name="csY0" fmla="*/ 117683 h 701072"/>
                            <a:gd name="csX1" fmla="*/ 7653794 w 10167573"/>
                            <a:gd name="csY1" fmla="*/ 0 h 701072"/>
                            <a:gd name="csX2" fmla="*/ 10167573 w 10167573"/>
                            <a:gd name="csY2" fmla="*/ 181948 h 701072"/>
                            <a:gd name="csX3" fmla="*/ 10167573 w 10167573"/>
                            <a:gd name="csY3" fmla="*/ 380068 h 701072"/>
                            <a:gd name="csX4" fmla="*/ 9661206 w 10167573"/>
                            <a:gd name="csY4" fmla="*/ 697028 h 701072"/>
                            <a:gd name="csX5" fmla="*/ 6739876 w 10167573"/>
                            <a:gd name="csY5" fmla="*/ 114585 h 701072"/>
                            <a:gd name="csX6" fmla="*/ 1223 w 10167573"/>
                            <a:gd name="csY6" fmla="*/ 558205 h 701072"/>
                            <a:gd name="csX7" fmla="*/ 0 w 10167573"/>
                            <a:gd name="csY7" fmla="*/ 117683 h 701072"/>
                          </a:gdLst>
                          <a:ahLst/>
                          <a:cxnLst>
                            <a:cxn ang="0">
                              <a:pos x="csX0" y="csY0"/>
                            </a:cxn>
                            <a:cxn ang="0">
                              <a:pos x="csX1" y="csY1"/>
                            </a:cxn>
                            <a:cxn ang="0">
                              <a:pos x="csX2" y="csY2"/>
                            </a:cxn>
                            <a:cxn ang="0">
                              <a:pos x="csX3" y="csY3"/>
                            </a:cxn>
                            <a:cxn ang="0">
                              <a:pos x="csX4" y="csY4"/>
                            </a:cxn>
                            <a:cxn ang="0">
                              <a:pos x="csX5" y="csY5"/>
                            </a:cxn>
                            <a:cxn ang="0">
                              <a:pos x="csX6" y="csY6"/>
                            </a:cxn>
                            <a:cxn ang="0">
                              <a:pos x="csX7" y="csY7"/>
                            </a:cxn>
                          </a:cxnLst>
                          <a:rect l="l" t="t" r="r" b="b"/>
                          <a:pathLst>
                            <a:path w="10167573" h="701072">
                              <a:moveTo>
                                <a:pt x="0" y="117683"/>
                              </a:moveTo>
                              <a:cubicBezTo>
                                <a:pt x="1786878" y="441028"/>
                                <a:pt x="5819415" y="44853"/>
                                <a:pt x="7653794" y="0"/>
                              </a:cubicBezTo>
                              <a:lnTo>
                                <a:pt x="10167573" y="181948"/>
                              </a:lnTo>
                              <a:lnTo>
                                <a:pt x="10167573" y="380068"/>
                              </a:lnTo>
                              <a:cubicBezTo>
                                <a:pt x="10047553" y="408463"/>
                                <a:pt x="10232489" y="741275"/>
                                <a:pt x="9661206" y="697028"/>
                              </a:cubicBezTo>
                              <a:cubicBezTo>
                                <a:pt x="9089923" y="652781"/>
                                <a:pt x="8314247" y="109960"/>
                                <a:pt x="6739876" y="114585"/>
                              </a:cubicBezTo>
                              <a:lnTo>
                                <a:pt x="1223" y="558205"/>
                              </a:lnTo>
                              <a:cubicBezTo>
                                <a:pt x="815" y="411364"/>
                                <a:pt x="408" y="264524"/>
                                <a:pt x="0" y="117683"/>
                              </a:cubicBezTo>
                              <a:close/>
                            </a:path>
                          </a:pathLst>
                        </a:custGeom>
                        <a:solidFill>
                          <a:schemeClr val="bg2">
                            <a:lumMod val="75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EA5E1EE" id="Obdélník 3" o:spid="_x0000_s1026" style="position:absolute;margin-left:75.2pt;margin-top:310.75pt;width:800.65pt;height:55.2pt;rotation:90;z-index:-25165926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0167573,7010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" path="m,117683c1786878,441028,5819415,44853,7653794,r2513779,181948l10167573,380068v-120020,28395,64916,361207,-506367,316960c9089923,652781,8314247,109960,6739876,114585l1223,558205c815,411364,408,264524,,117683xe" fillcolor="#adadad [2414]" stroked="f" strokeweight="1pt">
                <v:stroke joinstyle="miter"/>
                <v:path arrowok="t" o:connecttype="custom" o:connectlocs="0,117684;7654207,0;10168121,181949;10168121,380070;9661727,697032;6740239,114586;1223,558208;0,117684" o:connectangles="0,0,0,0,0,0,0,0"/>
              </v:shape>
            </w:pict>
          </mc:Fallback>
        </mc:AlternateContent>
      </w:r>
      <w:r w:rsidR="00BD08E0" w:rsidRPr="005C5429">
        <w:rPr>
          <w:b/>
          <w:bCs/>
          <w:noProof/>
          <w:color w:val="1F3864"/>
          <w:sz w:val="56"/>
          <w:szCs w:val="56"/>
          <w:lang w:val="en-GB"/>
        </w:rPr>
        <w:drawing>
          <wp:anchor distT="0" distB="0" distL="114300" distR="114300" simplePos="0" relativeHeight="251677696" behindDoc="0" locked="0" layoutInCell="1" allowOverlap="1" wp14:anchorId="728AD920" wp14:editId="5FEFC8A6">
            <wp:simplePos x="0" y="0"/>
            <wp:positionH relativeFrom="column">
              <wp:posOffset>92718</wp:posOffset>
            </wp:positionH>
            <wp:positionV relativeFrom="paragraph">
              <wp:posOffset>190500</wp:posOffset>
            </wp:positionV>
            <wp:extent cx="5760720" cy="3811270"/>
            <wp:effectExtent l="190500" t="190500" r="182880" b="189230"/>
            <wp:wrapTopAndBottom/>
            <wp:docPr id="324865210"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60720" cy="3811270"/>
                    </a:xfrm>
                    <a:prstGeom prst="rect">
                      <a:avLst/>
                    </a:prstGeom>
                    <a:ln>
                      <a:noFill/>
                    </a:ln>
                    <a:effectLst>
                      <a:outerShdw blurRad="190500" algn="tl" rotWithShape="0">
                        <a:srgbClr val="000000">
                          <a:alpha val="70000"/>
                        </a:srgbClr>
                      </a:outerShdw>
                    </a:effectLst>
                  </pic:spPr>
                </pic:pic>
              </a:graphicData>
            </a:graphic>
          </wp:anchor>
        </w:drawing>
      </w:r>
      <w:r w:rsidR="00921C1B" w:rsidRPr="005C5429">
        <w:rPr>
          <w:rFonts w:ascii="Times New Roman" w:hAnsi="Times New Roman" w:cs="Times New Roman"/>
          <w:b/>
          <w:bCs/>
          <w:color w:val="1F3864"/>
          <w:sz w:val="56"/>
          <w:szCs w:val="56"/>
          <w:lang w:val="en-GB"/>
        </w:rPr>
        <w:t>COVID-19 Vaccination Trends and Global Health Inequality</w:t>
      </w:r>
      <w:r w:rsidR="00921C1B" w:rsidRPr="005C5429">
        <w:rPr>
          <w:b/>
          <w:bCs/>
          <w:color w:val="1F3864"/>
          <w:sz w:val="56"/>
          <w:szCs w:val="56"/>
          <w:lang w:val="en-GB"/>
        </w:rPr>
        <w:t xml:space="preserve"> </w:t>
      </w:r>
      <w:r w:rsidR="00D2667D" w:rsidRPr="005C5429">
        <w:rPr>
          <w:b/>
          <w:bCs/>
          <w:color w:val="1F3864"/>
          <w:sz w:val="56"/>
          <w:szCs w:val="56"/>
          <w:lang w:val="en-GB"/>
        </w:rPr>
        <w:br/>
      </w:r>
      <w:r w:rsidR="00F44913" w:rsidRPr="005C5429">
        <w:rPr>
          <w:rFonts w:ascii="Cambria" w:hAnsi="Cambria"/>
          <w:b/>
          <w:bCs/>
          <w:color w:val="1F3864"/>
          <w:sz w:val="28"/>
          <w:szCs w:val="28"/>
          <w:lang w:val="en-GB"/>
        </w:rPr>
        <w:t>How do vaccination trends differ across countries, and what do they reveal about global health inequality?</w:t>
      </w:r>
      <w:r w:rsidR="00381FCF" w:rsidRPr="005C5429">
        <w:rPr>
          <w:b/>
          <w:bCs/>
          <w:color w:val="1F3864"/>
          <w:sz w:val="28"/>
          <w:szCs w:val="28"/>
          <w:lang w:val="en-GB"/>
        </w:rPr>
        <w:br/>
      </w:r>
    </w:p>
    <w:p w14:paraId="37AB27A1" w14:textId="614BC749" w:rsidR="00F44913" w:rsidRPr="005C5429" w:rsidRDefault="00F44913" w:rsidP="00BD08E0">
      <w:pPr>
        <w:spacing w:before="100" w:after="100"/>
        <w:ind w:right="-142"/>
        <w:jc w:val="right"/>
        <w:rPr>
          <w:rFonts w:ascii="Cambria" w:hAnsi="Cambria"/>
          <w:b/>
          <w:bCs/>
          <w:color w:val="FF8E00"/>
          <w:sz w:val="24"/>
          <w:szCs w:val="24"/>
          <w:lang w:val="en-GB"/>
        </w:rPr>
      </w:pPr>
      <w:r w:rsidRPr="005C5429">
        <w:rPr>
          <w:rFonts w:ascii="Cambria" w:hAnsi="Cambria"/>
          <w:b/>
          <w:bCs/>
          <w:color w:val="FF8E00"/>
          <w:sz w:val="24"/>
          <w:szCs w:val="24"/>
          <w:lang w:val="en-GB"/>
        </w:rPr>
        <w:t xml:space="preserve">Eva Štětinová </w:t>
      </w:r>
      <w:r w:rsidR="007355D4" w:rsidRPr="005C5429">
        <w:rPr>
          <w:rFonts w:ascii="Cambria" w:hAnsi="Cambria"/>
          <w:b/>
          <w:bCs/>
          <w:color w:val="FF8E00"/>
          <w:sz w:val="24"/>
          <w:szCs w:val="24"/>
          <w:lang w:val="en-GB"/>
        </w:rPr>
        <w:br/>
      </w:r>
      <w:r w:rsidRPr="005C5429">
        <w:rPr>
          <w:rFonts w:ascii="Cambria" w:hAnsi="Cambria"/>
          <w:b/>
          <w:bCs/>
          <w:color w:val="FF8E00"/>
          <w:sz w:val="24"/>
          <w:szCs w:val="24"/>
          <w:lang w:val="en-GB"/>
        </w:rPr>
        <w:t xml:space="preserve">Ayushman </w:t>
      </w:r>
      <w:proofErr w:type="spellStart"/>
      <w:r w:rsidRPr="005C5429">
        <w:rPr>
          <w:rFonts w:ascii="Cambria" w:hAnsi="Cambria"/>
          <w:b/>
          <w:bCs/>
          <w:color w:val="FF8E00"/>
          <w:sz w:val="24"/>
          <w:szCs w:val="24"/>
          <w:lang w:val="en-GB"/>
        </w:rPr>
        <w:t>Mandhotra</w:t>
      </w:r>
      <w:proofErr w:type="spellEnd"/>
      <w:r w:rsidR="00381FCF" w:rsidRPr="005C5429">
        <w:rPr>
          <w:rFonts w:ascii="Cambria" w:hAnsi="Cambria"/>
          <w:b/>
          <w:bCs/>
          <w:color w:val="FF8E00"/>
          <w:sz w:val="24"/>
          <w:szCs w:val="24"/>
          <w:lang w:val="en-GB"/>
        </w:rPr>
        <w:br/>
      </w:r>
    </w:p>
    <w:p w14:paraId="0305359B" w14:textId="3A85632E" w:rsidR="00C56AB5" w:rsidRPr="005C5429" w:rsidRDefault="00C56AB5" w:rsidP="00BD08E0">
      <w:pPr>
        <w:spacing w:before="100" w:after="100"/>
        <w:ind w:right="141"/>
        <w:jc w:val="right"/>
        <w:rPr>
          <w:rFonts w:ascii="Cambria" w:hAnsi="Cambria"/>
          <w:b/>
          <w:bCs/>
          <w:color w:val="FF8E00"/>
          <w:sz w:val="24"/>
          <w:szCs w:val="24"/>
          <w:lang w:val="en-GB"/>
        </w:rPr>
      </w:pPr>
      <w:r w:rsidRPr="005C5429">
        <w:rPr>
          <w:rFonts w:ascii="Cambria" w:hAnsi="Cambria"/>
          <w:b/>
          <w:bCs/>
          <w:color w:val="FF8E00"/>
          <w:sz w:val="24"/>
          <w:szCs w:val="24"/>
          <w:lang w:val="en-GB"/>
        </w:rPr>
        <w:t>Data Visualization</w:t>
      </w:r>
      <w:r w:rsidR="00D2667D" w:rsidRPr="005C5429">
        <w:rPr>
          <w:rFonts w:ascii="Cambria" w:hAnsi="Cambria"/>
          <w:b/>
          <w:bCs/>
          <w:color w:val="FF8E00"/>
          <w:sz w:val="24"/>
          <w:szCs w:val="24"/>
          <w:lang w:val="en-GB"/>
        </w:rPr>
        <w:br/>
      </w:r>
      <w:r w:rsidRPr="005C5429">
        <w:rPr>
          <w:rFonts w:ascii="Cambria" w:hAnsi="Cambria"/>
          <w:b/>
          <w:bCs/>
          <w:color w:val="FF8E00"/>
          <w:sz w:val="24"/>
          <w:szCs w:val="24"/>
          <w:lang w:val="en-GB"/>
        </w:rPr>
        <w:t>(Master Artificial Intelligence and Data Science)</w:t>
      </w:r>
    </w:p>
    <w:p w14:paraId="1F26E751" w14:textId="77777777" w:rsidR="007355D4" w:rsidRPr="005C5429" w:rsidRDefault="007355D4" w:rsidP="00BD08E0">
      <w:pPr>
        <w:spacing w:before="100" w:after="100"/>
        <w:ind w:right="-142"/>
        <w:jc w:val="right"/>
        <w:rPr>
          <w:rFonts w:ascii="Cambria" w:hAnsi="Cambria"/>
          <w:b/>
          <w:bCs/>
          <w:color w:val="FF8E00"/>
          <w:sz w:val="24"/>
          <w:szCs w:val="24"/>
          <w:lang w:val="en-GB"/>
        </w:rPr>
      </w:pPr>
    </w:p>
    <w:p w14:paraId="3C1C2ED8" w14:textId="01A6A41A" w:rsidR="001414B0" w:rsidRPr="005C5429" w:rsidRDefault="007355D4" w:rsidP="00BD08E0">
      <w:pPr>
        <w:spacing w:before="100" w:after="100"/>
        <w:ind w:right="425"/>
        <w:jc w:val="right"/>
        <w:rPr>
          <w:rFonts w:ascii="Cambria" w:hAnsi="Cambria"/>
          <w:b/>
          <w:bCs/>
          <w:color w:val="FF8E00"/>
          <w:sz w:val="24"/>
          <w:szCs w:val="24"/>
          <w:lang w:val="en-GB"/>
        </w:rPr>
      </w:pPr>
      <w:r w:rsidRPr="005C5429">
        <w:rPr>
          <w:rFonts w:ascii="Cambria" w:hAnsi="Cambria"/>
          <w:b/>
          <w:bCs/>
          <w:color w:val="FF8E00"/>
          <w:sz w:val="24"/>
          <w:szCs w:val="24"/>
          <w:lang w:val="en-GB"/>
        </w:rPr>
        <w:t>July 2026</w:t>
      </w:r>
      <w:r w:rsidR="0059064F" w:rsidRPr="005C5429">
        <w:rPr>
          <w:rFonts w:ascii="Cambria" w:hAnsi="Cambria"/>
          <w:b/>
          <w:bCs/>
          <w:color w:val="FF8E00"/>
          <w:sz w:val="24"/>
          <w:szCs w:val="24"/>
          <w:lang w:val="en-GB"/>
        </w:rPr>
        <w:br/>
      </w:r>
      <w:r w:rsidR="00F44913" w:rsidRPr="005C5429">
        <w:rPr>
          <w:color w:val="555555"/>
          <w:lang w:val="en-GB"/>
        </w:rPr>
        <w:t xml:space="preserve">Reporting period: </w:t>
      </w:r>
      <w:r w:rsidR="00951C2B" w:rsidRPr="005C5429">
        <w:rPr>
          <w:color w:val="555555"/>
          <w:lang w:val="en-GB"/>
        </w:rPr>
        <w:t>December</w:t>
      </w:r>
      <w:r w:rsidR="0059095D" w:rsidRPr="005C5429">
        <w:rPr>
          <w:color w:val="555555"/>
          <w:lang w:val="en-GB"/>
        </w:rPr>
        <w:t xml:space="preserve"> 2020</w:t>
      </w:r>
      <w:r w:rsidR="00F44913" w:rsidRPr="005C5429">
        <w:rPr>
          <w:color w:val="555555"/>
          <w:lang w:val="en-GB"/>
        </w:rPr>
        <w:t xml:space="preserve"> – September 2021</w:t>
      </w:r>
    </w:p>
    <w:p w14:paraId="4AA390BF" w14:textId="66124562" w:rsidR="003560BF" w:rsidRPr="005C5429" w:rsidRDefault="003560BF" w:rsidP="007B1537">
      <w:pPr>
        <w:spacing w:before="100" w:after="100"/>
        <w:rPr>
          <w:lang w:val="en-GB"/>
        </w:rPr>
      </w:pPr>
    </w:p>
    <w:p w14:paraId="20B786E6" w14:textId="1170EA12" w:rsidR="00F44913" w:rsidRPr="005C5429" w:rsidRDefault="00F44913" w:rsidP="00F44913">
      <w:pPr>
        <w:pStyle w:val="Nadpis1"/>
        <w:pBdr>
          <w:bottom w:val="single" w:sz="8" w:space="4" w:color="FF8E00"/>
        </w:pBdr>
        <w:rPr>
          <w:lang w:val="en-GB"/>
        </w:rPr>
      </w:pPr>
      <w:r w:rsidRPr="005C5429">
        <w:rPr>
          <w:lang w:val="en-GB"/>
        </w:rPr>
        <w:br w:type="column"/>
      </w:r>
      <w:bookmarkStart w:id="0" w:name="_Toc234088096"/>
      <w:bookmarkStart w:id="1" w:name="_Toc234693083"/>
      <w:r w:rsidRPr="005C5429">
        <w:rPr>
          <w:lang w:val="en-GB"/>
        </w:rPr>
        <w:lastRenderedPageBreak/>
        <w:t>Overview</w:t>
      </w:r>
      <w:bookmarkEnd w:id="0"/>
      <w:bookmarkEnd w:id="1"/>
    </w:p>
    <w:p w14:paraId="45BC40E8" w14:textId="77777777" w:rsidR="006776AE" w:rsidRPr="005C5429" w:rsidRDefault="008E21F9" w:rsidP="004D2A4B">
      <w:pPr>
        <w:spacing w:line="360" w:lineRule="auto"/>
        <w:ind w:firstLine="200"/>
        <w:rPr>
          <w:lang w:val="en-GB"/>
        </w:rPr>
      </w:pPr>
      <w:r w:rsidRPr="005C5429">
        <w:rPr>
          <w:lang w:val="en-GB"/>
        </w:rPr>
        <w:t xml:space="preserve">This report </w:t>
      </w:r>
      <w:r w:rsidR="003B0534" w:rsidRPr="005C5429">
        <w:rPr>
          <w:lang w:val="en-GB"/>
        </w:rPr>
        <w:t>analyses</w:t>
      </w:r>
      <w:r w:rsidRPr="005C5429">
        <w:rPr>
          <w:lang w:val="en-GB"/>
        </w:rPr>
        <w:t xml:space="preserve"> global COVID-19 vaccination trends using the Our World in Data COVID-19 vaccination dataset (Mathieu et al., 2021), covering 222 countries and territories between December 2, 2020, and August 28, 2021. Using descriptive statistics, principal component analysis, k-means clustering, and ARIMA time series forecasting, the analysis quantifies differences in vaccination coverage, rollout speed, and data-reporting completeness across countries and World Bank income groups. </w:t>
      </w:r>
    </w:p>
    <w:p w14:paraId="760C9D33" w14:textId="3022E51C" w:rsidR="00F44913" w:rsidRPr="005C5429" w:rsidRDefault="008E21F9" w:rsidP="004D2A4B">
      <w:pPr>
        <w:spacing w:line="360" w:lineRule="auto"/>
        <w:ind w:firstLine="200"/>
        <w:rPr>
          <w:lang w:val="en-GB"/>
        </w:rPr>
      </w:pPr>
      <w:r w:rsidRPr="005C5429">
        <w:rPr>
          <w:lang w:val="en-GB"/>
        </w:rPr>
        <w:t xml:space="preserve">Only 28.2% of countries reached 50% full vaccination coverage during the observation period, and coverage differed by more than 50 percentage points between the highest- and lowest-income groups. A forecasting comparison across Spain, India, and Bangladesh further shows that the reliability of short-term vaccination forecasts is itself unequally distributed once appropriately scaled for each country's own coverage level </w:t>
      </w:r>
      <w:r w:rsidR="00F83DB2" w:rsidRPr="005C5429">
        <w:rPr>
          <w:lang w:val="en-GB"/>
        </w:rPr>
        <w:t>and</w:t>
      </w:r>
      <w:r w:rsidRPr="005C5429">
        <w:rPr>
          <w:lang w:val="en-GB"/>
        </w:rPr>
        <w:t xml:space="preserve"> extending the inequality finding beyond outcomes and into the data infrastructure used to monitor them.</w:t>
      </w:r>
    </w:p>
    <w:p w14:paraId="5CF7B73E" w14:textId="3345ADD7" w:rsidR="00F44913" w:rsidRPr="005C5429" w:rsidRDefault="00F44913" w:rsidP="00F44913">
      <w:pPr>
        <w:pBdr>
          <w:left w:val="single" w:sz="12" w:space="8" w:color="FF8E00"/>
        </w:pBdr>
        <w:spacing w:before="160" w:after="160"/>
        <w:ind w:left="200"/>
        <w:rPr>
          <w:lang w:val="en-GB"/>
        </w:rPr>
      </w:pPr>
      <w:r w:rsidRPr="005C5429">
        <w:rPr>
          <w:b/>
          <w:bCs/>
          <w:color w:val="CC5500"/>
          <w:sz w:val="20"/>
          <w:szCs w:val="20"/>
          <w:lang w:val="en-GB"/>
        </w:rPr>
        <w:t xml:space="preserve">Keywords: </w:t>
      </w:r>
      <w:r w:rsidR="006C3326" w:rsidRPr="005C5429">
        <w:rPr>
          <w:i/>
          <w:iCs/>
          <w:color w:val="555555"/>
          <w:sz w:val="20"/>
          <w:szCs w:val="20"/>
          <w:lang w:val="en-GB"/>
        </w:rPr>
        <w:t>COVID-19, vaccination, global health inequality, principal component analysis, k-means clustering, ARIMA forecasting</w:t>
      </w:r>
    </w:p>
    <w:p w14:paraId="263DC055" w14:textId="77777777" w:rsidR="00F44913" w:rsidRPr="005C5429" w:rsidRDefault="00F44913" w:rsidP="00F44913">
      <w:pPr>
        <w:spacing w:before="200"/>
        <w:rPr>
          <w:lang w:val="en-GB"/>
        </w:rPr>
      </w:pPr>
    </w:p>
    <w:p w14:paraId="2A084B8E" w14:textId="77777777" w:rsidR="00F44913" w:rsidRPr="005C5429" w:rsidRDefault="005D47EC" w:rsidP="00F44913">
      <w:pPr>
        <w:pStyle w:val="Nadpis1"/>
        <w:pBdr>
          <w:bottom w:val="single" w:sz="8" w:space="4" w:color="FF8E00"/>
        </w:pBdr>
        <w:rPr>
          <w:lang w:val="en-GB"/>
        </w:rPr>
      </w:pPr>
      <w:bookmarkStart w:id="2" w:name="_Toc234088097"/>
      <w:r w:rsidRPr="005C5429">
        <w:rPr>
          <w:lang w:val="en-GB"/>
        </w:rPr>
        <w:br w:type="column"/>
      </w:r>
      <w:bookmarkStart w:id="3" w:name="_Toc234693084"/>
      <w:r w:rsidR="00F44913" w:rsidRPr="005C5429">
        <w:rPr>
          <w:lang w:val="en-GB"/>
        </w:rPr>
        <w:lastRenderedPageBreak/>
        <w:t>Table of Contents</w:t>
      </w:r>
      <w:bookmarkEnd w:id="2"/>
      <w:bookmarkEnd w:id="3"/>
    </w:p>
    <w:sdt>
      <w:sdtPr>
        <w:rPr>
          <w:lang w:val="en-GB"/>
        </w:rPr>
        <w:id w:val="1826544277"/>
        <w:docPartObj>
          <w:docPartGallery w:val="Table of Contents"/>
          <w:docPartUnique/>
        </w:docPartObj>
      </w:sdtPr>
      <w:sdtEndPr>
        <w:rPr>
          <w:b/>
          <w:bCs/>
        </w:rPr>
      </w:sdtEndPr>
      <w:sdtContent>
        <w:p w14:paraId="0EEEB4B8" w14:textId="00214F2F" w:rsidR="001A6DA2" w:rsidRPr="005C5429" w:rsidRDefault="007B1537" w:rsidP="007B1537">
          <w:pPr>
            <w:rPr>
              <w:lang w:val="en-GB"/>
            </w:rPr>
          </w:pPr>
          <w:r w:rsidRPr="005C5429">
            <w:rPr>
              <w:lang w:val="en-GB"/>
            </w:rPr>
            <w:tab/>
          </w:r>
          <w:r w:rsidRPr="005C5429">
            <w:rPr>
              <w:lang w:val="en-GB"/>
            </w:rPr>
            <w:tab/>
          </w:r>
        </w:p>
        <w:p w14:paraId="7932A336" w14:textId="1ABA4B6B" w:rsidR="004F2343" w:rsidRDefault="001A6DA2">
          <w:pPr>
            <w:pStyle w:val="Obsah1"/>
            <w:rPr>
              <w:rFonts w:asciiTheme="minorHAnsi" w:eastAsiaTheme="minorEastAsia" w:hAnsiTheme="minorHAnsi" w:cstheme="minorBidi"/>
              <w:kern w:val="2"/>
              <w:sz w:val="24"/>
              <w:szCs w:val="24"/>
              <w:lang w:val="cs-CZ"/>
              <w14:ligatures w14:val="standardContextual"/>
            </w:rPr>
          </w:pPr>
          <w:r w:rsidRPr="005C5429">
            <w:fldChar w:fldCharType="begin"/>
          </w:r>
          <w:r w:rsidRPr="005C5429">
            <w:instrText xml:space="preserve"> TOC \o "1-3" \h \z \u </w:instrText>
          </w:r>
          <w:r w:rsidRPr="005C5429">
            <w:fldChar w:fldCharType="separate"/>
          </w:r>
          <w:hyperlink w:anchor="_Toc234693083" w:history="1">
            <w:r w:rsidR="004F2343" w:rsidRPr="00C83262">
              <w:rPr>
                <w:rStyle w:val="Hypertextovodkaz"/>
              </w:rPr>
              <w:t>Overview</w:t>
            </w:r>
            <w:r w:rsidR="004F2343">
              <w:rPr>
                <w:webHidden/>
              </w:rPr>
              <w:tab/>
            </w:r>
            <w:r w:rsidR="004F2343">
              <w:rPr>
                <w:webHidden/>
              </w:rPr>
              <w:fldChar w:fldCharType="begin"/>
            </w:r>
            <w:r w:rsidR="004F2343">
              <w:rPr>
                <w:webHidden/>
              </w:rPr>
              <w:instrText xml:space="preserve"> PAGEREF _Toc234693083 \h </w:instrText>
            </w:r>
            <w:r w:rsidR="004F2343">
              <w:rPr>
                <w:webHidden/>
              </w:rPr>
            </w:r>
            <w:r w:rsidR="004F2343">
              <w:rPr>
                <w:webHidden/>
              </w:rPr>
              <w:fldChar w:fldCharType="separate"/>
            </w:r>
            <w:r w:rsidR="004F2343">
              <w:rPr>
                <w:webHidden/>
              </w:rPr>
              <w:t>2</w:t>
            </w:r>
            <w:r w:rsidR="004F2343">
              <w:rPr>
                <w:webHidden/>
              </w:rPr>
              <w:fldChar w:fldCharType="end"/>
            </w:r>
          </w:hyperlink>
        </w:p>
        <w:p w14:paraId="26AC599C" w14:textId="32D15A1C" w:rsidR="004F2343" w:rsidRDefault="004F2343">
          <w:pPr>
            <w:pStyle w:val="Obsah1"/>
            <w:rPr>
              <w:rFonts w:asciiTheme="minorHAnsi" w:eastAsiaTheme="minorEastAsia" w:hAnsiTheme="minorHAnsi" w:cstheme="minorBidi"/>
              <w:kern w:val="2"/>
              <w:sz w:val="24"/>
              <w:szCs w:val="24"/>
              <w:lang w:val="cs-CZ"/>
              <w14:ligatures w14:val="standardContextual"/>
            </w:rPr>
          </w:pPr>
          <w:hyperlink w:anchor="_Toc234693084" w:history="1">
            <w:r w:rsidRPr="00C83262">
              <w:rPr>
                <w:rStyle w:val="Hypertextovodkaz"/>
              </w:rPr>
              <w:t>Table of Contents</w:t>
            </w:r>
            <w:r>
              <w:rPr>
                <w:webHidden/>
              </w:rPr>
              <w:tab/>
            </w:r>
            <w:r>
              <w:rPr>
                <w:webHidden/>
              </w:rPr>
              <w:fldChar w:fldCharType="begin"/>
            </w:r>
            <w:r>
              <w:rPr>
                <w:webHidden/>
              </w:rPr>
              <w:instrText xml:space="preserve"> PAGEREF _Toc234693084 \h </w:instrText>
            </w:r>
            <w:r>
              <w:rPr>
                <w:webHidden/>
              </w:rPr>
            </w:r>
            <w:r>
              <w:rPr>
                <w:webHidden/>
              </w:rPr>
              <w:fldChar w:fldCharType="separate"/>
            </w:r>
            <w:r>
              <w:rPr>
                <w:webHidden/>
              </w:rPr>
              <w:t>3</w:t>
            </w:r>
            <w:r>
              <w:rPr>
                <w:webHidden/>
              </w:rPr>
              <w:fldChar w:fldCharType="end"/>
            </w:r>
          </w:hyperlink>
        </w:p>
        <w:p w14:paraId="3CF68D6A" w14:textId="115FE737" w:rsidR="004F2343" w:rsidRDefault="004F2343">
          <w:pPr>
            <w:pStyle w:val="Obsah1"/>
            <w:rPr>
              <w:rFonts w:asciiTheme="minorHAnsi" w:eastAsiaTheme="minorEastAsia" w:hAnsiTheme="minorHAnsi" w:cstheme="minorBidi"/>
              <w:kern w:val="2"/>
              <w:sz w:val="24"/>
              <w:szCs w:val="24"/>
              <w:lang w:val="cs-CZ"/>
              <w14:ligatures w14:val="standardContextual"/>
            </w:rPr>
          </w:pPr>
          <w:hyperlink w:anchor="_Toc234693085" w:history="1">
            <w:r w:rsidRPr="00C83262">
              <w:rPr>
                <w:rStyle w:val="Hypertextovodkaz"/>
              </w:rPr>
              <w:t>1. Introduction</w:t>
            </w:r>
            <w:r>
              <w:rPr>
                <w:webHidden/>
              </w:rPr>
              <w:tab/>
            </w:r>
            <w:r>
              <w:rPr>
                <w:webHidden/>
              </w:rPr>
              <w:fldChar w:fldCharType="begin"/>
            </w:r>
            <w:r>
              <w:rPr>
                <w:webHidden/>
              </w:rPr>
              <w:instrText xml:space="preserve"> PAGEREF _Toc234693085 \h </w:instrText>
            </w:r>
            <w:r>
              <w:rPr>
                <w:webHidden/>
              </w:rPr>
            </w:r>
            <w:r>
              <w:rPr>
                <w:webHidden/>
              </w:rPr>
              <w:fldChar w:fldCharType="separate"/>
            </w:r>
            <w:r>
              <w:rPr>
                <w:webHidden/>
              </w:rPr>
              <w:t>5</w:t>
            </w:r>
            <w:r>
              <w:rPr>
                <w:webHidden/>
              </w:rPr>
              <w:fldChar w:fldCharType="end"/>
            </w:r>
          </w:hyperlink>
        </w:p>
        <w:p w14:paraId="599BE9E2" w14:textId="5BE95D0C" w:rsidR="004F2343" w:rsidRDefault="004F2343">
          <w:pPr>
            <w:pStyle w:val="Obsah1"/>
            <w:rPr>
              <w:rFonts w:asciiTheme="minorHAnsi" w:eastAsiaTheme="minorEastAsia" w:hAnsiTheme="minorHAnsi" w:cstheme="minorBidi"/>
              <w:kern w:val="2"/>
              <w:sz w:val="24"/>
              <w:szCs w:val="24"/>
              <w:lang w:val="cs-CZ"/>
              <w14:ligatures w14:val="standardContextual"/>
            </w:rPr>
          </w:pPr>
          <w:hyperlink w:anchor="_Toc234693086" w:history="1">
            <w:r w:rsidRPr="00C83262">
              <w:rPr>
                <w:rStyle w:val="Hypertextovodkaz"/>
              </w:rPr>
              <w:t>2. Problem Definition</w:t>
            </w:r>
            <w:r>
              <w:rPr>
                <w:webHidden/>
              </w:rPr>
              <w:tab/>
            </w:r>
            <w:r>
              <w:rPr>
                <w:webHidden/>
              </w:rPr>
              <w:fldChar w:fldCharType="begin"/>
            </w:r>
            <w:r>
              <w:rPr>
                <w:webHidden/>
              </w:rPr>
              <w:instrText xml:space="preserve"> PAGEREF _Toc234693086 \h </w:instrText>
            </w:r>
            <w:r>
              <w:rPr>
                <w:webHidden/>
              </w:rPr>
            </w:r>
            <w:r>
              <w:rPr>
                <w:webHidden/>
              </w:rPr>
              <w:fldChar w:fldCharType="separate"/>
            </w:r>
            <w:r>
              <w:rPr>
                <w:webHidden/>
              </w:rPr>
              <w:t>6</w:t>
            </w:r>
            <w:r>
              <w:rPr>
                <w:webHidden/>
              </w:rPr>
              <w:fldChar w:fldCharType="end"/>
            </w:r>
          </w:hyperlink>
        </w:p>
        <w:p w14:paraId="4D685CCA" w14:textId="77B0925D" w:rsidR="004F2343" w:rsidRDefault="004F2343">
          <w:pPr>
            <w:pStyle w:val="Obsah2"/>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34693087" w:history="1">
            <w:r w:rsidRPr="00C83262">
              <w:rPr>
                <w:rStyle w:val="Hypertextovodkaz"/>
                <w:noProof/>
                <w:lang w:val="en-GB"/>
              </w:rPr>
              <w:t>2.1 State of the Art</w:t>
            </w:r>
            <w:r>
              <w:rPr>
                <w:noProof/>
                <w:webHidden/>
              </w:rPr>
              <w:tab/>
            </w:r>
            <w:r>
              <w:rPr>
                <w:noProof/>
                <w:webHidden/>
              </w:rPr>
              <w:fldChar w:fldCharType="begin"/>
            </w:r>
            <w:r>
              <w:rPr>
                <w:noProof/>
                <w:webHidden/>
              </w:rPr>
              <w:instrText xml:space="preserve"> PAGEREF _Toc234693087 \h </w:instrText>
            </w:r>
            <w:r>
              <w:rPr>
                <w:noProof/>
                <w:webHidden/>
              </w:rPr>
            </w:r>
            <w:r>
              <w:rPr>
                <w:noProof/>
                <w:webHidden/>
              </w:rPr>
              <w:fldChar w:fldCharType="separate"/>
            </w:r>
            <w:r>
              <w:rPr>
                <w:noProof/>
                <w:webHidden/>
              </w:rPr>
              <w:t>6</w:t>
            </w:r>
            <w:r>
              <w:rPr>
                <w:noProof/>
                <w:webHidden/>
              </w:rPr>
              <w:fldChar w:fldCharType="end"/>
            </w:r>
          </w:hyperlink>
        </w:p>
        <w:p w14:paraId="37BC9B7B" w14:textId="33AC15A5" w:rsidR="004F2343" w:rsidRDefault="004F2343">
          <w:pPr>
            <w:pStyle w:val="Obsah2"/>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34693088" w:history="1">
            <w:r w:rsidRPr="00C83262">
              <w:rPr>
                <w:rStyle w:val="Hypertextovodkaz"/>
                <w:noProof/>
                <w:lang w:val="en-GB"/>
              </w:rPr>
              <w:t>2.2 Problem Statement</w:t>
            </w:r>
            <w:r>
              <w:rPr>
                <w:noProof/>
                <w:webHidden/>
              </w:rPr>
              <w:tab/>
            </w:r>
            <w:r>
              <w:rPr>
                <w:noProof/>
                <w:webHidden/>
              </w:rPr>
              <w:fldChar w:fldCharType="begin"/>
            </w:r>
            <w:r>
              <w:rPr>
                <w:noProof/>
                <w:webHidden/>
              </w:rPr>
              <w:instrText xml:space="preserve"> PAGEREF _Toc234693088 \h </w:instrText>
            </w:r>
            <w:r>
              <w:rPr>
                <w:noProof/>
                <w:webHidden/>
              </w:rPr>
            </w:r>
            <w:r>
              <w:rPr>
                <w:noProof/>
                <w:webHidden/>
              </w:rPr>
              <w:fldChar w:fldCharType="separate"/>
            </w:r>
            <w:r>
              <w:rPr>
                <w:noProof/>
                <w:webHidden/>
              </w:rPr>
              <w:t>6</w:t>
            </w:r>
            <w:r>
              <w:rPr>
                <w:noProof/>
                <w:webHidden/>
              </w:rPr>
              <w:fldChar w:fldCharType="end"/>
            </w:r>
          </w:hyperlink>
        </w:p>
        <w:p w14:paraId="59A59F50" w14:textId="53A29571" w:rsidR="004F2343" w:rsidRDefault="004F2343">
          <w:pPr>
            <w:pStyle w:val="Obsah1"/>
            <w:rPr>
              <w:rFonts w:asciiTheme="minorHAnsi" w:eastAsiaTheme="minorEastAsia" w:hAnsiTheme="minorHAnsi" w:cstheme="minorBidi"/>
              <w:kern w:val="2"/>
              <w:sz w:val="24"/>
              <w:szCs w:val="24"/>
              <w:lang w:val="cs-CZ"/>
              <w14:ligatures w14:val="standardContextual"/>
            </w:rPr>
          </w:pPr>
          <w:hyperlink w:anchor="_Toc234693089" w:history="1">
            <w:r w:rsidRPr="00C83262">
              <w:rPr>
                <w:rStyle w:val="Hypertextovodkaz"/>
              </w:rPr>
              <w:t>3. Objectives</w:t>
            </w:r>
            <w:r>
              <w:rPr>
                <w:webHidden/>
              </w:rPr>
              <w:tab/>
            </w:r>
            <w:r>
              <w:rPr>
                <w:webHidden/>
              </w:rPr>
              <w:fldChar w:fldCharType="begin"/>
            </w:r>
            <w:r>
              <w:rPr>
                <w:webHidden/>
              </w:rPr>
              <w:instrText xml:space="preserve"> PAGEREF _Toc234693089 \h </w:instrText>
            </w:r>
            <w:r>
              <w:rPr>
                <w:webHidden/>
              </w:rPr>
            </w:r>
            <w:r>
              <w:rPr>
                <w:webHidden/>
              </w:rPr>
              <w:fldChar w:fldCharType="separate"/>
            </w:r>
            <w:r>
              <w:rPr>
                <w:webHidden/>
              </w:rPr>
              <w:t>7</w:t>
            </w:r>
            <w:r>
              <w:rPr>
                <w:webHidden/>
              </w:rPr>
              <w:fldChar w:fldCharType="end"/>
            </w:r>
          </w:hyperlink>
        </w:p>
        <w:p w14:paraId="41DDB3E7" w14:textId="3DC3283A" w:rsidR="004F2343" w:rsidRDefault="004F2343">
          <w:pPr>
            <w:pStyle w:val="Obsah1"/>
            <w:rPr>
              <w:rFonts w:asciiTheme="minorHAnsi" w:eastAsiaTheme="minorEastAsia" w:hAnsiTheme="minorHAnsi" w:cstheme="minorBidi"/>
              <w:kern w:val="2"/>
              <w:sz w:val="24"/>
              <w:szCs w:val="24"/>
              <w:lang w:val="cs-CZ"/>
              <w14:ligatures w14:val="standardContextual"/>
            </w:rPr>
          </w:pPr>
          <w:hyperlink w:anchor="_Toc234693090" w:history="1">
            <w:r w:rsidRPr="00C83262">
              <w:rPr>
                <w:rStyle w:val="Hypertextovodkaz"/>
              </w:rPr>
              <w:t>4. Methods</w:t>
            </w:r>
            <w:r>
              <w:rPr>
                <w:webHidden/>
              </w:rPr>
              <w:tab/>
            </w:r>
            <w:r>
              <w:rPr>
                <w:webHidden/>
              </w:rPr>
              <w:fldChar w:fldCharType="begin"/>
            </w:r>
            <w:r>
              <w:rPr>
                <w:webHidden/>
              </w:rPr>
              <w:instrText xml:space="preserve"> PAGEREF _Toc234693090 \h </w:instrText>
            </w:r>
            <w:r>
              <w:rPr>
                <w:webHidden/>
              </w:rPr>
            </w:r>
            <w:r>
              <w:rPr>
                <w:webHidden/>
              </w:rPr>
              <w:fldChar w:fldCharType="separate"/>
            </w:r>
            <w:r>
              <w:rPr>
                <w:webHidden/>
              </w:rPr>
              <w:t>8</w:t>
            </w:r>
            <w:r>
              <w:rPr>
                <w:webHidden/>
              </w:rPr>
              <w:fldChar w:fldCharType="end"/>
            </w:r>
          </w:hyperlink>
        </w:p>
        <w:p w14:paraId="714B77B6" w14:textId="0CCEA283" w:rsidR="004F2343" w:rsidRDefault="004F2343">
          <w:pPr>
            <w:pStyle w:val="Obsah2"/>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34693091" w:history="1">
            <w:r w:rsidRPr="00C83262">
              <w:rPr>
                <w:rStyle w:val="Hypertextovodkaz"/>
                <w:noProof/>
                <w:lang w:val="en-GB"/>
              </w:rPr>
              <w:t>4.1 Dataset</w:t>
            </w:r>
            <w:r>
              <w:rPr>
                <w:noProof/>
                <w:webHidden/>
              </w:rPr>
              <w:tab/>
            </w:r>
            <w:r>
              <w:rPr>
                <w:noProof/>
                <w:webHidden/>
              </w:rPr>
              <w:fldChar w:fldCharType="begin"/>
            </w:r>
            <w:r>
              <w:rPr>
                <w:noProof/>
                <w:webHidden/>
              </w:rPr>
              <w:instrText xml:space="preserve"> PAGEREF _Toc234693091 \h </w:instrText>
            </w:r>
            <w:r>
              <w:rPr>
                <w:noProof/>
                <w:webHidden/>
              </w:rPr>
            </w:r>
            <w:r>
              <w:rPr>
                <w:noProof/>
                <w:webHidden/>
              </w:rPr>
              <w:fldChar w:fldCharType="separate"/>
            </w:r>
            <w:r>
              <w:rPr>
                <w:noProof/>
                <w:webHidden/>
              </w:rPr>
              <w:t>8</w:t>
            </w:r>
            <w:r>
              <w:rPr>
                <w:noProof/>
                <w:webHidden/>
              </w:rPr>
              <w:fldChar w:fldCharType="end"/>
            </w:r>
          </w:hyperlink>
        </w:p>
        <w:p w14:paraId="773C764D" w14:textId="3E996CF1" w:rsidR="004F2343" w:rsidRDefault="004F2343">
          <w:pPr>
            <w:pStyle w:val="Obsah2"/>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34693092" w:history="1">
            <w:r w:rsidRPr="00C83262">
              <w:rPr>
                <w:rStyle w:val="Hypertextovodkaz"/>
                <w:noProof/>
                <w:lang w:val="en-GB"/>
              </w:rPr>
              <w:t>4.2 Data Cleaning</w:t>
            </w:r>
            <w:r>
              <w:rPr>
                <w:noProof/>
                <w:webHidden/>
              </w:rPr>
              <w:tab/>
            </w:r>
            <w:r>
              <w:rPr>
                <w:noProof/>
                <w:webHidden/>
              </w:rPr>
              <w:fldChar w:fldCharType="begin"/>
            </w:r>
            <w:r>
              <w:rPr>
                <w:noProof/>
                <w:webHidden/>
              </w:rPr>
              <w:instrText xml:space="preserve"> PAGEREF _Toc234693092 \h </w:instrText>
            </w:r>
            <w:r>
              <w:rPr>
                <w:noProof/>
                <w:webHidden/>
              </w:rPr>
            </w:r>
            <w:r>
              <w:rPr>
                <w:noProof/>
                <w:webHidden/>
              </w:rPr>
              <w:fldChar w:fldCharType="separate"/>
            </w:r>
            <w:r>
              <w:rPr>
                <w:noProof/>
                <w:webHidden/>
              </w:rPr>
              <w:t>8</w:t>
            </w:r>
            <w:r>
              <w:rPr>
                <w:noProof/>
                <w:webHidden/>
              </w:rPr>
              <w:fldChar w:fldCharType="end"/>
            </w:r>
          </w:hyperlink>
        </w:p>
        <w:p w14:paraId="65936B78" w14:textId="3FD29439" w:rsidR="004F2343" w:rsidRDefault="004F2343">
          <w:pPr>
            <w:pStyle w:val="Obsah2"/>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34693093" w:history="1">
            <w:r w:rsidRPr="00C83262">
              <w:rPr>
                <w:rStyle w:val="Hypertextovodkaz"/>
                <w:noProof/>
                <w:lang w:val="en-GB"/>
              </w:rPr>
              <w:t>4.3 Descriptive Statistics and Visualisation</w:t>
            </w:r>
            <w:r>
              <w:rPr>
                <w:noProof/>
                <w:webHidden/>
              </w:rPr>
              <w:tab/>
            </w:r>
            <w:r>
              <w:rPr>
                <w:noProof/>
                <w:webHidden/>
              </w:rPr>
              <w:fldChar w:fldCharType="begin"/>
            </w:r>
            <w:r>
              <w:rPr>
                <w:noProof/>
                <w:webHidden/>
              </w:rPr>
              <w:instrText xml:space="preserve"> PAGEREF _Toc234693093 \h </w:instrText>
            </w:r>
            <w:r>
              <w:rPr>
                <w:noProof/>
                <w:webHidden/>
              </w:rPr>
            </w:r>
            <w:r>
              <w:rPr>
                <w:noProof/>
                <w:webHidden/>
              </w:rPr>
              <w:fldChar w:fldCharType="separate"/>
            </w:r>
            <w:r>
              <w:rPr>
                <w:noProof/>
                <w:webHidden/>
              </w:rPr>
              <w:t>8</w:t>
            </w:r>
            <w:r>
              <w:rPr>
                <w:noProof/>
                <w:webHidden/>
              </w:rPr>
              <w:fldChar w:fldCharType="end"/>
            </w:r>
          </w:hyperlink>
        </w:p>
        <w:p w14:paraId="638ED267" w14:textId="20533DC6" w:rsidR="004F2343" w:rsidRDefault="004F2343">
          <w:pPr>
            <w:pStyle w:val="Obsah2"/>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34693094" w:history="1">
            <w:r w:rsidRPr="00C83262">
              <w:rPr>
                <w:rStyle w:val="Hypertextovodkaz"/>
                <w:noProof/>
                <w:lang w:val="en-GB"/>
              </w:rPr>
              <w:t>4.4 Rollout Speed Analysis</w:t>
            </w:r>
            <w:r>
              <w:rPr>
                <w:noProof/>
                <w:webHidden/>
              </w:rPr>
              <w:tab/>
            </w:r>
            <w:r>
              <w:rPr>
                <w:noProof/>
                <w:webHidden/>
              </w:rPr>
              <w:fldChar w:fldCharType="begin"/>
            </w:r>
            <w:r>
              <w:rPr>
                <w:noProof/>
                <w:webHidden/>
              </w:rPr>
              <w:instrText xml:space="preserve"> PAGEREF _Toc234693094 \h </w:instrText>
            </w:r>
            <w:r>
              <w:rPr>
                <w:noProof/>
                <w:webHidden/>
              </w:rPr>
            </w:r>
            <w:r>
              <w:rPr>
                <w:noProof/>
                <w:webHidden/>
              </w:rPr>
              <w:fldChar w:fldCharType="separate"/>
            </w:r>
            <w:r>
              <w:rPr>
                <w:noProof/>
                <w:webHidden/>
              </w:rPr>
              <w:t>9</w:t>
            </w:r>
            <w:r>
              <w:rPr>
                <w:noProof/>
                <w:webHidden/>
              </w:rPr>
              <w:fldChar w:fldCharType="end"/>
            </w:r>
          </w:hyperlink>
        </w:p>
        <w:p w14:paraId="792AA443" w14:textId="1C778A06" w:rsidR="004F2343" w:rsidRDefault="004F2343">
          <w:pPr>
            <w:pStyle w:val="Obsah2"/>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34693095" w:history="1">
            <w:r w:rsidRPr="00C83262">
              <w:rPr>
                <w:rStyle w:val="Hypertextovodkaz"/>
                <w:noProof/>
                <w:lang w:val="en-GB"/>
              </w:rPr>
              <w:t>4.5 Principal Component Analysis (PCA)</w:t>
            </w:r>
            <w:r>
              <w:rPr>
                <w:noProof/>
                <w:webHidden/>
              </w:rPr>
              <w:tab/>
            </w:r>
            <w:r>
              <w:rPr>
                <w:noProof/>
                <w:webHidden/>
              </w:rPr>
              <w:fldChar w:fldCharType="begin"/>
            </w:r>
            <w:r>
              <w:rPr>
                <w:noProof/>
                <w:webHidden/>
              </w:rPr>
              <w:instrText xml:space="preserve"> PAGEREF _Toc234693095 \h </w:instrText>
            </w:r>
            <w:r>
              <w:rPr>
                <w:noProof/>
                <w:webHidden/>
              </w:rPr>
            </w:r>
            <w:r>
              <w:rPr>
                <w:noProof/>
                <w:webHidden/>
              </w:rPr>
              <w:fldChar w:fldCharType="separate"/>
            </w:r>
            <w:r>
              <w:rPr>
                <w:noProof/>
                <w:webHidden/>
              </w:rPr>
              <w:t>9</w:t>
            </w:r>
            <w:r>
              <w:rPr>
                <w:noProof/>
                <w:webHidden/>
              </w:rPr>
              <w:fldChar w:fldCharType="end"/>
            </w:r>
          </w:hyperlink>
        </w:p>
        <w:p w14:paraId="73EC9F4A" w14:textId="07474E27" w:rsidR="004F2343" w:rsidRDefault="004F2343">
          <w:pPr>
            <w:pStyle w:val="Obsah2"/>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34693096" w:history="1">
            <w:r w:rsidRPr="00C83262">
              <w:rPr>
                <w:rStyle w:val="Hypertextovodkaz"/>
                <w:noProof/>
                <w:lang w:val="en-GB"/>
              </w:rPr>
              <w:t>4.6 K-means Clustering</w:t>
            </w:r>
            <w:r>
              <w:rPr>
                <w:noProof/>
                <w:webHidden/>
              </w:rPr>
              <w:tab/>
            </w:r>
            <w:r>
              <w:rPr>
                <w:noProof/>
                <w:webHidden/>
              </w:rPr>
              <w:fldChar w:fldCharType="begin"/>
            </w:r>
            <w:r>
              <w:rPr>
                <w:noProof/>
                <w:webHidden/>
              </w:rPr>
              <w:instrText xml:space="preserve"> PAGEREF _Toc234693096 \h </w:instrText>
            </w:r>
            <w:r>
              <w:rPr>
                <w:noProof/>
                <w:webHidden/>
              </w:rPr>
            </w:r>
            <w:r>
              <w:rPr>
                <w:noProof/>
                <w:webHidden/>
              </w:rPr>
              <w:fldChar w:fldCharType="separate"/>
            </w:r>
            <w:r>
              <w:rPr>
                <w:noProof/>
                <w:webHidden/>
              </w:rPr>
              <w:t>9</w:t>
            </w:r>
            <w:r>
              <w:rPr>
                <w:noProof/>
                <w:webHidden/>
              </w:rPr>
              <w:fldChar w:fldCharType="end"/>
            </w:r>
          </w:hyperlink>
        </w:p>
        <w:p w14:paraId="57A7CAF3" w14:textId="3DCE975B" w:rsidR="004F2343" w:rsidRDefault="004F2343">
          <w:pPr>
            <w:pStyle w:val="Obsah2"/>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34693097" w:history="1">
            <w:r w:rsidRPr="00C83262">
              <w:rPr>
                <w:rStyle w:val="Hypertextovodkaz"/>
                <w:noProof/>
                <w:lang w:val="en-GB"/>
              </w:rPr>
              <w:t>4.7 ARIMA Time Series Forecasting</w:t>
            </w:r>
            <w:r>
              <w:rPr>
                <w:noProof/>
                <w:webHidden/>
              </w:rPr>
              <w:tab/>
            </w:r>
            <w:r>
              <w:rPr>
                <w:noProof/>
                <w:webHidden/>
              </w:rPr>
              <w:fldChar w:fldCharType="begin"/>
            </w:r>
            <w:r>
              <w:rPr>
                <w:noProof/>
                <w:webHidden/>
              </w:rPr>
              <w:instrText xml:space="preserve"> PAGEREF _Toc234693097 \h </w:instrText>
            </w:r>
            <w:r>
              <w:rPr>
                <w:noProof/>
                <w:webHidden/>
              </w:rPr>
            </w:r>
            <w:r>
              <w:rPr>
                <w:noProof/>
                <w:webHidden/>
              </w:rPr>
              <w:fldChar w:fldCharType="separate"/>
            </w:r>
            <w:r>
              <w:rPr>
                <w:noProof/>
                <w:webHidden/>
              </w:rPr>
              <w:t>9</w:t>
            </w:r>
            <w:r>
              <w:rPr>
                <w:noProof/>
                <w:webHidden/>
              </w:rPr>
              <w:fldChar w:fldCharType="end"/>
            </w:r>
          </w:hyperlink>
        </w:p>
        <w:p w14:paraId="5B21A9DD" w14:textId="193ED4B6" w:rsidR="004F2343" w:rsidRDefault="004F2343">
          <w:pPr>
            <w:pStyle w:val="Obsah2"/>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34693098" w:history="1">
            <w:r w:rsidRPr="00C83262">
              <w:rPr>
                <w:rStyle w:val="Hypertextovodkaz"/>
                <w:noProof/>
                <w:lang w:val="en-GB"/>
              </w:rPr>
              <w:t>5.1 Descriptive Overview</w:t>
            </w:r>
            <w:r>
              <w:rPr>
                <w:noProof/>
                <w:webHidden/>
              </w:rPr>
              <w:tab/>
            </w:r>
            <w:r>
              <w:rPr>
                <w:noProof/>
                <w:webHidden/>
              </w:rPr>
              <w:fldChar w:fldCharType="begin"/>
            </w:r>
            <w:r>
              <w:rPr>
                <w:noProof/>
                <w:webHidden/>
              </w:rPr>
              <w:instrText xml:space="preserve"> PAGEREF _Toc234693098 \h </w:instrText>
            </w:r>
            <w:r>
              <w:rPr>
                <w:noProof/>
                <w:webHidden/>
              </w:rPr>
            </w:r>
            <w:r>
              <w:rPr>
                <w:noProof/>
                <w:webHidden/>
              </w:rPr>
              <w:fldChar w:fldCharType="separate"/>
            </w:r>
            <w:r>
              <w:rPr>
                <w:noProof/>
                <w:webHidden/>
              </w:rPr>
              <w:t>11</w:t>
            </w:r>
            <w:r>
              <w:rPr>
                <w:noProof/>
                <w:webHidden/>
              </w:rPr>
              <w:fldChar w:fldCharType="end"/>
            </w:r>
          </w:hyperlink>
        </w:p>
        <w:p w14:paraId="357E581B" w14:textId="49073B6D" w:rsidR="004F2343" w:rsidRDefault="004F2343">
          <w:pPr>
            <w:pStyle w:val="Obsah2"/>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34693099" w:history="1">
            <w:r w:rsidRPr="00C83262">
              <w:rPr>
                <w:rStyle w:val="Hypertextovodkaz"/>
                <w:noProof/>
                <w:lang w:val="en-GB"/>
              </w:rPr>
              <w:t>5.2 Rollout Speed</w:t>
            </w:r>
            <w:r>
              <w:rPr>
                <w:noProof/>
                <w:webHidden/>
              </w:rPr>
              <w:tab/>
            </w:r>
            <w:r>
              <w:rPr>
                <w:noProof/>
                <w:webHidden/>
              </w:rPr>
              <w:fldChar w:fldCharType="begin"/>
            </w:r>
            <w:r>
              <w:rPr>
                <w:noProof/>
                <w:webHidden/>
              </w:rPr>
              <w:instrText xml:space="preserve"> PAGEREF _Toc234693099 \h </w:instrText>
            </w:r>
            <w:r>
              <w:rPr>
                <w:noProof/>
                <w:webHidden/>
              </w:rPr>
            </w:r>
            <w:r>
              <w:rPr>
                <w:noProof/>
                <w:webHidden/>
              </w:rPr>
              <w:fldChar w:fldCharType="separate"/>
            </w:r>
            <w:r>
              <w:rPr>
                <w:noProof/>
                <w:webHidden/>
              </w:rPr>
              <w:t>13</w:t>
            </w:r>
            <w:r>
              <w:rPr>
                <w:noProof/>
                <w:webHidden/>
              </w:rPr>
              <w:fldChar w:fldCharType="end"/>
            </w:r>
          </w:hyperlink>
        </w:p>
        <w:p w14:paraId="4B06CEF6" w14:textId="79BA99B4" w:rsidR="004F2343" w:rsidRDefault="004F2343">
          <w:pPr>
            <w:pStyle w:val="Obsah2"/>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34693100" w:history="1">
            <w:r w:rsidRPr="00C83262">
              <w:rPr>
                <w:rStyle w:val="Hypertextovodkaz"/>
                <w:noProof/>
                <w:lang w:val="en-GB"/>
              </w:rPr>
              <w:t>5.3 Missing Data</w:t>
            </w:r>
            <w:r>
              <w:rPr>
                <w:noProof/>
                <w:webHidden/>
              </w:rPr>
              <w:tab/>
            </w:r>
            <w:r>
              <w:rPr>
                <w:noProof/>
                <w:webHidden/>
              </w:rPr>
              <w:fldChar w:fldCharType="begin"/>
            </w:r>
            <w:r>
              <w:rPr>
                <w:noProof/>
                <w:webHidden/>
              </w:rPr>
              <w:instrText xml:space="preserve"> PAGEREF _Toc234693100 \h </w:instrText>
            </w:r>
            <w:r>
              <w:rPr>
                <w:noProof/>
                <w:webHidden/>
              </w:rPr>
            </w:r>
            <w:r>
              <w:rPr>
                <w:noProof/>
                <w:webHidden/>
              </w:rPr>
              <w:fldChar w:fldCharType="separate"/>
            </w:r>
            <w:r>
              <w:rPr>
                <w:noProof/>
                <w:webHidden/>
              </w:rPr>
              <w:t>15</w:t>
            </w:r>
            <w:r>
              <w:rPr>
                <w:noProof/>
                <w:webHidden/>
              </w:rPr>
              <w:fldChar w:fldCharType="end"/>
            </w:r>
          </w:hyperlink>
        </w:p>
        <w:p w14:paraId="5F3E9453" w14:textId="65556C1E" w:rsidR="004F2343" w:rsidRDefault="004F2343">
          <w:pPr>
            <w:pStyle w:val="Obsah2"/>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34693101" w:history="1">
            <w:r w:rsidRPr="00C83262">
              <w:rPr>
                <w:rStyle w:val="Hypertextovodkaz"/>
                <w:noProof/>
                <w:lang w:val="en-GB"/>
              </w:rPr>
              <w:t>5.4 Geographic Patterns</w:t>
            </w:r>
            <w:r>
              <w:rPr>
                <w:noProof/>
                <w:webHidden/>
              </w:rPr>
              <w:tab/>
            </w:r>
            <w:r>
              <w:rPr>
                <w:noProof/>
                <w:webHidden/>
              </w:rPr>
              <w:fldChar w:fldCharType="begin"/>
            </w:r>
            <w:r>
              <w:rPr>
                <w:noProof/>
                <w:webHidden/>
              </w:rPr>
              <w:instrText xml:space="preserve"> PAGEREF _Toc234693101 \h </w:instrText>
            </w:r>
            <w:r>
              <w:rPr>
                <w:noProof/>
                <w:webHidden/>
              </w:rPr>
            </w:r>
            <w:r>
              <w:rPr>
                <w:noProof/>
                <w:webHidden/>
              </w:rPr>
              <w:fldChar w:fldCharType="separate"/>
            </w:r>
            <w:r>
              <w:rPr>
                <w:noProof/>
                <w:webHidden/>
              </w:rPr>
              <w:t>15</w:t>
            </w:r>
            <w:r>
              <w:rPr>
                <w:noProof/>
                <w:webHidden/>
              </w:rPr>
              <w:fldChar w:fldCharType="end"/>
            </w:r>
          </w:hyperlink>
        </w:p>
        <w:p w14:paraId="7ECD0FA3" w14:textId="3CF712EC" w:rsidR="004F2343" w:rsidRDefault="004F2343">
          <w:pPr>
            <w:pStyle w:val="Obsah2"/>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34693102" w:history="1">
            <w:r w:rsidRPr="00C83262">
              <w:rPr>
                <w:rStyle w:val="Hypertextovodkaz"/>
                <w:noProof/>
                <w:lang w:val="en-GB"/>
              </w:rPr>
              <w:t>5.5 Income-Group and Continental Inequality</w:t>
            </w:r>
            <w:r>
              <w:rPr>
                <w:noProof/>
                <w:webHidden/>
              </w:rPr>
              <w:tab/>
            </w:r>
            <w:r>
              <w:rPr>
                <w:noProof/>
                <w:webHidden/>
              </w:rPr>
              <w:fldChar w:fldCharType="begin"/>
            </w:r>
            <w:r>
              <w:rPr>
                <w:noProof/>
                <w:webHidden/>
              </w:rPr>
              <w:instrText xml:space="preserve"> PAGEREF _Toc234693102 \h </w:instrText>
            </w:r>
            <w:r>
              <w:rPr>
                <w:noProof/>
                <w:webHidden/>
              </w:rPr>
            </w:r>
            <w:r>
              <w:rPr>
                <w:noProof/>
                <w:webHidden/>
              </w:rPr>
              <w:fldChar w:fldCharType="separate"/>
            </w:r>
            <w:r>
              <w:rPr>
                <w:noProof/>
                <w:webHidden/>
              </w:rPr>
              <w:t>17</w:t>
            </w:r>
            <w:r>
              <w:rPr>
                <w:noProof/>
                <w:webHidden/>
              </w:rPr>
              <w:fldChar w:fldCharType="end"/>
            </w:r>
          </w:hyperlink>
        </w:p>
        <w:p w14:paraId="1BDDD81A" w14:textId="55ED2F08" w:rsidR="004F2343" w:rsidRDefault="004F2343">
          <w:pPr>
            <w:pStyle w:val="Obsah2"/>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34693103" w:history="1">
            <w:r w:rsidRPr="00C83262">
              <w:rPr>
                <w:rStyle w:val="Hypertextovodkaz"/>
                <w:noProof/>
                <w:lang w:val="en-GB"/>
              </w:rPr>
              <w:t>5.6 Correlation Analysis</w:t>
            </w:r>
            <w:r>
              <w:rPr>
                <w:noProof/>
                <w:webHidden/>
              </w:rPr>
              <w:tab/>
            </w:r>
            <w:r>
              <w:rPr>
                <w:noProof/>
                <w:webHidden/>
              </w:rPr>
              <w:fldChar w:fldCharType="begin"/>
            </w:r>
            <w:r>
              <w:rPr>
                <w:noProof/>
                <w:webHidden/>
              </w:rPr>
              <w:instrText xml:space="preserve"> PAGEREF _Toc234693103 \h </w:instrText>
            </w:r>
            <w:r>
              <w:rPr>
                <w:noProof/>
                <w:webHidden/>
              </w:rPr>
            </w:r>
            <w:r>
              <w:rPr>
                <w:noProof/>
                <w:webHidden/>
              </w:rPr>
              <w:fldChar w:fldCharType="separate"/>
            </w:r>
            <w:r>
              <w:rPr>
                <w:noProof/>
                <w:webHidden/>
              </w:rPr>
              <w:t>18</w:t>
            </w:r>
            <w:r>
              <w:rPr>
                <w:noProof/>
                <w:webHidden/>
              </w:rPr>
              <w:fldChar w:fldCharType="end"/>
            </w:r>
          </w:hyperlink>
        </w:p>
        <w:p w14:paraId="28B828E6" w14:textId="2D204436" w:rsidR="004F2343" w:rsidRDefault="004F2343">
          <w:pPr>
            <w:pStyle w:val="Obsah2"/>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34693104" w:history="1">
            <w:r w:rsidRPr="00C83262">
              <w:rPr>
                <w:rStyle w:val="Hypertextovodkaz"/>
                <w:noProof/>
                <w:lang w:val="en-GB"/>
              </w:rPr>
              <w:t>5.7 PCA and K-means Clustering</w:t>
            </w:r>
            <w:r>
              <w:rPr>
                <w:noProof/>
                <w:webHidden/>
              </w:rPr>
              <w:tab/>
            </w:r>
            <w:r>
              <w:rPr>
                <w:noProof/>
                <w:webHidden/>
              </w:rPr>
              <w:fldChar w:fldCharType="begin"/>
            </w:r>
            <w:r>
              <w:rPr>
                <w:noProof/>
                <w:webHidden/>
              </w:rPr>
              <w:instrText xml:space="preserve"> PAGEREF _Toc234693104 \h </w:instrText>
            </w:r>
            <w:r>
              <w:rPr>
                <w:noProof/>
                <w:webHidden/>
              </w:rPr>
            </w:r>
            <w:r>
              <w:rPr>
                <w:noProof/>
                <w:webHidden/>
              </w:rPr>
              <w:fldChar w:fldCharType="separate"/>
            </w:r>
            <w:r>
              <w:rPr>
                <w:noProof/>
                <w:webHidden/>
              </w:rPr>
              <w:t>19</w:t>
            </w:r>
            <w:r>
              <w:rPr>
                <w:noProof/>
                <w:webHidden/>
              </w:rPr>
              <w:fldChar w:fldCharType="end"/>
            </w:r>
          </w:hyperlink>
        </w:p>
        <w:p w14:paraId="3C05D606" w14:textId="05ADFD5C" w:rsidR="004F2343" w:rsidRDefault="004F2343">
          <w:pPr>
            <w:pStyle w:val="Obsah2"/>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34693105" w:history="1">
            <w:r w:rsidRPr="00C83262">
              <w:rPr>
                <w:rStyle w:val="Hypertextovodkaz"/>
                <w:noProof/>
                <w:lang w:val="en-GB"/>
              </w:rPr>
              <w:t>5.8 ARIMA Forecasting</w:t>
            </w:r>
            <w:r>
              <w:rPr>
                <w:noProof/>
                <w:webHidden/>
              </w:rPr>
              <w:tab/>
            </w:r>
            <w:r>
              <w:rPr>
                <w:noProof/>
                <w:webHidden/>
              </w:rPr>
              <w:fldChar w:fldCharType="begin"/>
            </w:r>
            <w:r>
              <w:rPr>
                <w:noProof/>
                <w:webHidden/>
              </w:rPr>
              <w:instrText xml:space="preserve"> PAGEREF _Toc234693105 \h </w:instrText>
            </w:r>
            <w:r>
              <w:rPr>
                <w:noProof/>
                <w:webHidden/>
              </w:rPr>
            </w:r>
            <w:r>
              <w:rPr>
                <w:noProof/>
                <w:webHidden/>
              </w:rPr>
              <w:fldChar w:fldCharType="separate"/>
            </w:r>
            <w:r>
              <w:rPr>
                <w:noProof/>
                <w:webHidden/>
              </w:rPr>
              <w:t>22</w:t>
            </w:r>
            <w:r>
              <w:rPr>
                <w:noProof/>
                <w:webHidden/>
              </w:rPr>
              <w:fldChar w:fldCharType="end"/>
            </w:r>
          </w:hyperlink>
        </w:p>
        <w:p w14:paraId="46F06F2F" w14:textId="0CB25037" w:rsidR="004F2343" w:rsidRDefault="004F2343">
          <w:pPr>
            <w:pStyle w:val="Obsah1"/>
            <w:rPr>
              <w:rFonts w:asciiTheme="minorHAnsi" w:eastAsiaTheme="minorEastAsia" w:hAnsiTheme="minorHAnsi" w:cstheme="minorBidi"/>
              <w:kern w:val="2"/>
              <w:sz w:val="24"/>
              <w:szCs w:val="24"/>
              <w:lang w:val="cs-CZ"/>
              <w14:ligatures w14:val="standardContextual"/>
            </w:rPr>
          </w:pPr>
          <w:hyperlink w:anchor="_Toc234693106" w:history="1">
            <w:r w:rsidRPr="00C83262">
              <w:rPr>
                <w:rStyle w:val="Hypertextovodkaz"/>
              </w:rPr>
              <w:t>6.Discussion</w:t>
            </w:r>
            <w:r>
              <w:rPr>
                <w:webHidden/>
              </w:rPr>
              <w:tab/>
            </w:r>
            <w:r>
              <w:rPr>
                <w:webHidden/>
              </w:rPr>
              <w:fldChar w:fldCharType="begin"/>
            </w:r>
            <w:r>
              <w:rPr>
                <w:webHidden/>
              </w:rPr>
              <w:instrText xml:space="preserve"> PAGEREF _Toc234693106 \h </w:instrText>
            </w:r>
            <w:r>
              <w:rPr>
                <w:webHidden/>
              </w:rPr>
            </w:r>
            <w:r>
              <w:rPr>
                <w:webHidden/>
              </w:rPr>
              <w:fldChar w:fldCharType="separate"/>
            </w:r>
            <w:r>
              <w:rPr>
                <w:webHidden/>
              </w:rPr>
              <w:t>26</w:t>
            </w:r>
            <w:r>
              <w:rPr>
                <w:webHidden/>
              </w:rPr>
              <w:fldChar w:fldCharType="end"/>
            </w:r>
          </w:hyperlink>
        </w:p>
        <w:p w14:paraId="10E63119" w14:textId="5C00A69F" w:rsidR="004F2343" w:rsidRDefault="004F2343">
          <w:pPr>
            <w:pStyle w:val="Obsah2"/>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34693107" w:history="1">
            <w:r w:rsidRPr="00C83262">
              <w:rPr>
                <w:rStyle w:val="Hypertextovodkaz"/>
                <w:noProof/>
                <w:lang w:val="en-GB"/>
              </w:rPr>
              <w:t>6.1 Strengths</w:t>
            </w:r>
            <w:r>
              <w:rPr>
                <w:noProof/>
                <w:webHidden/>
              </w:rPr>
              <w:tab/>
            </w:r>
            <w:r>
              <w:rPr>
                <w:noProof/>
                <w:webHidden/>
              </w:rPr>
              <w:fldChar w:fldCharType="begin"/>
            </w:r>
            <w:r>
              <w:rPr>
                <w:noProof/>
                <w:webHidden/>
              </w:rPr>
              <w:instrText xml:space="preserve"> PAGEREF _Toc234693107 \h </w:instrText>
            </w:r>
            <w:r>
              <w:rPr>
                <w:noProof/>
                <w:webHidden/>
              </w:rPr>
            </w:r>
            <w:r>
              <w:rPr>
                <w:noProof/>
                <w:webHidden/>
              </w:rPr>
              <w:fldChar w:fldCharType="separate"/>
            </w:r>
            <w:r>
              <w:rPr>
                <w:noProof/>
                <w:webHidden/>
              </w:rPr>
              <w:t>26</w:t>
            </w:r>
            <w:r>
              <w:rPr>
                <w:noProof/>
                <w:webHidden/>
              </w:rPr>
              <w:fldChar w:fldCharType="end"/>
            </w:r>
          </w:hyperlink>
        </w:p>
        <w:p w14:paraId="69F64972" w14:textId="7B93C4D6" w:rsidR="004F2343" w:rsidRDefault="004F2343">
          <w:pPr>
            <w:pStyle w:val="Obsah2"/>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34693108" w:history="1">
            <w:r w:rsidRPr="00C83262">
              <w:rPr>
                <w:rStyle w:val="Hypertextovodkaz"/>
                <w:noProof/>
                <w:lang w:val="en-GB"/>
              </w:rPr>
              <w:t>6.2 Limitations</w:t>
            </w:r>
            <w:r>
              <w:rPr>
                <w:noProof/>
                <w:webHidden/>
              </w:rPr>
              <w:tab/>
            </w:r>
            <w:r>
              <w:rPr>
                <w:noProof/>
                <w:webHidden/>
              </w:rPr>
              <w:fldChar w:fldCharType="begin"/>
            </w:r>
            <w:r>
              <w:rPr>
                <w:noProof/>
                <w:webHidden/>
              </w:rPr>
              <w:instrText xml:space="preserve"> PAGEREF _Toc234693108 \h </w:instrText>
            </w:r>
            <w:r>
              <w:rPr>
                <w:noProof/>
                <w:webHidden/>
              </w:rPr>
            </w:r>
            <w:r>
              <w:rPr>
                <w:noProof/>
                <w:webHidden/>
              </w:rPr>
              <w:fldChar w:fldCharType="separate"/>
            </w:r>
            <w:r>
              <w:rPr>
                <w:noProof/>
                <w:webHidden/>
              </w:rPr>
              <w:t>26</w:t>
            </w:r>
            <w:r>
              <w:rPr>
                <w:noProof/>
                <w:webHidden/>
              </w:rPr>
              <w:fldChar w:fldCharType="end"/>
            </w:r>
          </w:hyperlink>
        </w:p>
        <w:p w14:paraId="286C918D" w14:textId="0522AE6D" w:rsidR="004F2343" w:rsidRDefault="004F2343">
          <w:pPr>
            <w:pStyle w:val="Obsah2"/>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34693109" w:history="1">
            <w:r w:rsidRPr="00C83262">
              <w:rPr>
                <w:rStyle w:val="Hypertextovodkaz"/>
                <w:noProof/>
                <w:lang w:val="en-GB"/>
              </w:rPr>
              <w:t>6.3 Implications</w:t>
            </w:r>
            <w:r>
              <w:rPr>
                <w:noProof/>
                <w:webHidden/>
              </w:rPr>
              <w:tab/>
            </w:r>
            <w:r>
              <w:rPr>
                <w:noProof/>
                <w:webHidden/>
              </w:rPr>
              <w:fldChar w:fldCharType="begin"/>
            </w:r>
            <w:r>
              <w:rPr>
                <w:noProof/>
                <w:webHidden/>
              </w:rPr>
              <w:instrText xml:space="preserve"> PAGEREF _Toc234693109 \h </w:instrText>
            </w:r>
            <w:r>
              <w:rPr>
                <w:noProof/>
                <w:webHidden/>
              </w:rPr>
            </w:r>
            <w:r>
              <w:rPr>
                <w:noProof/>
                <w:webHidden/>
              </w:rPr>
              <w:fldChar w:fldCharType="separate"/>
            </w:r>
            <w:r>
              <w:rPr>
                <w:noProof/>
                <w:webHidden/>
              </w:rPr>
              <w:t>26</w:t>
            </w:r>
            <w:r>
              <w:rPr>
                <w:noProof/>
                <w:webHidden/>
              </w:rPr>
              <w:fldChar w:fldCharType="end"/>
            </w:r>
          </w:hyperlink>
        </w:p>
        <w:p w14:paraId="6818A0B7" w14:textId="366F26EC" w:rsidR="004F2343" w:rsidRDefault="004F2343">
          <w:pPr>
            <w:pStyle w:val="Obsah1"/>
            <w:rPr>
              <w:rFonts w:asciiTheme="minorHAnsi" w:eastAsiaTheme="minorEastAsia" w:hAnsiTheme="minorHAnsi" w:cstheme="minorBidi"/>
              <w:kern w:val="2"/>
              <w:sz w:val="24"/>
              <w:szCs w:val="24"/>
              <w:lang w:val="cs-CZ"/>
              <w14:ligatures w14:val="standardContextual"/>
            </w:rPr>
          </w:pPr>
          <w:hyperlink w:anchor="_Toc234693110" w:history="1">
            <w:r w:rsidRPr="00C83262">
              <w:rPr>
                <w:rStyle w:val="Hypertextovodkaz"/>
              </w:rPr>
              <w:t>7. Product Proposal</w:t>
            </w:r>
            <w:r>
              <w:rPr>
                <w:webHidden/>
              </w:rPr>
              <w:tab/>
            </w:r>
            <w:r>
              <w:rPr>
                <w:webHidden/>
              </w:rPr>
              <w:fldChar w:fldCharType="begin"/>
            </w:r>
            <w:r>
              <w:rPr>
                <w:webHidden/>
              </w:rPr>
              <w:instrText xml:space="preserve"> PAGEREF _Toc234693110 \h </w:instrText>
            </w:r>
            <w:r>
              <w:rPr>
                <w:webHidden/>
              </w:rPr>
            </w:r>
            <w:r>
              <w:rPr>
                <w:webHidden/>
              </w:rPr>
              <w:fldChar w:fldCharType="separate"/>
            </w:r>
            <w:r>
              <w:rPr>
                <w:webHidden/>
              </w:rPr>
              <w:t>28</w:t>
            </w:r>
            <w:r>
              <w:rPr>
                <w:webHidden/>
              </w:rPr>
              <w:fldChar w:fldCharType="end"/>
            </w:r>
          </w:hyperlink>
        </w:p>
        <w:p w14:paraId="13DA8C29" w14:textId="4A62E73B" w:rsidR="004F2343" w:rsidRDefault="004F2343">
          <w:pPr>
            <w:pStyle w:val="Obsah2"/>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34693111" w:history="1">
            <w:r w:rsidRPr="00C83262">
              <w:rPr>
                <w:rStyle w:val="Hypertextovodkaz"/>
                <w:noProof/>
                <w:lang w:val="en-GB"/>
              </w:rPr>
              <w:t>7.1 Market Opportunity</w:t>
            </w:r>
            <w:r>
              <w:rPr>
                <w:noProof/>
                <w:webHidden/>
              </w:rPr>
              <w:tab/>
            </w:r>
            <w:r>
              <w:rPr>
                <w:noProof/>
                <w:webHidden/>
              </w:rPr>
              <w:fldChar w:fldCharType="begin"/>
            </w:r>
            <w:r>
              <w:rPr>
                <w:noProof/>
                <w:webHidden/>
              </w:rPr>
              <w:instrText xml:space="preserve"> PAGEREF _Toc234693111 \h </w:instrText>
            </w:r>
            <w:r>
              <w:rPr>
                <w:noProof/>
                <w:webHidden/>
              </w:rPr>
            </w:r>
            <w:r>
              <w:rPr>
                <w:noProof/>
                <w:webHidden/>
              </w:rPr>
              <w:fldChar w:fldCharType="separate"/>
            </w:r>
            <w:r>
              <w:rPr>
                <w:noProof/>
                <w:webHidden/>
              </w:rPr>
              <w:t>28</w:t>
            </w:r>
            <w:r>
              <w:rPr>
                <w:noProof/>
                <w:webHidden/>
              </w:rPr>
              <w:fldChar w:fldCharType="end"/>
            </w:r>
          </w:hyperlink>
        </w:p>
        <w:p w14:paraId="423FC827" w14:textId="6D4913EE" w:rsidR="004F2343" w:rsidRDefault="004F2343">
          <w:pPr>
            <w:pStyle w:val="Obsah2"/>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34693112" w:history="1">
            <w:r w:rsidRPr="00C83262">
              <w:rPr>
                <w:rStyle w:val="Hypertextovodkaz"/>
                <w:noProof/>
                <w:lang w:val="en-GB"/>
              </w:rPr>
              <w:t>7.2 Product Concept</w:t>
            </w:r>
            <w:r>
              <w:rPr>
                <w:noProof/>
                <w:webHidden/>
              </w:rPr>
              <w:tab/>
            </w:r>
            <w:r>
              <w:rPr>
                <w:noProof/>
                <w:webHidden/>
              </w:rPr>
              <w:fldChar w:fldCharType="begin"/>
            </w:r>
            <w:r>
              <w:rPr>
                <w:noProof/>
                <w:webHidden/>
              </w:rPr>
              <w:instrText xml:space="preserve"> PAGEREF _Toc234693112 \h </w:instrText>
            </w:r>
            <w:r>
              <w:rPr>
                <w:noProof/>
                <w:webHidden/>
              </w:rPr>
            </w:r>
            <w:r>
              <w:rPr>
                <w:noProof/>
                <w:webHidden/>
              </w:rPr>
              <w:fldChar w:fldCharType="separate"/>
            </w:r>
            <w:r>
              <w:rPr>
                <w:noProof/>
                <w:webHidden/>
              </w:rPr>
              <w:t>28</w:t>
            </w:r>
            <w:r>
              <w:rPr>
                <w:noProof/>
                <w:webHidden/>
              </w:rPr>
              <w:fldChar w:fldCharType="end"/>
            </w:r>
          </w:hyperlink>
        </w:p>
        <w:p w14:paraId="23EE500B" w14:textId="213DD21D" w:rsidR="004F2343" w:rsidRDefault="004F2343">
          <w:pPr>
            <w:pStyle w:val="Obsah2"/>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34693113" w:history="1">
            <w:r w:rsidRPr="00C83262">
              <w:rPr>
                <w:rStyle w:val="Hypertextovodkaz"/>
                <w:noProof/>
                <w:lang w:val="en-GB"/>
              </w:rPr>
              <w:t>7.3 Feasibility and Recommendation</w:t>
            </w:r>
            <w:r>
              <w:rPr>
                <w:noProof/>
                <w:webHidden/>
              </w:rPr>
              <w:tab/>
            </w:r>
            <w:r>
              <w:rPr>
                <w:noProof/>
                <w:webHidden/>
              </w:rPr>
              <w:fldChar w:fldCharType="begin"/>
            </w:r>
            <w:r>
              <w:rPr>
                <w:noProof/>
                <w:webHidden/>
              </w:rPr>
              <w:instrText xml:space="preserve"> PAGEREF _Toc234693113 \h </w:instrText>
            </w:r>
            <w:r>
              <w:rPr>
                <w:noProof/>
                <w:webHidden/>
              </w:rPr>
            </w:r>
            <w:r>
              <w:rPr>
                <w:noProof/>
                <w:webHidden/>
              </w:rPr>
              <w:fldChar w:fldCharType="separate"/>
            </w:r>
            <w:r>
              <w:rPr>
                <w:noProof/>
                <w:webHidden/>
              </w:rPr>
              <w:t>29</w:t>
            </w:r>
            <w:r>
              <w:rPr>
                <w:noProof/>
                <w:webHidden/>
              </w:rPr>
              <w:fldChar w:fldCharType="end"/>
            </w:r>
          </w:hyperlink>
        </w:p>
        <w:p w14:paraId="0881819A" w14:textId="662145A9" w:rsidR="004F2343" w:rsidRDefault="004F2343">
          <w:pPr>
            <w:pStyle w:val="Obsah1"/>
            <w:rPr>
              <w:rFonts w:asciiTheme="minorHAnsi" w:eastAsiaTheme="minorEastAsia" w:hAnsiTheme="minorHAnsi" w:cstheme="minorBidi"/>
              <w:kern w:val="2"/>
              <w:sz w:val="24"/>
              <w:szCs w:val="24"/>
              <w:lang w:val="cs-CZ"/>
              <w14:ligatures w14:val="standardContextual"/>
            </w:rPr>
          </w:pPr>
          <w:hyperlink w:anchor="_Toc234693114" w:history="1">
            <w:r w:rsidRPr="00C83262">
              <w:rPr>
                <w:rStyle w:val="Hypertextovodkaz"/>
              </w:rPr>
              <w:t>8. Conclusions</w:t>
            </w:r>
            <w:r>
              <w:rPr>
                <w:webHidden/>
              </w:rPr>
              <w:tab/>
            </w:r>
            <w:r>
              <w:rPr>
                <w:webHidden/>
              </w:rPr>
              <w:fldChar w:fldCharType="begin"/>
            </w:r>
            <w:r>
              <w:rPr>
                <w:webHidden/>
              </w:rPr>
              <w:instrText xml:space="preserve"> PAGEREF _Toc234693114 \h </w:instrText>
            </w:r>
            <w:r>
              <w:rPr>
                <w:webHidden/>
              </w:rPr>
            </w:r>
            <w:r>
              <w:rPr>
                <w:webHidden/>
              </w:rPr>
              <w:fldChar w:fldCharType="separate"/>
            </w:r>
            <w:r>
              <w:rPr>
                <w:webHidden/>
              </w:rPr>
              <w:t>30</w:t>
            </w:r>
            <w:r>
              <w:rPr>
                <w:webHidden/>
              </w:rPr>
              <w:fldChar w:fldCharType="end"/>
            </w:r>
          </w:hyperlink>
        </w:p>
        <w:p w14:paraId="6B55AEFC" w14:textId="6266BF48" w:rsidR="004F2343" w:rsidRDefault="004F2343">
          <w:pPr>
            <w:pStyle w:val="Obsah1"/>
            <w:rPr>
              <w:rFonts w:asciiTheme="minorHAnsi" w:eastAsiaTheme="minorEastAsia" w:hAnsiTheme="minorHAnsi" w:cstheme="minorBidi"/>
              <w:kern w:val="2"/>
              <w:sz w:val="24"/>
              <w:szCs w:val="24"/>
              <w:lang w:val="cs-CZ"/>
              <w14:ligatures w14:val="standardContextual"/>
            </w:rPr>
          </w:pPr>
          <w:hyperlink w:anchor="_Toc234693115" w:history="1">
            <w:r w:rsidRPr="00C83262">
              <w:rPr>
                <w:rStyle w:val="Hypertextovodkaz"/>
                <w:b/>
                <w:bCs/>
              </w:rPr>
              <w:t>Literature</w:t>
            </w:r>
            <w:r>
              <w:rPr>
                <w:webHidden/>
              </w:rPr>
              <w:tab/>
            </w:r>
            <w:r>
              <w:rPr>
                <w:webHidden/>
              </w:rPr>
              <w:fldChar w:fldCharType="begin"/>
            </w:r>
            <w:r>
              <w:rPr>
                <w:webHidden/>
              </w:rPr>
              <w:instrText xml:space="preserve"> PAGEREF _Toc234693115 \h </w:instrText>
            </w:r>
            <w:r>
              <w:rPr>
                <w:webHidden/>
              </w:rPr>
            </w:r>
            <w:r>
              <w:rPr>
                <w:webHidden/>
              </w:rPr>
              <w:fldChar w:fldCharType="separate"/>
            </w:r>
            <w:r>
              <w:rPr>
                <w:webHidden/>
              </w:rPr>
              <w:t>31</w:t>
            </w:r>
            <w:r>
              <w:rPr>
                <w:webHidden/>
              </w:rPr>
              <w:fldChar w:fldCharType="end"/>
            </w:r>
          </w:hyperlink>
        </w:p>
        <w:p w14:paraId="5126E2AC" w14:textId="138A97BC" w:rsidR="004F2343" w:rsidRDefault="004F2343">
          <w:pPr>
            <w:pStyle w:val="Obsah1"/>
            <w:rPr>
              <w:rFonts w:asciiTheme="minorHAnsi" w:eastAsiaTheme="minorEastAsia" w:hAnsiTheme="minorHAnsi" w:cstheme="minorBidi"/>
              <w:kern w:val="2"/>
              <w:sz w:val="24"/>
              <w:szCs w:val="24"/>
              <w:lang w:val="cs-CZ"/>
              <w14:ligatures w14:val="standardContextual"/>
            </w:rPr>
          </w:pPr>
          <w:hyperlink w:anchor="_Toc234693116" w:history="1">
            <w:r w:rsidRPr="00C83262">
              <w:rPr>
                <w:rStyle w:val="Hypertextovodkaz"/>
              </w:rPr>
              <w:t>Appendix</w:t>
            </w:r>
            <w:r>
              <w:rPr>
                <w:webHidden/>
              </w:rPr>
              <w:tab/>
            </w:r>
            <w:r>
              <w:rPr>
                <w:webHidden/>
              </w:rPr>
              <w:fldChar w:fldCharType="begin"/>
            </w:r>
            <w:r>
              <w:rPr>
                <w:webHidden/>
              </w:rPr>
              <w:instrText xml:space="preserve"> PAGEREF _Toc234693116 \h </w:instrText>
            </w:r>
            <w:r>
              <w:rPr>
                <w:webHidden/>
              </w:rPr>
            </w:r>
            <w:r>
              <w:rPr>
                <w:webHidden/>
              </w:rPr>
              <w:fldChar w:fldCharType="separate"/>
            </w:r>
            <w:r>
              <w:rPr>
                <w:webHidden/>
              </w:rPr>
              <w:t>33</w:t>
            </w:r>
            <w:r>
              <w:rPr>
                <w:webHidden/>
              </w:rPr>
              <w:fldChar w:fldCharType="end"/>
            </w:r>
          </w:hyperlink>
        </w:p>
        <w:p w14:paraId="5BD2B454" w14:textId="5D632459" w:rsidR="004F2343" w:rsidRDefault="004F2343">
          <w:pPr>
            <w:pStyle w:val="Obsah2"/>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34693117" w:history="1">
            <w:r w:rsidRPr="00C83262">
              <w:rPr>
                <w:rStyle w:val="Hypertextovodkaz"/>
                <w:noProof/>
                <w:lang w:val="en-GB"/>
              </w:rPr>
              <w:t>Appendix A: Dataset Variable Descriptions</w:t>
            </w:r>
            <w:r>
              <w:rPr>
                <w:noProof/>
                <w:webHidden/>
              </w:rPr>
              <w:tab/>
            </w:r>
            <w:r>
              <w:rPr>
                <w:noProof/>
                <w:webHidden/>
              </w:rPr>
              <w:fldChar w:fldCharType="begin"/>
            </w:r>
            <w:r>
              <w:rPr>
                <w:noProof/>
                <w:webHidden/>
              </w:rPr>
              <w:instrText xml:space="preserve"> PAGEREF _Toc234693117 \h </w:instrText>
            </w:r>
            <w:r>
              <w:rPr>
                <w:noProof/>
                <w:webHidden/>
              </w:rPr>
            </w:r>
            <w:r>
              <w:rPr>
                <w:noProof/>
                <w:webHidden/>
              </w:rPr>
              <w:fldChar w:fldCharType="separate"/>
            </w:r>
            <w:r>
              <w:rPr>
                <w:noProof/>
                <w:webHidden/>
              </w:rPr>
              <w:t>33</w:t>
            </w:r>
            <w:r>
              <w:rPr>
                <w:noProof/>
                <w:webHidden/>
              </w:rPr>
              <w:fldChar w:fldCharType="end"/>
            </w:r>
          </w:hyperlink>
        </w:p>
        <w:p w14:paraId="3D5CDE2C" w14:textId="3AD3D31C" w:rsidR="004F2343" w:rsidRDefault="004F2343">
          <w:pPr>
            <w:pStyle w:val="Obsah2"/>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34693118" w:history="1">
            <w:r w:rsidRPr="00C83262">
              <w:rPr>
                <w:rStyle w:val="Hypertextovodkaz"/>
                <w:noProof/>
              </w:rPr>
              <w:t>Appendix B: Software and Reproducibility</w:t>
            </w:r>
            <w:r>
              <w:rPr>
                <w:noProof/>
                <w:webHidden/>
              </w:rPr>
              <w:tab/>
            </w:r>
            <w:r>
              <w:rPr>
                <w:noProof/>
                <w:webHidden/>
              </w:rPr>
              <w:fldChar w:fldCharType="begin"/>
            </w:r>
            <w:r>
              <w:rPr>
                <w:noProof/>
                <w:webHidden/>
              </w:rPr>
              <w:instrText xml:space="preserve"> PAGEREF _Toc234693118 \h </w:instrText>
            </w:r>
            <w:r>
              <w:rPr>
                <w:noProof/>
                <w:webHidden/>
              </w:rPr>
            </w:r>
            <w:r>
              <w:rPr>
                <w:noProof/>
                <w:webHidden/>
              </w:rPr>
              <w:fldChar w:fldCharType="separate"/>
            </w:r>
            <w:r>
              <w:rPr>
                <w:noProof/>
                <w:webHidden/>
              </w:rPr>
              <w:t>33</w:t>
            </w:r>
            <w:r>
              <w:rPr>
                <w:noProof/>
                <w:webHidden/>
              </w:rPr>
              <w:fldChar w:fldCharType="end"/>
            </w:r>
          </w:hyperlink>
        </w:p>
        <w:p w14:paraId="2EC407CA" w14:textId="7616032B" w:rsidR="004F2343" w:rsidRDefault="004F2343">
          <w:pPr>
            <w:pStyle w:val="Obsah2"/>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34693119" w:history="1">
            <w:r w:rsidRPr="00C83262">
              <w:rPr>
                <w:rStyle w:val="Hypertextovodkaz"/>
                <w:noProof/>
              </w:rPr>
              <w:t>Appendix C: Companion R Notebooks</w:t>
            </w:r>
            <w:r>
              <w:rPr>
                <w:noProof/>
                <w:webHidden/>
              </w:rPr>
              <w:tab/>
            </w:r>
            <w:r>
              <w:rPr>
                <w:noProof/>
                <w:webHidden/>
              </w:rPr>
              <w:fldChar w:fldCharType="begin"/>
            </w:r>
            <w:r>
              <w:rPr>
                <w:noProof/>
                <w:webHidden/>
              </w:rPr>
              <w:instrText xml:space="preserve"> PAGEREF _Toc234693119 \h </w:instrText>
            </w:r>
            <w:r>
              <w:rPr>
                <w:noProof/>
                <w:webHidden/>
              </w:rPr>
            </w:r>
            <w:r>
              <w:rPr>
                <w:noProof/>
                <w:webHidden/>
              </w:rPr>
              <w:fldChar w:fldCharType="separate"/>
            </w:r>
            <w:r>
              <w:rPr>
                <w:noProof/>
                <w:webHidden/>
              </w:rPr>
              <w:t>33</w:t>
            </w:r>
            <w:r>
              <w:rPr>
                <w:noProof/>
                <w:webHidden/>
              </w:rPr>
              <w:fldChar w:fldCharType="end"/>
            </w:r>
          </w:hyperlink>
        </w:p>
        <w:p w14:paraId="2BBF77D9" w14:textId="316BA700" w:rsidR="007B1537" w:rsidRPr="005C5429" w:rsidRDefault="001A6DA2" w:rsidP="007B1537">
          <w:pPr>
            <w:tabs>
              <w:tab w:val="left" w:pos="765"/>
            </w:tabs>
            <w:rPr>
              <w:b/>
              <w:bCs/>
              <w:lang w:val="en-GB"/>
            </w:rPr>
          </w:pPr>
          <w:r w:rsidRPr="005C5429">
            <w:rPr>
              <w:b/>
              <w:bCs/>
              <w:lang w:val="en-GB"/>
            </w:rPr>
            <w:fldChar w:fldCharType="end"/>
          </w:r>
        </w:p>
      </w:sdtContent>
    </w:sdt>
    <w:p w14:paraId="6AE1B25C" w14:textId="42BEC605" w:rsidR="00F44913" w:rsidRPr="005C5429" w:rsidRDefault="00F44913" w:rsidP="0038088A">
      <w:pPr>
        <w:pStyle w:val="Nadpis1"/>
        <w:pBdr>
          <w:bottom w:val="single" w:sz="8" w:space="4" w:color="FF8E00"/>
        </w:pBdr>
        <w:rPr>
          <w:lang w:val="en-GB"/>
        </w:rPr>
      </w:pPr>
      <w:r w:rsidRPr="005C5429">
        <w:rPr>
          <w:lang w:val="en-GB"/>
        </w:rPr>
        <w:br w:type="column"/>
      </w:r>
      <w:bookmarkStart w:id="4" w:name="_Toc234693085"/>
      <w:r w:rsidRPr="005C5429">
        <w:rPr>
          <w:lang w:val="en-GB"/>
        </w:rPr>
        <w:lastRenderedPageBreak/>
        <w:t>1. Introduction</w:t>
      </w:r>
      <w:bookmarkEnd w:id="4"/>
    </w:p>
    <w:p w14:paraId="1F49F51B" w14:textId="0DB64050" w:rsidR="00F83DB2" w:rsidRPr="005C5429" w:rsidRDefault="00226D00" w:rsidP="00F83DB2">
      <w:pPr>
        <w:spacing w:line="360" w:lineRule="auto"/>
        <w:ind w:firstLine="708"/>
        <w:rPr>
          <w:lang w:val="en-GB"/>
        </w:rPr>
      </w:pPr>
      <w:r w:rsidRPr="005C5429">
        <w:rPr>
          <w:lang w:val="en-GB"/>
        </w:rPr>
        <w:t>The COVID-19 pandemic presented an unprecedented challenge to global public health systems. The rapid development and subsequent worldwide deployment of COVID-19 vaccines in 2020 and 2021 represented a landmark achievement in medical science, but the distribution and administration of those vaccines across countries was deeply uneven</w:t>
      </w:r>
      <w:r w:rsidR="0059095D" w:rsidRPr="005C5429">
        <w:rPr>
          <w:lang w:val="en-GB"/>
        </w:rPr>
        <w:t xml:space="preserve">. </w:t>
      </w:r>
      <w:r w:rsidRPr="005C5429">
        <w:rPr>
          <w:lang w:val="en-GB"/>
        </w:rPr>
        <w:t>While early commentary on vaccine inequity relied largely on aggregate, country-level snapshots, the daily, publicly reported data compiled by Our World in Data make it possible to examine not only how much of the world was vaccinated, but how quickly, how consistently, and how reliably that progress could be tracked and forecast in the first place.</w:t>
      </w:r>
    </w:p>
    <w:p w14:paraId="2E3893D1" w14:textId="77777777" w:rsidR="0059095D" w:rsidRPr="005C5429" w:rsidRDefault="00226D00" w:rsidP="00F83DB2">
      <w:pPr>
        <w:spacing w:line="360" w:lineRule="auto"/>
        <w:ind w:firstLine="708"/>
        <w:rPr>
          <w:lang w:val="en-GB"/>
        </w:rPr>
      </w:pPr>
      <w:r w:rsidRPr="005C5429">
        <w:rPr>
          <w:lang w:val="en-GB"/>
        </w:rPr>
        <w:t xml:space="preserve">This report presents a data-driven analysis of COVID-19 vaccination trends across 222 countries and territories during the first nine months of global vaccine deployment, from December 2020 to August 2021. The analysis is organized around a central research question: how do vaccination trends differ across countries, and what do they reveal about global health inequality? </w:t>
      </w:r>
    </w:p>
    <w:p w14:paraId="54617CE8" w14:textId="0D2F5058" w:rsidR="00F44913" w:rsidRPr="005C5429" w:rsidRDefault="001A6DA2" w:rsidP="00F44913">
      <w:pPr>
        <w:pStyle w:val="Nadpis1"/>
        <w:pBdr>
          <w:bottom w:val="single" w:sz="8" w:space="4" w:color="FF8E00"/>
        </w:pBdr>
        <w:rPr>
          <w:lang w:val="en-GB"/>
        </w:rPr>
      </w:pPr>
      <w:r w:rsidRPr="005C5429">
        <w:rPr>
          <w:lang w:val="en-GB"/>
        </w:rPr>
        <w:br w:type="column"/>
      </w:r>
      <w:bookmarkStart w:id="5" w:name="_Toc234693086"/>
      <w:r w:rsidR="00F44913" w:rsidRPr="005C5429">
        <w:rPr>
          <w:lang w:val="en-GB"/>
        </w:rPr>
        <w:lastRenderedPageBreak/>
        <w:t>2. Problem Definition</w:t>
      </w:r>
      <w:bookmarkEnd w:id="5"/>
    </w:p>
    <w:p w14:paraId="3B01C026" w14:textId="77777777" w:rsidR="00F44913" w:rsidRPr="005C5429" w:rsidRDefault="00F44913" w:rsidP="00F44913">
      <w:pPr>
        <w:pStyle w:val="Nadpis2"/>
        <w:rPr>
          <w:lang w:val="en-GB"/>
        </w:rPr>
      </w:pPr>
      <w:bookmarkStart w:id="6" w:name="_Toc234693087"/>
      <w:r w:rsidRPr="005C5429">
        <w:rPr>
          <w:lang w:val="en-GB"/>
        </w:rPr>
        <w:t>2.1 State of the Art</w:t>
      </w:r>
      <w:bookmarkEnd w:id="6"/>
    </w:p>
    <w:p w14:paraId="4A5E46D0" w14:textId="7618377D" w:rsidR="00C856D0" w:rsidRPr="005C5429" w:rsidRDefault="003B0534" w:rsidP="00F83DB2">
      <w:pPr>
        <w:spacing w:line="360" w:lineRule="auto"/>
        <w:ind w:firstLine="708"/>
        <w:rPr>
          <w:lang w:val="en-GB"/>
        </w:rPr>
      </w:pPr>
      <w:r w:rsidRPr="005C5429">
        <w:rPr>
          <w:lang w:val="en-GB"/>
        </w:rPr>
        <w:t xml:space="preserve">Vaccine inequity during the COVID-19 pandemic has been documented extensively in the scientific literature. Wouters et al. (2021) identified multiple structural barriers to equitable </w:t>
      </w:r>
      <w:r w:rsidR="00C856D0" w:rsidRPr="005C5429">
        <w:rPr>
          <w:lang w:val="en-GB"/>
        </w:rPr>
        <w:t>vaccine access, including financial constraints, manufacturing capacity, and geopolitical factors that advantaged wealthier countries in the first year of the rollout. The COVAX initiative, established to pool procurement and ensure more equitable global distribution, faced substantial and well-documented obstacles in reaching low-income countries during 2021</w:t>
      </w:r>
      <w:r w:rsidR="002F6A67" w:rsidRPr="005C5429">
        <w:rPr>
          <w:lang w:val="en-GB"/>
        </w:rPr>
        <w:t xml:space="preserve">. </w:t>
      </w:r>
      <w:r w:rsidR="00C856D0" w:rsidRPr="005C5429">
        <w:rPr>
          <w:lang w:val="en-GB"/>
        </w:rPr>
        <w:t>More broadly, Acharya and Porwal showed that pre-existing structural healthcare inequalities were strong predictors of differential outcomes during the pandemic, a pattern consistent with the vaccination-specific findings in this report.</w:t>
      </w:r>
    </w:p>
    <w:p w14:paraId="0002BECB" w14:textId="31471ADC" w:rsidR="003B0534" w:rsidRPr="005C5429" w:rsidRDefault="00C856D0" w:rsidP="00F83DB2">
      <w:pPr>
        <w:spacing w:line="360" w:lineRule="auto"/>
        <w:ind w:firstLine="708"/>
        <w:rPr>
          <w:lang w:val="en-GB"/>
        </w:rPr>
      </w:pPr>
      <w:r w:rsidRPr="005C5429">
        <w:rPr>
          <w:lang w:val="en-GB"/>
        </w:rPr>
        <w:t>Data availability is itself a dimension of health inequality. Countries with stronger health information systems have historically been able to report disease and health-programme data continuously, while countries with weaker administrative or digital infrastructure often report sporadically or not at all</w:t>
      </w:r>
      <w:r w:rsidR="0038088A" w:rsidRPr="005C5429">
        <w:rPr>
          <w:lang w:val="en-GB"/>
        </w:rPr>
        <w:t xml:space="preserve">. </w:t>
      </w:r>
      <w:r w:rsidRPr="005C5429">
        <w:rPr>
          <w:lang w:val="en-GB"/>
        </w:rPr>
        <w:t>This has direct implications for monitoring vaccination campaigns and for any statistical model  including a forecasting model  that depends on that reported data being complete and regularly spaced in time.</w:t>
      </w:r>
    </w:p>
    <w:p w14:paraId="503A017E" w14:textId="7BFBA556" w:rsidR="00F44913" w:rsidRPr="005C5429" w:rsidRDefault="00F44913" w:rsidP="00F44913">
      <w:pPr>
        <w:pStyle w:val="Nadpis2"/>
        <w:rPr>
          <w:lang w:val="en-GB"/>
        </w:rPr>
      </w:pPr>
      <w:bookmarkStart w:id="7" w:name="_Toc234693088"/>
      <w:r w:rsidRPr="005C5429">
        <w:rPr>
          <w:lang w:val="en-GB"/>
        </w:rPr>
        <w:t>2.2 Problem Statement</w:t>
      </w:r>
      <w:bookmarkEnd w:id="7"/>
    </w:p>
    <w:p w14:paraId="5D8B48C8" w14:textId="0110D04A" w:rsidR="00AC09ED" w:rsidRPr="005C5429" w:rsidRDefault="00AC09ED" w:rsidP="00F83DB2">
      <w:pPr>
        <w:spacing w:line="360" w:lineRule="auto"/>
        <w:ind w:firstLine="708"/>
        <w:rPr>
          <w:lang w:val="en-GB"/>
        </w:rPr>
      </w:pPr>
      <w:r w:rsidRPr="005C5429">
        <w:rPr>
          <w:lang w:val="en-GB"/>
        </w:rPr>
        <w:t>Despite extensive documentation of vaccine inequity at the macro level, granular, reproducible, data-driven analyses that compare vaccination trajectories across countries using a single public dataset  and that treat the reliability of the data and of any resulting forecast as part of the inequality story, not just the outcomes themselves  remain comparatively rare. This report addresses four specific gaps:</w:t>
      </w:r>
    </w:p>
    <w:p w14:paraId="672FC85D" w14:textId="5E81DCC0" w:rsidR="00F83DB2" w:rsidRPr="005C5429" w:rsidRDefault="007A1BA0" w:rsidP="00F83DB2">
      <w:pPr>
        <w:pStyle w:val="Odstavecseseznamem"/>
        <w:numPr>
          <w:ilvl w:val="0"/>
          <w:numId w:val="8"/>
        </w:numPr>
        <w:rPr>
          <w:lang w:val="en-GB"/>
        </w:rPr>
      </w:pPr>
      <w:r w:rsidRPr="005C5429">
        <w:rPr>
          <w:lang w:val="en-GB"/>
        </w:rPr>
        <w:t>How large is the quantitative gap in vaccination coverage between high-income and low-income countries, and does it widen or narrow over the observation period?</w:t>
      </w:r>
      <w:r w:rsidR="00A12ECE" w:rsidRPr="005C5429">
        <w:rPr>
          <w:lang w:val="en-GB"/>
        </w:rPr>
        <w:br/>
      </w:r>
    </w:p>
    <w:p w14:paraId="35B94644" w14:textId="36FE98B4" w:rsidR="007A1BA0" w:rsidRPr="005C5429" w:rsidRDefault="007A1BA0" w:rsidP="00F83DB2">
      <w:pPr>
        <w:pStyle w:val="Odstavecseseznamem"/>
        <w:numPr>
          <w:ilvl w:val="0"/>
          <w:numId w:val="8"/>
        </w:numPr>
        <w:rPr>
          <w:lang w:val="en-GB"/>
        </w:rPr>
      </w:pPr>
      <w:r w:rsidRPr="005C5429">
        <w:rPr>
          <w:lang w:val="en-GB"/>
        </w:rPr>
        <w:t>Do differences manifest only in final coverage, or also in the speed of rollout?</w:t>
      </w:r>
      <w:r w:rsidR="00A12ECE" w:rsidRPr="005C5429">
        <w:rPr>
          <w:lang w:val="en-GB"/>
        </w:rPr>
        <w:br/>
      </w:r>
    </w:p>
    <w:p w14:paraId="1FC98129" w14:textId="6034FAE5" w:rsidR="007A1BA0" w:rsidRPr="005C5429" w:rsidRDefault="007A1BA0" w:rsidP="00F83DB2">
      <w:pPr>
        <w:pStyle w:val="Odstavecseseznamem"/>
        <w:numPr>
          <w:ilvl w:val="0"/>
          <w:numId w:val="8"/>
        </w:numPr>
        <w:rPr>
          <w:lang w:val="en-GB"/>
        </w:rPr>
      </w:pPr>
      <w:r w:rsidRPr="005C5429">
        <w:rPr>
          <w:lang w:val="en-GB"/>
        </w:rPr>
        <w:t>Does data missingness correlate with a country's apparent vaccination performance, and what does that imply for monitoring?</w:t>
      </w:r>
      <w:r w:rsidR="00A12ECE" w:rsidRPr="005C5429">
        <w:rPr>
          <w:lang w:val="en-GB"/>
        </w:rPr>
        <w:br/>
      </w:r>
    </w:p>
    <w:p w14:paraId="106CCF4C" w14:textId="7D13667E" w:rsidR="007A1BA0" w:rsidRPr="005C5429" w:rsidRDefault="007A1BA0" w:rsidP="00F83DB2">
      <w:pPr>
        <w:pStyle w:val="Odstavecseseznamem"/>
        <w:numPr>
          <w:ilvl w:val="0"/>
          <w:numId w:val="8"/>
        </w:numPr>
        <w:rPr>
          <w:lang w:val="en-GB"/>
        </w:rPr>
      </w:pPr>
      <w:r w:rsidRPr="005C5429">
        <w:rPr>
          <w:lang w:val="en-GB"/>
        </w:rPr>
        <w:t>Can time series forecasting models reliably project vaccination progress, and is forecast reliability itself unequal across countries  and if so, is that inequality still present once differences in absolute coverage level are accounted for?</w:t>
      </w:r>
    </w:p>
    <w:p w14:paraId="44001400" w14:textId="5EA13F9F" w:rsidR="00F44913" w:rsidRPr="005C5429" w:rsidRDefault="00F44913" w:rsidP="00F44913">
      <w:pPr>
        <w:pStyle w:val="Nadpis1"/>
        <w:pBdr>
          <w:bottom w:val="single" w:sz="8" w:space="4" w:color="FF8E00"/>
        </w:pBdr>
        <w:rPr>
          <w:lang w:val="en-GB"/>
        </w:rPr>
      </w:pPr>
      <w:bookmarkStart w:id="8" w:name="_Toc234693089"/>
      <w:r w:rsidRPr="005C5429">
        <w:rPr>
          <w:lang w:val="en-GB"/>
        </w:rPr>
        <w:lastRenderedPageBreak/>
        <w:t>3. Objectives</w:t>
      </w:r>
      <w:bookmarkEnd w:id="8"/>
    </w:p>
    <w:p w14:paraId="2465BF89" w14:textId="77777777" w:rsidR="00186B82" w:rsidRPr="005C5429" w:rsidRDefault="00186B82" w:rsidP="002C4634">
      <w:pPr>
        <w:spacing w:line="360" w:lineRule="auto"/>
        <w:ind w:firstLine="708"/>
        <w:rPr>
          <w:lang w:val="en-GB"/>
        </w:rPr>
      </w:pPr>
      <w:r w:rsidRPr="005C5429">
        <w:rPr>
          <w:lang w:val="en-GB"/>
        </w:rPr>
        <w:t>The primary objective of this study is to characterize global COVID-19 vaccination inequality through a reproducible, quantitative analysis of a single publicly available dataset. The specific analytical objectives are:</w:t>
      </w:r>
    </w:p>
    <w:p w14:paraId="6E71AF54" w14:textId="3A989363" w:rsidR="00186B82" w:rsidRPr="005C5429" w:rsidRDefault="00186B82" w:rsidP="00186B82">
      <w:pPr>
        <w:pStyle w:val="Odstavecseseznamem"/>
        <w:numPr>
          <w:ilvl w:val="0"/>
          <w:numId w:val="9"/>
        </w:numPr>
        <w:rPr>
          <w:lang w:val="en-GB"/>
        </w:rPr>
      </w:pPr>
      <w:r w:rsidRPr="005C5429">
        <w:rPr>
          <w:lang w:val="en-GB"/>
        </w:rPr>
        <w:t>To describe the distribution of vaccination coverage across countries using descriptive statistics and a diverse set of visualization techniques.</w:t>
      </w:r>
      <w:r w:rsidR="00A12ECE" w:rsidRPr="005C5429">
        <w:rPr>
          <w:lang w:val="en-GB"/>
        </w:rPr>
        <w:br/>
      </w:r>
    </w:p>
    <w:p w14:paraId="1A600B13" w14:textId="0A5AFE02" w:rsidR="00186B82" w:rsidRPr="005C5429" w:rsidRDefault="00186B82" w:rsidP="00186B82">
      <w:pPr>
        <w:pStyle w:val="Odstavecseseznamem"/>
        <w:numPr>
          <w:ilvl w:val="0"/>
          <w:numId w:val="9"/>
        </w:numPr>
        <w:rPr>
          <w:lang w:val="en-GB"/>
        </w:rPr>
      </w:pPr>
      <w:r w:rsidRPr="005C5429">
        <w:rPr>
          <w:lang w:val="en-GB"/>
        </w:rPr>
        <w:t>To compare vaccination rollout speed by measuring the time required for countries to reach 50% full vaccination coverage.</w:t>
      </w:r>
      <w:r w:rsidR="00A12ECE" w:rsidRPr="005C5429">
        <w:rPr>
          <w:lang w:val="en-GB"/>
        </w:rPr>
        <w:br/>
      </w:r>
    </w:p>
    <w:p w14:paraId="71959E8F" w14:textId="5FCF3950" w:rsidR="00186B82" w:rsidRPr="005C5429" w:rsidRDefault="00186B82" w:rsidP="00186B82">
      <w:pPr>
        <w:pStyle w:val="Odstavecseseznamem"/>
        <w:numPr>
          <w:ilvl w:val="0"/>
          <w:numId w:val="9"/>
        </w:numPr>
        <w:rPr>
          <w:lang w:val="en-GB"/>
        </w:rPr>
      </w:pPr>
      <w:r w:rsidRPr="005C5429">
        <w:rPr>
          <w:lang w:val="en-GB"/>
        </w:rPr>
        <w:t xml:space="preserve">To </w:t>
      </w:r>
      <w:r w:rsidR="00AF4052" w:rsidRPr="005C5429">
        <w:rPr>
          <w:lang w:val="en-GB"/>
        </w:rPr>
        <w:t>analyse</w:t>
      </w:r>
      <w:r w:rsidRPr="005C5429">
        <w:rPr>
          <w:lang w:val="en-GB"/>
        </w:rPr>
        <w:t xml:space="preserve"> income-group and continental differences in vaccination trajectories, and to quantify how reporting completeness itself varies across countries.</w:t>
      </w:r>
      <w:r w:rsidR="00A12ECE" w:rsidRPr="005C5429">
        <w:rPr>
          <w:lang w:val="en-GB"/>
        </w:rPr>
        <w:br/>
      </w:r>
    </w:p>
    <w:p w14:paraId="13F0B8CE" w14:textId="53A44511" w:rsidR="00186B82" w:rsidRPr="005C5429" w:rsidRDefault="00186B82" w:rsidP="00186B82">
      <w:pPr>
        <w:pStyle w:val="Odstavecseseznamem"/>
        <w:numPr>
          <w:ilvl w:val="0"/>
          <w:numId w:val="9"/>
        </w:numPr>
        <w:rPr>
          <w:lang w:val="en-GB"/>
        </w:rPr>
      </w:pPr>
      <w:r w:rsidRPr="005C5429">
        <w:rPr>
          <w:lang w:val="en-GB"/>
        </w:rPr>
        <w:t>To apply unsupervised learning methods to identify country groupings by vaccination profile, with the number of clusters justified empirically rather than assumed.</w:t>
      </w:r>
      <w:r w:rsidR="00A12ECE" w:rsidRPr="005C5429">
        <w:rPr>
          <w:lang w:val="en-GB"/>
        </w:rPr>
        <w:br/>
      </w:r>
    </w:p>
    <w:p w14:paraId="14EE7D32" w14:textId="52EF78EF" w:rsidR="00186B82" w:rsidRPr="005C5429" w:rsidRDefault="00186B82" w:rsidP="00186B82">
      <w:pPr>
        <w:pStyle w:val="Odstavecseseznamem"/>
        <w:numPr>
          <w:ilvl w:val="0"/>
          <w:numId w:val="9"/>
        </w:numPr>
        <w:rPr>
          <w:lang w:val="en-GB"/>
        </w:rPr>
      </w:pPr>
      <w:r w:rsidRPr="005C5429">
        <w:rPr>
          <w:lang w:val="en-GB"/>
        </w:rPr>
        <w:t>To evaluate the predictive reliability of ARIMA time series models for vaccination forecasting across countries at different coverage levels, and to test  rather than assume  whether that reliability tracks income level.</w:t>
      </w:r>
    </w:p>
    <w:p w14:paraId="1B40C824" w14:textId="77777777" w:rsidR="00F44913" w:rsidRPr="005C5429" w:rsidRDefault="00F44913" w:rsidP="00F44913">
      <w:pPr>
        <w:rPr>
          <w:lang w:val="en-GB"/>
        </w:rPr>
      </w:pPr>
      <w:r w:rsidRPr="005C5429">
        <w:rPr>
          <w:lang w:val="en-GB"/>
        </w:rPr>
        <w:br w:type="page"/>
      </w:r>
    </w:p>
    <w:p w14:paraId="21E23DC0" w14:textId="050D3846" w:rsidR="00F44913" w:rsidRPr="005C5429" w:rsidRDefault="00F44913" w:rsidP="00F44913">
      <w:pPr>
        <w:pStyle w:val="Nadpis1"/>
        <w:pBdr>
          <w:bottom w:val="single" w:sz="8" w:space="4" w:color="FF8E00"/>
        </w:pBdr>
        <w:rPr>
          <w:lang w:val="en-GB"/>
        </w:rPr>
      </w:pPr>
      <w:bookmarkStart w:id="9" w:name="_Toc234693090"/>
      <w:r w:rsidRPr="005C5429">
        <w:rPr>
          <w:lang w:val="en-GB"/>
        </w:rPr>
        <w:lastRenderedPageBreak/>
        <w:t>4. Methods</w:t>
      </w:r>
      <w:bookmarkEnd w:id="9"/>
    </w:p>
    <w:p w14:paraId="7F67B94D" w14:textId="77777777" w:rsidR="00F44913" w:rsidRPr="005C5429" w:rsidRDefault="00F44913" w:rsidP="00F44913">
      <w:pPr>
        <w:pStyle w:val="Nadpis2"/>
        <w:rPr>
          <w:lang w:val="en-GB"/>
        </w:rPr>
      </w:pPr>
      <w:bookmarkStart w:id="10" w:name="_Toc234693091"/>
      <w:r w:rsidRPr="005C5429">
        <w:rPr>
          <w:lang w:val="en-GB"/>
        </w:rPr>
        <w:t>4.1 Dataset</w:t>
      </w:r>
      <w:bookmarkEnd w:id="10"/>
    </w:p>
    <w:p w14:paraId="0ADEAB53" w14:textId="703D5D92" w:rsidR="00F44913" w:rsidRPr="005C5429" w:rsidRDefault="00455E11" w:rsidP="002C4634">
      <w:pPr>
        <w:spacing w:line="360" w:lineRule="auto"/>
        <w:ind w:firstLine="708"/>
        <w:rPr>
          <w:lang w:val="en-GB"/>
        </w:rPr>
      </w:pPr>
      <w:r w:rsidRPr="005C5429">
        <w:rPr>
          <w:lang w:val="en-GB"/>
        </w:rPr>
        <w:t>The analysis uses the Our World in Data COVID-19 vaccination dataset with daily observations for 234 locations, of which 222 are individual countries or territories and 12 are continent- or income-group aggregates (World, Europe, European Union, Asia, Africa, North America, South America, Oceania, and the four World Bank income groups). The country-level data span December 2, 2020, to August 28, 2021, and provide 14 variables per observation, including total vaccinations, people vaccinated, people fully vaccinated, and booster doses, each available as both an absolute count and a rate per 100 inhabitants.</w:t>
      </w:r>
    </w:p>
    <w:p w14:paraId="1B5F464D" w14:textId="77777777" w:rsidR="00F44913" w:rsidRPr="005C5429" w:rsidRDefault="00F44913" w:rsidP="00F44913">
      <w:pPr>
        <w:pStyle w:val="Nadpis2"/>
        <w:rPr>
          <w:lang w:val="en-GB"/>
        </w:rPr>
      </w:pPr>
      <w:bookmarkStart w:id="11" w:name="_Toc234693092"/>
      <w:r w:rsidRPr="005C5429">
        <w:rPr>
          <w:lang w:val="en-GB"/>
        </w:rPr>
        <w:t>4.2 Data Cleaning</w:t>
      </w:r>
      <w:bookmarkEnd w:id="11"/>
    </w:p>
    <w:p w14:paraId="317F74EF" w14:textId="7856A979" w:rsidR="00CA7737" w:rsidRPr="005C5429" w:rsidRDefault="00CA7737" w:rsidP="002C4634">
      <w:pPr>
        <w:spacing w:line="360" w:lineRule="auto"/>
        <w:ind w:firstLine="708"/>
        <w:rPr>
          <w:lang w:val="en-GB"/>
        </w:rPr>
      </w:pPr>
      <w:r w:rsidRPr="005C5429">
        <w:rPr>
          <w:lang w:val="en-GB"/>
        </w:rPr>
        <w:t>The raw file was loaded directly with missing values already encoded as empty cells. Percentage-type columns were coerced to numeric type, and date strings were parsed as calendar dates. Regional and income-group aggregate rows were separated from individual country rows</w:t>
      </w:r>
      <w:r w:rsidR="00B5241F" w:rsidRPr="005C5429">
        <w:rPr>
          <w:lang w:val="en-GB"/>
        </w:rPr>
        <w:t>.</w:t>
      </w:r>
      <w:r w:rsidRPr="005C5429">
        <w:rPr>
          <w:lang w:val="en-GB"/>
        </w:rPr>
        <w:t xml:space="preserve"> </w:t>
      </w:r>
      <w:r w:rsidR="00B5241F" w:rsidRPr="005C5429">
        <w:rPr>
          <w:lang w:val="en-GB"/>
        </w:rPr>
        <w:t>A</w:t>
      </w:r>
      <w:r w:rsidRPr="005C5429">
        <w:rPr>
          <w:lang w:val="en-GB"/>
        </w:rPr>
        <w:t>ggregates were retained for the income-group comparison but excluded from every country-level analysis to avoid double-counting, leaving 222 individual countries and territories, of which 216 have at least one non-missing full-vaccination record.</w:t>
      </w:r>
    </w:p>
    <w:p w14:paraId="1B0F4C72" w14:textId="1B8752C8" w:rsidR="00F44913" w:rsidRPr="005C5429" w:rsidRDefault="00F44913" w:rsidP="00F44913">
      <w:pPr>
        <w:pStyle w:val="Nadpis2"/>
        <w:rPr>
          <w:lang w:val="en-GB"/>
        </w:rPr>
      </w:pPr>
      <w:bookmarkStart w:id="12" w:name="_Toc234693093"/>
      <w:r w:rsidRPr="005C5429">
        <w:rPr>
          <w:lang w:val="en-GB"/>
        </w:rPr>
        <w:t>4.3 Descriptive Statistics and Visualisation</w:t>
      </w:r>
      <w:bookmarkEnd w:id="12"/>
    </w:p>
    <w:p w14:paraId="3739875C" w14:textId="77777777" w:rsidR="00BE160C" w:rsidRPr="005C5429" w:rsidRDefault="007B6053" w:rsidP="002C4634">
      <w:pPr>
        <w:spacing w:line="360" w:lineRule="auto"/>
        <w:ind w:firstLine="708"/>
        <w:rPr>
          <w:lang w:val="en-GB"/>
        </w:rPr>
      </w:pPr>
      <w:r w:rsidRPr="005C5429">
        <w:rPr>
          <w:lang w:val="en-GB"/>
        </w:rPr>
        <w:t>Descriptive statistics were computed for the primary outcome variable, people fully vaccinated per 100 inhabitants, including the distribution's extremes and its variation across countries. A cross-sectional snapshot was constructed by retaining each country's own latest available observation; because these "latest" dates range from April to August 2021 across countries, comparisons based on this snapshot are noted as a limitation throughout</w:t>
      </w:r>
      <w:r w:rsidR="00BE160C" w:rsidRPr="005C5429">
        <w:rPr>
          <w:lang w:val="en-GB"/>
        </w:rPr>
        <w:t>.</w:t>
      </w:r>
    </w:p>
    <w:p w14:paraId="5033B266" w14:textId="5124C8A0" w:rsidR="007B6053" w:rsidRPr="005C5429" w:rsidRDefault="007B6053" w:rsidP="002C4634">
      <w:pPr>
        <w:spacing w:line="360" w:lineRule="auto"/>
        <w:ind w:firstLine="708"/>
        <w:rPr>
          <w:lang w:val="en-GB"/>
        </w:rPr>
      </w:pPr>
      <w:r w:rsidRPr="005C5429">
        <w:rPr>
          <w:lang w:val="en-GB"/>
        </w:rPr>
        <w:t xml:space="preserve">All visualizations were produced using </w:t>
      </w:r>
      <w:r w:rsidRPr="005C5429">
        <w:rPr>
          <w:rFonts w:ascii="Cascadia Code" w:hAnsi="Cascadia Code" w:cs="Cascadia Code"/>
          <w:lang w:val="en-GB"/>
        </w:rPr>
        <w:t>ggplot2</w:t>
      </w:r>
      <w:r w:rsidRPr="005C5429">
        <w:rPr>
          <w:lang w:val="en-GB"/>
        </w:rPr>
        <w:t xml:space="preserve"> with a consistent colour palette</w:t>
      </w:r>
      <w:r w:rsidR="00BE160C" w:rsidRPr="005C5429">
        <w:rPr>
          <w:lang w:val="en-GB"/>
        </w:rPr>
        <w:t xml:space="preserve"> </w:t>
      </w:r>
      <w:r w:rsidR="00286109" w:rsidRPr="005C5429">
        <w:rPr>
          <w:lang w:val="en-GB"/>
        </w:rPr>
        <w:t xml:space="preserve">adjusted for </w:t>
      </w:r>
      <w:proofErr w:type="spellStart"/>
      <w:r w:rsidR="00286109" w:rsidRPr="005C5429">
        <w:rPr>
          <w:lang w:val="en-GB"/>
        </w:rPr>
        <w:t>colorblindness</w:t>
      </w:r>
      <w:proofErr w:type="spellEnd"/>
      <w:r w:rsidRPr="005C5429">
        <w:rPr>
          <w:lang w:val="en-GB"/>
        </w:rPr>
        <w:t xml:space="preserve">, together with several extension packages  </w:t>
      </w:r>
      <w:proofErr w:type="spellStart"/>
      <w:r w:rsidRPr="005C5429">
        <w:rPr>
          <w:rFonts w:ascii="Cascadia Code" w:hAnsi="Cascadia Code"/>
          <w:lang w:val="en-GB"/>
        </w:rPr>
        <w:t>ggbreak</w:t>
      </w:r>
      <w:proofErr w:type="spellEnd"/>
      <w:r w:rsidRPr="005C5429">
        <w:rPr>
          <w:lang w:val="en-GB"/>
        </w:rPr>
        <w:t xml:space="preserve"> for axis-break charts, </w:t>
      </w:r>
      <w:proofErr w:type="spellStart"/>
      <w:r w:rsidRPr="005C5429">
        <w:rPr>
          <w:rFonts w:ascii="Cascadia Code" w:hAnsi="Cascadia Code"/>
          <w:lang w:val="en-GB"/>
        </w:rPr>
        <w:t>ggdist</w:t>
      </w:r>
      <w:proofErr w:type="spellEnd"/>
      <w:r w:rsidRPr="005C5429">
        <w:rPr>
          <w:lang w:val="en-GB"/>
        </w:rPr>
        <w:t xml:space="preserve"> and </w:t>
      </w:r>
      <w:proofErr w:type="spellStart"/>
      <w:r w:rsidRPr="005C5429">
        <w:rPr>
          <w:rFonts w:ascii="Cascadia Code" w:hAnsi="Cascadia Code"/>
          <w:lang w:val="en-GB"/>
        </w:rPr>
        <w:t>ggbeeswarm</w:t>
      </w:r>
      <w:proofErr w:type="spellEnd"/>
      <w:r w:rsidRPr="005C5429">
        <w:rPr>
          <w:lang w:val="en-GB"/>
        </w:rPr>
        <w:t xml:space="preserve"> for the raincloud plot, and </w:t>
      </w:r>
      <w:proofErr w:type="spellStart"/>
      <w:r w:rsidRPr="005C5429">
        <w:rPr>
          <w:rFonts w:ascii="Cascadia Code" w:hAnsi="Cascadia Code"/>
          <w:lang w:val="en-GB"/>
        </w:rPr>
        <w:t>ggcorrplot</w:t>
      </w:r>
      <w:proofErr w:type="spellEnd"/>
      <w:r w:rsidRPr="005C5429">
        <w:rPr>
          <w:lang w:val="en-GB"/>
        </w:rPr>
        <w:t xml:space="preserve"> for the correlation heat map</w:t>
      </w:r>
      <w:r w:rsidR="00286109" w:rsidRPr="005C5429">
        <w:rPr>
          <w:lang w:val="en-GB"/>
        </w:rPr>
        <w:t>.</w:t>
      </w:r>
    </w:p>
    <w:p w14:paraId="22C322FB" w14:textId="19C68770" w:rsidR="00F44913" w:rsidRPr="005C5429" w:rsidRDefault="001A6DA2" w:rsidP="00F44913">
      <w:pPr>
        <w:pStyle w:val="Nadpis2"/>
        <w:rPr>
          <w:lang w:val="en-GB"/>
        </w:rPr>
      </w:pPr>
      <w:r w:rsidRPr="005C5429">
        <w:rPr>
          <w:lang w:val="en-GB"/>
        </w:rPr>
        <w:br w:type="column"/>
      </w:r>
      <w:bookmarkStart w:id="13" w:name="_Toc234693094"/>
      <w:r w:rsidR="00F44913" w:rsidRPr="005C5429">
        <w:rPr>
          <w:lang w:val="en-GB"/>
        </w:rPr>
        <w:lastRenderedPageBreak/>
        <w:t>4.4 Rollout Speed Analysis</w:t>
      </w:r>
      <w:bookmarkEnd w:id="13"/>
    </w:p>
    <w:p w14:paraId="2160B238" w14:textId="77777777" w:rsidR="009947CE" w:rsidRPr="005C5429" w:rsidRDefault="009947CE" w:rsidP="002C4634">
      <w:pPr>
        <w:spacing w:line="360" w:lineRule="auto"/>
        <w:ind w:firstLine="708"/>
        <w:rPr>
          <w:lang w:val="en-GB"/>
        </w:rPr>
      </w:pPr>
      <w:r w:rsidRPr="005C5429">
        <w:rPr>
          <w:lang w:val="en-GB"/>
        </w:rPr>
        <w:t>To quantify differences in vaccination speed independently of final coverage, each country was classified according to whether it ever reached 50% full vaccination coverage during the observation period. For countries that did, the number of days between their first recorded vaccination observation and the date that threshold was reached was calculated as a proxy for rollout speed.</w:t>
      </w:r>
    </w:p>
    <w:p w14:paraId="2E9F9B6E" w14:textId="5103FF29" w:rsidR="00F44913" w:rsidRPr="005C5429" w:rsidRDefault="00F44913" w:rsidP="00F44913">
      <w:pPr>
        <w:pStyle w:val="Nadpis2"/>
        <w:rPr>
          <w:lang w:val="en-GB"/>
        </w:rPr>
      </w:pPr>
      <w:bookmarkStart w:id="14" w:name="_Toc234693095"/>
      <w:r w:rsidRPr="005C5429">
        <w:rPr>
          <w:lang w:val="en-GB"/>
        </w:rPr>
        <w:t>4.5 Principal Component Analysis (PCA)</w:t>
      </w:r>
      <w:bookmarkEnd w:id="14"/>
    </w:p>
    <w:p w14:paraId="7EBE78B7" w14:textId="1798ECCC" w:rsidR="00CA43E2" w:rsidRPr="005C5429" w:rsidRDefault="00286109" w:rsidP="002C4634">
      <w:pPr>
        <w:spacing w:line="360" w:lineRule="auto"/>
        <w:ind w:firstLine="708"/>
        <w:rPr>
          <w:lang w:val="en-GB"/>
        </w:rPr>
      </w:pPr>
      <w:r w:rsidRPr="005C5429">
        <w:rPr>
          <w:lang w:val="en-GB"/>
        </w:rPr>
        <w:t>PCA</w:t>
      </w:r>
      <w:r w:rsidR="0020132E" w:rsidRPr="005C5429">
        <w:rPr>
          <w:lang w:val="en-GB"/>
        </w:rPr>
        <w:t xml:space="preserve"> was applied to four vaccination indicators</w:t>
      </w:r>
      <w:r w:rsidRPr="005C5429">
        <w:rPr>
          <w:lang w:val="en-GB"/>
        </w:rPr>
        <w:t xml:space="preserve"> such as</w:t>
      </w:r>
      <w:r w:rsidR="0020132E" w:rsidRPr="005C5429">
        <w:rPr>
          <w:lang w:val="en-GB"/>
        </w:rPr>
        <w:t xml:space="preserve"> total vaccinations, people vaccinated, people fully vaccinated (all per hundred), and daily vaccinations per million</w:t>
      </w:r>
      <w:r w:rsidR="0088121E" w:rsidRPr="005C5429">
        <w:rPr>
          <w:lang w:val="en-GB"/>
        </w:rPr>
        <w:t xml:space="preserve"> </w:t>
      </w:r>
      <w:r w:rsidR="0020132E" w:rsidRPr="005C5429">
        <w:rPr>
          <w:lang w:val="en-GB"/>
        </w:rPr>
        <w:t xml:space="preserve">after standardization to zero mean and unit variance. PCA reduces these correlated indicators to a small number of orthogonal components, each capturing a share of the total variance; the first two components were retained for visualization. </w:t>
      </w:r>
    </w:p>
    <w:p w14:paraId="6148CB26" w14:textId="28F94AFC" w:rsidR="00F44913" w:rsidRPr="005C5429" w:rsidRDefault="00F44913" w:rsidP="00F44913">
      <w:pPr>
        <w:pStyle w:val="Nadpis2"/>
        <w:rPr>
          <w:lang w:val="en-GB"/>
        </w:rPr>
      </w:pPr>
      <w:bookmarkStart w:id="15" w:name="_Toc234693096"/>
      <w:r w:rsidRPr="005C5429">
        <w:rPr>
          <w:lang w:val="en-GB"/>
        </w:rPr>
        <w:t>4.6 K-means Clustering</w:t>
      </w:r>
      <w:bookmarkEnd w:id="15"/>
    </w:p>
    <w:p w14:paraId="02D35C32" w14:textId="3ABB0A45" w:rsidR="004E313D" w:rsidRPr="005C5429" w:rsidRDefault="004E313D" w:rsidP="002C4634">
      <w:pPr>
        <w:spacing w:line="360" w:lineRule="auto"/>
        <w:ind w:firstLine="708"/>
        <w:rPr>
          <w:lang w:val="en-GB"/>
        </w:rPr>
      </w:pPr>
      <w:r w:rsidRPr="005C5429">
        <w:rPr>
          <w:lang w:val="en-GB"/>
        </w:rPr>
        <w:t>K-means clustering was applied to the same standardized indicators to identify distinct country groupings by vaccination profile. Rather than assuming three clusters from theory alone, the number of clusters was first assessed using the within-cluster sum-of-squares ("elbow") method and the average silhouette width</w:t>
      </w:r>
      <w:r w:rsidR="0088121E" w:rsidRPr="005C5429">
        <w:rPr>
          <w:lang w:val="en-GB"/>
        </w:rPr>
        <w:t xml:space="preserve">, </w:t>
      </w:r>
      <w:r w:rsidRPr="005C5429">
        <w:rPr>
          <w:lang w:val="en-GB"/>
        </w:rPr>
        <w:t xml:space="preserve">both computed with the </w:t>
      </w:r>
      <w:proofErr w:type="spellStart"/>
      <w:r w:rsidRPr="005C5429">
        <w:rPr>
          <w:rFonts w:ascii="Cascadia Code" w:hAnsi="Cascadia Code"/>
          <w:lang w:val="en-GB"/>
        </w:rPr>
        <w:t>factoextra</w:t>
      </w:r>
      <w:proofErr w:type="spellEnd"/>
      <w:r w:rsidRPr="005C5429">
        <w:rPr>
          <w:lang w:val="en-GB"/>
        </w:rPr>
        <w:t xml:space="preserve"> package.</w:t>
      </w:r>
      <w:r w:rsidR="0088121E" w:rsidRPr="005C5429">
        <w:rPr>
          <w:lang w:val="en-GB"/>
        </w:rPr>
        <w:t xml:space="preserve"> </w:t>
      </w:r>
      <w:r w:rsidRPr="005C5429">
        <w:rPr>
          <w:lang w:val="en-GB"/>
        </w:rPr>
        <w:t>k = 3 was retained on the basis of these diagnostics together with the theoretically expected high/moderate/low coverage segmentation. A fixed random seed was set prior to model fitting, in accordance with the minimum standard of reproducibility</w:t>
      </w:r>
      <w:r w:rsidR="0088121E" w:rsidRPr="005C5429">
        <w:rPr>
          <w:lang w:val="en-GB"/>
        </w:rPr>
        <w:t xml:space="preserve">. </w:t>
      </w:r>
      <w:r w:rsidRPr="005C5429">
        <w:rPr>
          <w:lang w:val="en-GB"/>
        </w:rPr>
        <w:t>Because</w:t>
      </w:r>
      <w:r w:rsidR="0088121E" w:rsidRPr="005C5429">
        <w:rPr>
          <w:lang w:val="en-GB"/>
        </w:rPr>
        <w:t xml:space="preserve"> </w:t>
      </w:r>
      <w:r w:rsidRPr="005C5429">
        <w:rPr>
          <w:lang w:val="en-GB"/>
        </w:rPr>
        <w:t>k-</w:t>
      </w:r>
      <w:r w:rsidR="00C73F72" w:rsidRPr="005C5429">
        <w:rPr>
          <w:lang w:val="en-GB"/>
        </w:rPr>
        <w:t>m</w:t>
      </w:r>
      <w:r w:rsidRPr="005C5429">
        <w:rPr>
          <w:lang w:val="en-GB"/>
        </w:rPr>
        <w:t>eans assigns cluster numbers arbitrarily, the three resulting clusters were labelled according to each cluster's own computed mean coverage.</w:t>
      </w:r>
    </w:p>
    <w:p w14:paraId="48AC950B" w14:textId="5B16554D" w:rsidR="00F44913" w:rsidRPr="005C5429" w:rsidRDefault="00F44913" w:rsidP="00F44913">
      <w:pPr>
        <w:pStyle w:val="Nadpis2"/>
        <w:rPr>
          <w:lang w:val="en-GB"/>
        </w:rPr>
      </w:pPr>
      <w:bookmarkStart w:id="16" w:name="_Toc234693097"/>
      <w:r w:rsidRPr="005C5429">
        <w:rPr>
          <w:lang w:val="en-GB"/>
        </w:rPr>
        <w:t>4.7 ARIMA Time Series Forecasting</w:t>
      </w:r>
      <w:bookmarkEnd w:id="16"/>
    </w:p>
    <w:p w14:paraId="42ED3EE8" w14:textId="688B070D" w:rsidR="00CA43E2" w:rsidRPr="005C5429" w:rsidRDefault="00CA43E2" w:rsidP="002C4634">
      <w:pPr>
        <w:spacing w:line="360" w:lineRule="auto"/>
        <w:ind w:firstLine="708"/>
        <w:rPr>
          <w:lang w:val="en-GB"/>
        </w:rPr>
      </w:pPr>
      <w:r w:rsidRPr="005C5429">
        <w:rPr>
          <w:lang w:val="en-GB"/>
        </w:rPr>
        <w:t xml:space="preserve">Autoregressive Integrated Moving Average models were fitted to the daily vaccination coverage series of selected countries using the </w:t>
      </w:r>
      <w:proofErr w:type="spellStart"/>
      <w:r w:rsidRPr="005C5429">
        <w:rPr>
          <w:rFonts w:ascii="Cascadia Code" w:hAnsi="Cascadia Code"/>
          <w:i/>
          <w:iCs/>
          <w:lang w:val="en-GB"/>
        </w:rPr>
        <w:t>auto.arima</w:t>
      </w:r>
      <w:proofErr w:type="spellEnd"/>
      <w:r w:rsidRPr="005C5429">
        <w:rPr>
          <w:rFonts w:ascii="Cascadia Code" w:hAnsi="Cascadia Code"/>
          <w:i/>
          <w:iCs/>
          <w:lang w:val="en-GB"/>
        </w:rPr>
        <w:t>()</w:t>
      </w:r>
      <w:r w:rsidRPr="005C5429">
        <w:rPr>
          <w:lang w:val="en-GB"/>
        </w:rPr>
        <w:t xml:space="preserve"> function from the </w:t>
      </w:r>
      <w:r w:rsidRPr="005C5429">
        <w:rPr>
          <w:rFonts w:ascii="Cascadia Code" w:hAnsi="Cascadia Code" w:cs="Cascadia Code"/>
          <w:lang w:val="en-GB"/>
        </w:rPr>
        <w:t>forecast</w:t>
      </w:r>
      <w:r w:rsidRPr="005C5429">
        <w:rPr>
          <w:lang w:val="en-GB"/>
        </w:rPr>
        <w:t xml:space="preserve"> package</w:t>
      </w:r>
      <w:r w:rsidR="0059095D" w:rsidRPr="005C5429">
        <w:rPr>
          <w:lang w:val="en-GB"/>
        </w:rPr>
        <w:t xml:space="preserve">, </w:t>
      </w:r>
      <w:r w:rsidRPr="005C5429">
        <w:rPr>
          <w:lang w:val="en-GB"/>
        </w:rPr>
        <w:t>which selects its own differencing order via internal unit-root tests rather than a fixed, assumed order. A weekly seasonal frequency was specified to match the data's reporting cycle. Because not every country reports on every calendar day</w:t>
      </w:r>
      <w:r w:rsidR="006B0C0F" w:rsidRPr="005C5429">
        <w:rPr>
          <w:lang w:val="en-GB"/>
        </w:rPr>
        <w:t>, a</w:t>
      </w:r>
      <w:r w:rsidRPr="005C5429">
        <w:rPr>
          <w:lang w:val="en-GB"/>
        </w:rPr>
        <w:t xml:space="preserve"> verified gap of 10 multi-day jumps in India's series and 32 in Bangladesh's, versus none in Germany's  each country's series was first re-expressed on a complete daily calendar with missing days linearly interpolated before model fitting, so that the weekly seasonal index in the model corresponds to actual calendar days rather than to raw row position.</w:t>
      </w:r>
    </w:p>
    <w:p w14:paraId="3DB7CB4C" w14:textId="061B6DAF" w:rsidR="00F44913" w:rsidRPr="005C5429" w:rsidRDefault="00CA43E2" w:rsidP="00966DA9">
      <w:pPr>
        <w:pStyle w:val="Bezmezer"/>
        <w:pBdr>
          <w:bottom w:val="single" w:sz="4" w:space="0" w:color="E97132" w:themeColor="accent2"/>
        </w:pBdr>
        <w:spacing w:line="360" w:lineRule="auto"/>
        <w:ind w:firstLine="708"/>
        <w:rPr>
          <w:rStyle w:val="Nadpis1Char"/>
          <w:lang w:val="en-GB"/>
        </w:rPr>
      </w:pPr>
      <w:bookmarkStart w:id="17" w:name="_Toc234614453"/>
      <w:r w:rsidRPr="00966DA9">
        <w:rPr>
          <w:lang w:val="en-GB"/>
        </w:rPr>
        <w:lastRenderedPageBreak/>
        <w:t>Germany's series was modelled first as a single-country case study, with residual diagnostics, an ETS benchmark model, and an 80/20 train-test split used to validate the modelling approach. The same modelling strategy was then extended, unchanged, to a three-country comparison</w:t>
      </w:r>
      <w:r w:rsidR="00781905" w:rsidRPr="00966DA9">
        <w:rPr>
          <w:lang w:val="en-GB"/>
        </w:rPr>
        <w:t xml:space="preserve">: </w:t>
      </w:r>
      <w:r w:rsidRPr="00966DA9">
        <w:rPr>
          <w:lang w:val="en-GB"/>
        </w:rPr>
        <w:t>Spain, India, and Bangladesh</w:t>
      </w:r>
      <w:r w:rsidR="00781905" w:rsidRPr="00966DA9">
        <w:rPr>
          <w:lang w:val="en-GB"/>
        </w:rPr>
        <w:t xml:space="preserve">, </w:t>
      </w:r>
      <w:r w:rsidRPr="00966DA9">
        <w:rPr>
          <w:lang w:val="en-GB"/>
        </w:rPr>
        <w:t>chosen to span a high-income, a middle-income, and a lower-middle-income country. An Augmented Dickey-Fuller test was used alongside each fitted model's own selected order to characterize the stationarity properties of each country's series. Forecast reliability was then summarized with two complementary metrics: the mean width of each country's 95% prediction interval over a 30-day horizon in absolute percentage points, and the same width expressed as a share of that country's own forecast level, to separate genuine differences in reliability from the mechanical effect of a country's coverage being closer to, or further from, saturation.</w:t>
      </w:r>
      <w:r w:rsidR="00F44913" w:rsidRPr="005C5429">
        <w:rPr>
          <w:lang w:val="en-GB"/>
        </w:rPr>
        <w:br w:type="column"/>
      </w:r>
      <w:r w:rsidR="00F44913" w:rsidRPr="00966DA9">
        <w:rPr>
          <w:rFonts w:asciiTheme="majorHAnsi" w:eastAsiaTheme="majorEastAsia" w:hAnsiTheme="majorHAnsi" w:cstheme="majorBidi"/>
          <w:color w:val="0F4761" w:themeColor="accent1" w:themeShade="BF"/>
          <w:sz w:val="40"/>
          <w:szCs w:val="40"/>
          <w:lang w:val="en-GB"/>
        </w:rPr>
        <w:lastRenderedPageBreak/>
        <w:t>5. Results</w:t>
      </w:r>
      <w:bookmarkEnd w:id="17"/>
    </w:p>
    <w:p w14:paraId="4EFEF1E2" w14:textId="77777777" w:rsidR="00F44913" w:rsidRPr="005C5429" w:rsidRDefault="00F44913" w:rsidP="00F44913">
      <w:pPr>
        <w:pStyle w:val="Nadpis2"/>
        <w:rPr>
          <w:lang w:val="en-GB"/>
        </w:rPr>
      </w:pPr>
      <w:bookmarkStart w:id="18" w:name="_Toc234693098"/>
      <w:r w:rsidRPr="005C5429">
        <w:rPr>
          <w:lang w:val="en-GB"/>
        </w:rPr>
        <w:t>5.1 Descriptive Overview</w:t>
      </w:r>
      <w:bookmarkEnd w:id="18"/>
    </w:p>
    <w:p w14:paraId="77C64E78" w14:textId="7878D964" w:rsidR="00F44913" w:rsidRPr="005C5429" w:rsidRDefault="00D54CC6" w:rsidP="002C4634">
      <w:pPr>
        <w:spacing w:line="360" w:lineRule="auto"/>
        <w:ind w:firstLine="708"/>
        <w:rPr>
          <w:lang w:val="en-GB"/>
        </w:rPr>
      </w:pPr>
      <w:r w:rsidRPr="005C5429">
        <w:rPr>
          <w:lang w:val="en-GB"/>
        </w:rPr>
        <w:t>Figure 1 compares five countries Spain, Germany, Czechia, Brazil, and India chosen to span high-income European states and two larger middle- and lower-middle-income countries. Spain, Germany, and Czechia show considerably faster rollout trajectories than Brazil and India; India remains clearly below the 50% threshold throughout the observation window.</w:t>
      </w:r>
    </w:p>
    <w:p w14:paraId="224B507C" w14:textId="77777777" w:rsidR="00037C7C" w:rsidRPr="005C5429" w:rsidRDefault="008C226B" w:rsidP="00037C7C">
      <w:pPr>
        <w:rPr>
          <w:rStyle w:val="Zdraznnjemn"/>
          <w:lang w:val="en-GB"/>
        </w:rPr>
      </w:pPr>
      <w:r w:rsidRPr="005C5429">
        <w:rPr>
          <w:rStyle w:val="Zdraznnjemn"/>
          <w:noProof/>
          <w:lang w:val="en-GB"/>
        </w:rPr>
        <w:drawing>
          <wp:anchor distT="0" distB="0" distL="114300" distR="114300" simplePos="0" relativeHeight="251678720" behindDoc="0" locked="0" layoutInCell="1" allowOverlap="1" wp14:anchorId="2305B0F7" wp14:editId="66E77E8A">
            <wp:simplePos x="0" y="0"/>
            <wp:positionH relativeFrom="column">
              <wp:posOffset>-140335</wp:posOffset>
            </wp:positionH>
            <wp:positionV relativeFrom="paragraph">
              <wp:posOffset>81915</wp:posOffset>
            </wp:positionV>
            <wp:extent cx="5760720" cy="3686810"/>
            <wp:effectExtent l="0" t="0" r="0" b="8890"/>
            <wp:wrapTopAndBottom/>
            <wp:docPr id="699743087" name="Obráze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743087" name="Obrázek 699743087"/>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60720" cy="3686810"/>
                    </a:xfrm>
                    <a:prstGeom prst="rect">
                      <a:avLst/>
                    </a:prstGeom>
                  </pic:spPr>
                </pic:pic>
              </a:graphicData>
            </a:graphic>
          </wp:anchor>
        </w:drawing>
      </w:r>
      <w:r w:rsidR="00AD1232" w:rsidRPr="005C5429">
        <w:rPr>
          <w:rStyle w:val="Zdraznnjemn"/>
          <w:lang w:val="en-GB"/>
        </w:rPr>
        <w:t>Figure 1. COVID-19 full vaccination trends in five selected countries. The dashed line marks the 50% threshold.</w:t>
      </w:r>
    </w:p>
    <w:p w14:paraId="094F99FC" w14:textId="77777777" w:rsidR="00037C7C" w:rsidRPr="005C5429" w:rsidRDefault="00037C7C" w:rsidP="00037C7C">
      <w:pPr>
        <w:rPr>
          <w:rFonts w:ascii="Times New Roman" w:eastAsia="Times New Roman" w:hAnsi="Times New Roman" w:cs="Times New Roman"/>
          <w:sz w:val="20"/>
          <w:szCs w:val="20"/>
          <w:lang w:val="en-GB"/>
        </w:rPr>
      </w:pPr>
    </w:p>
    <w:p w14:paraId="30C9A339" w14:textId="4F38B8F4" w:rsidR="0012287E" w:rsidRPr="005C5429" w:rsidRDefault="0012287E" w:rsidP="00037C7C">
      <w:pPr>
        <w:spacing w:line="360" w:lineRule="auto"/>
        <w:ind w:firstLine="708"/>
        <w:rPr>
          <w:lang w:val="en-GB"/>
        </w:rPr>
      </w:pPr>
      <w:r w:rsidRPr="005C5429">
        <w:rPr>
          <w:lang w:val="en-GB"/>
        </w:rPr>
        <w:t>Figures 2 and 3 extend this comparison to the full set of 216 countries with available data. The highest-coverage country, Gibraltar, reported 116.4 fully vaccinated per 100 inhabitants at its latest observation a figure above 100 because it reflects vaccination of non-resident cross-border workers, not an error in the data. The lowest, the Democratic Republic of the Congo, reported 0.01, a ratio of roughly 11,640-fold between the two extremes.</w:t>
      </w:r>
    </w:p>
    <w:p w14:paraId="53BB8331" w14:textId="13DD02DF" w:rsidR="00037C7C" w:rsidRPr="005C5429" w:rsidRDefault="00037C7C" w:rsidP="00037C7C">
      <w:pPr>
        <w:rPr>
          <w:rFonts w:ascii="Times New Roman" w:eastAsia="Times New Roman" w:hAnsi="Times New Roman" w:cs="Times New Roman"/>
          <w:sz w:val="20"/>
          <w:szCs w:val="20"/>
          <w:lang w:val="en-GB"/>
        </w:rPr>
      </w:pPr>
      <w:r w:rsidRPr="005C5429">
        <w:rPr>
          <w:noProof/>
          <w:lang w:val="en-GB"/>
        </w:rPr>
        <w:lastRenderedPageBreak/>
        <w:drawing>
          <wp:anchor distT="0" distB="0" distL="114300" distR="114300" simplePos="0" relativeHeight="251679744" behindDoc="0" locked="0" layoutInCell="1" allowOverlap="1" wp14:anchorId="6BFBE969" wp14:editId="0F373904">
            <wp:simplePos x="0" y="0"/>
            <wp:positionH relativeFrom="column">
              <wp:posOffset>-133531</wp:posOffset>
            </wp:positionH>
            <wp:positionV relativeFrom="paragraph">
              <wp:posOffset>372</wp:posOffset>
            </wp:positionV>
            <wp:extent cx="5177155" cy="3312795"/>
            <wp:effectExtent l="0" t="0" r="4445" b="1905"/>
            <wp:wrapTopAndBottom/>
            <wp:docPr id="50825060" name="Obráze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25060" name="Obrázek 5082506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177155" cy="3312795"/>
                    </a:xfrm>
                    <a:prstGeom prst="rect">
                      <a:avLst/>
                    </a:prstGeom>
                  </pic:spPr>
                </pic:pic>
              </a:graphicData>
            </a:graphic>
            <wp14:sizeRelH relativeFrom="margin">
              <wp14:pctWidth>0</wp14:pctWidth>
            </wp14:sizeRelH>
            <wp14:sizeRelV relativeFrom="margin">
              <wp14:pctHeight>0</wp14:pctHeight>
            </wp14:sizeRelV>
          </wp:anchor>
        </w:drawing>
      </w:r>
    </w:p>
    <w:p w14:paraId="4E0DC3F4" w14:textId="40102FB9" w:rsidR="008C226B" w:rsidRPr="005C5429" w:rsidRDefault="00037C7C" w:rsidP="008C226B">
      <w:pPr>
        <w:spacing w:before="80" w:after="300"/>
        <w:rPr>
          <w:rStyle w:val="Zdraznnjemn"/>
          <w:lang w:val="en-GB"/>
        </w:rPr>
      </w:pPr>
      <w:r w:rsidRPr="005C5429">
        <w:rPr>
          <w:rStyle w:val="Zdraznnjemn"/>
          <w:noProof/>
          <w:lang w:val="en-GB"/>
        </w:rPr>
        <w:drawing>
          <wp:anchor distT="0" distB="0" distL="114300" distR="114300" simplePos="0" relativeHeight="251680768" behindDoc="0" locked="0" layoutInCell="1" allowOverlap="1" wp14:anchorId="5F17FCF5" wp14:editId="488DF280">
            <wp:simplePos x="0" y="0"/>
            <wp:positionH relativeFrom="column">
              <wp:posOffset>-127635</wp:posOffset>
            </wp:positionH>
            <wp:positionV relativeFrom="paragraph">
              <wp:posOffset>360713</wp:posOffset>
            </wp:positionV>
            <wp:extent cx="5760720" cy="3686810"/>
            <wp:effectExtent l="0" t="0" r="0" b="8890"/>
            <wp:wrapTopAndBottom/>
            <wp:docPr id="168371991" name="Obráze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71991" name="Obrázek 16837199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60720" cy="3686810"/>
                    </a:xfrm>
                    <a:prstGeom prst="rect">
                      <a:avLst/>
                    </a:prstGeom>
                  </pic:spPr>
                </pic:pic>
              </a:graphicData>
            </a:graphic>
          </wp:anchor>
        </w:drawing>
      </w:r>
      <w:r w:rsidR="008C226B" w:rsidRPr="005C5429">
        <w:rPr>
          <w:rStyle w:val="Zdraznnjemn"/>
          <w:lang w:val="en-GB"/>
        </w:rPr>
        <w:t>Figure 2. Top 10 countries by full vaccination coverage (latest available observation per country).</w:t>
      </w:r>
    </w:p>
    <w:p w14:paraId="03E787F4" w14:textId="12F0EF12" w:rsidR="008275A2" w:rsidRPr="005C5429" w:rsidRDefault="006B4D9A" w:rsidP="006B4D9A">
      <w:pPr>
        <w:spacing w:before="80" w:after="300"/>
        <w:rPr>
          <w:rStyle w:val="Zdraznnjemn"/>
          <w:lang w:val="en-GB"/>
        </w:rPr>
      </w:pPr>
      <w:r w:rsidRPr="005C5429">
        <w:rPr>
          <w:rStyle w:val="Zdraznnjemn"/>
          <w:lang w:val="en-GB"/>
        </w:rPr>
        <w:t>Figure 3. Bottom 10 countries by full vaccination coverage (latest available observation per country).</w:t>
      </w:r>
    </w:p>
    <w:p w14:paraId="048BA330" w14:textId="07A10D6C" w:rsidR="008275A2" w:rsidRPr="005C5429" w:rsidRDefault="008275A2" w:rsidP="002C4634">
      <w:pPr>
        <w:spacing w:line="360" w:lineRule="auto"/>
        <w:ind w:firstLine="708"/>
        <w:rPr>
          <w:lang w:val="en-GB"/>
        </w:rPr>
      </w:pPr>
      <w:r w:rsidRPr="005C5429">
        <w:rPr>
          <w:lang w:val="en-GB"/>
        </w:rPr>
        <w:t>Because this gap spans more than three orders of magnitude, Figure 4 places the five highest- and five lowest-coverage countries on a single chart using an axis break</w:t>
      </w:r>
      <w:r w:rsidR="00595DB7" w:rsidRPr="005C5429">
        <w:rPr>
          <w:lang w:val="en-GB"/>
        </w:rPr>
        <w:t>.</w:t>
      </w:r>
    </w:p>
    <w:p w14:paraId="439C6D3F" w14:textId="25A51276" w:rsidR="00125440" w:rsidRPr="005C5429" w:rsidRDefault="00125440" w:rsidP="006B4D9A">
      <w:pPr>
        <w:spacing w:before="80" w:after="300"/>
        <w:rPr>
          <w:lang w:val="en-GB"/>
        </w:rPr>
      </w:pPr>
      <w:r w:rsidRPr="005C5429">
        <w:rPr>
          <w:noProof/>
          <w:lang w:val="en-GB"/>
          <w14:ligatures w14:val="standardContextual"/>
        </w:rPr>
        <w:lastRenderedPageBreak/>
        <w:drawing>
          <wp:anchor distT="0" distB="0" distL="114300" distR="114300" simplePos="0" relativeHeight="251700224" behindDoc="0" locked="0" layoutInCell="1" allowOverlap="1" wp14:anchorId="48C1FE8D" wp14:editId="43EEF57A">
            <wp:simplePos x="0" y="0"/>
            <wp:positionH relativeFrom="column">
              <wp:posOffset>-80588</wp:posOffset>
            </wp:positionH>
            <wp:positionV relativeFrom="paragraph">
              <wp:posOffset>216296</wp:posOffset>
            </wp:positionV>
            <wp:extent cx="5760720" cy="3686810"/>
            <wp:effectExtent l="0" t="0" r="0" b="8890"/>
            <wp:wrapTopAndBottom/>
            <wp:docPr id="38341363" name="Obráze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41363" name="Obrázek 3834136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60720" cy="3686810"/>
                    </a:xfrm>
                    <a:prstGeom prst="rect">
                      <a:avLst/>
                    </a:prstGeom>
                  </pic:spPr>
                </pic:pic>
              </a:graphicData>
            </a:graphic>
          </wp:anchor>
        </w:drawing>
      </w:r>
    </w:p>
    <w:p w14:paraId="367C6177" w14:textId="3DE7C560" w:rsidR="008C226B" w:rsidRPr="005C5429" w:rsidRDefault="00125440" w:rsidP="00155457">
      <w:pPr>
        <w:spacing w:before="80" w:after="300"/>
        <w:rPr>
          <w:rStyle w:val="Zdraznnjemn"/>
          <w:lang w:val="en-GB"/>
        </w:rPr>
      </w:pPr>
      <w:r w:rsidRPr="005C5429">
        <w:rPr>
          <w:rStyle w:val="Zdraznnjemn"/>
          <w:lang w:val="en-GB"/>
        </w:rPr>
        <w:t>Figure 4. Highest- and lowest-coverage countries shown together on a broken axis.</w:t>
      </w:r>
    </w:p>
    <w:p w14:paraId="5F4DA79B" w14:textId="31112DEE" w:rsidR="00F44913" w:rsidRPr="005C5429" w:rsidRDefault="00F44913" w:rsidP="00F44913">
      <w:pPr>
        <w:pStyle w:val="Nadpis2"/>
        <w:rPr>
          <w:lang w:val="en-GB"/>
        </w:rPr>
      </w:pPr>
      <w:bookmarkStart w:id="19" w:name="_Toc234693099"/>
      <w:r w:rsidRPr="005C5429">
        <w:rPr>
          <w:lang w:val="en-GB"/>
        </w:rPr>
        <w:t>5.2 Rollout Speed</w:t>
      </w:r>
      <w:bookmarkEnd w:id="19"/>
    </w:p>
    <w:p w14:paraId="01B846BF" w14:textId="5A5AEA3C" w:rsidR="00037C7C" w:rsidRPr="005C5429" w:rsidRDefault="00B75AB4" w:rsidP="00037C7C">
      <w:pPr>
        <w:spacing w:line="360" w:lineRule="auto"/>
        <w:ind w:firstLine="708"/>
        <w:rPr>
          <w:lang w:val="en-GB"/>
        </w:rPr>
      </w:pPr>
      <w:r w:rsidRPr="005C5429">
        <w:rPr>
          <w:lang w:val="en-GB"/>
        </w:rPr>
        <w:t>Of the 216 countries with any reported full-vaccination data, only 61 (28.2%) reached the 50% coverage threshold at any point during the observation window</w:t>
      </w:r>
      <w:r w:rsidR="00FF071A" w:rsidRPr="005C5429">
        <w:rPr>
          <w:lang w:val="en-GB"/>
        </w:rPr>
        <w:t xml:space="preserve">. </w:t>
      </w:r>
      <w:r w:rsidRPr="005C5429">
        <w:rPr>
          <w:lang w:val="en-GB"/>
        </w:rPr>
        <w:t xml:space="preserve">Figure 5 lists the ten fastest of those 61 countries by name: Pitcairn, Falkland Islands, Bhutan, Cook Islands, Nauru, Saint Helena, Gibraltar, Mongolia, China, and Qatar. </w:t>
      </w:r>
    </w:p>
    <w:p w14:paraId="321E51B4" w14:textId="77777777" w:rsidR="00037C7C" w:rsidRPr="005C5429" w:rsidRDefault="00037C7C" w:rsidP="00037C7C">
      <w:pPr>
        <w:spacing w:line="360" w:lineRule="auto"/>
        <w:ind w:firstLine="708"/>
        <w:rPr>
          <w:lang w:val="en-GB"/>
        </w:rPr>
      </w:pPr>
      <w:r w:rsidRPr="005C5429">
        <w:rPr>
          <w:lang w:val="en-GB"/>
        </w:rPr>
        <w:t>Among the 61 countries that reached the threshold, the median time was 160 days and the mean 139 days (Figure 6); the mean falling below the median indicates a small number of unusually rapid campaigns pulling the average down, consistent with the right-skew visible in the histogram.</w:t>
      </w:r>
    </w:p>
    <w:p w14:paraId="39274211" w14:textId="77777777" w:rsidR="00037C7C" w:rsidRPr="005C5429" w:rsidRDefault="00037C7C" w:rsidP="00035765">
      <w:pPr>
        <w:spacing w:line="360" w:lineRule="auto"/>
        <w:ind w:firstLine="708"/>
        <w:rPr>
          <w:lang w:val="en-GB"/>
        </w:rPr>
      </w:pPr>
    </w:p>
    <w:p w14:paraId="71496890" w14:textId="21A5413F" w:rsidR="00B75AB4" w:rsidRPr="005C5429" w:rsidRDefault="00037C7C" w:rsidP="00B75AB4">
      <w:pPr>
        <w:rPr>
          <w:lang w:val="en-GB"/>
        </w:rPr>
      </w:pPr>
      <w:r w:rsidRPr="005C5429">
        <w:rPr>
          <w:noProof/>
          <w:lang w:val="en-GB"/>
        </w:rPr>
        <w:lastRenderedPageBreak/>
        <w:drawing>
          <wp:anchor distT="0" distB="0" distL="114300" distR="114300" simplePos="0" relativeHeight="251682816" behindDoc="0" locked="0" layoutInCell="1" allowOverlap="1" wp14:anchorId="5831DCE0" wp14:editId="29D2B513">
            <wp:simplePos x="0" y="0"/>
            <wp:positionH relativeFrom="column">
              <wp:posOffset>-163195</wp:posOffset>
            </wp:positionH>
            <wp:positionV relativeFrom="paragraph">
              <wp:posOffset>187885</wp:posOffset>
            </wp:positionV>
            <wp:extent cx="5760720" cy="3686810"/>
            <wp:effectExtent l="0" t="0" r="0" b="8890"/>
            <wp:wrapTopAndBottom/>
            <wp:docPr id="349999540" name="Obrázek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999540" name="Obrázek 349999540"/>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60720" cy="3686810"/>
                    </a:xfrm>
                    <a:prstGeom prst="rect">
                      <a:avLst/>
                    </a:prstGeom>
                  </pic:spPr>
                </pic:pic>
              </a:graphicData>
            </a:graphic>
          </wp:anchor>
        </w:drawing>
      </w:r>
    </w:p>
    <w:p w14:paraId="06E71527" w14:textId="735E1972" w:rsidR="008B0F25" w:rsidRPr="005C5429" w:rsidRDefault="00037C7C" w:rsidP="00037C7C">
      <w:pPr>
        <w:spacing w:before="80" w:after="300"/>
        <w:rPr>
          <w:rStyle w:val="Zdraznnjemn"/>
          <w:lang w:val="en-GB"/>
        </w:rPr>
      </w:pPr>
      <w:r w:rsidRPr="005C5429">
        <w:rPr>
          <w:rStyle w:val="Zdraznnjemn"/>
          <w:noProof/>
          <w:lang w:val="en-GB"/>
        </w:rPr>
        <w:drawing>
          <wp:anchor distT="0" distB="0" distL="114300" distR="114300" simplePos="0" relativeHeight="251681792" behindDoc="1" locked="0" layoutInCell="1" allowOverlap="1" wp14:anchorId="6B2F36C8" wp14:editId="13093C24">
            <wp:simplePos x="0" y="0"/>
            <wp:positionH relativeFrom="column">
              <wp:posOffset>-163830</wp:posOffset>
            </wp:positionH>
            <wp:positionV relativeFrom="paragraph">
              <wp:posOffset>4304237</wp:posOffset>
            </wp:positionV>
            <wp:extent cx="5760720" cy="3686810"/>
            <wp:effectExtent l="0" t="0" r="0" b="8890"/>
            <wp:wrapTopAndBottom/>
            <wp:docPr id="1331803319" name="Obrázek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803319" name="Obrázek 1331803319"/>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60720" cy="3686810"/>
                    </a:xfrm>
                    <a:prstGeom prst="rect">
                      <a:avLst/>
                    </a:prstGeom>
                  </pic:spPr>
                </pic:pic>
              </a:graphicData>
            </a:graphic>
          </wp:anchor>
        </w:drawing>
      </w:r>
      <w:r w:rsidR="00A1177C" w:rsidRPr="005C5429">
        <w:rPr>
          <w:rStyle w:val="Zdraznnjemn"/>
          <w:lang w:val="en-GB"/>
        </w:rPr>
        <w:t>Figure 5. Fastest 10 countries to reach 50% full vaccination coverage.</w:t>
      </w:r>
    </w:p>
    <w:p w14:paraId="2F0A4403" w14:textId="5D88FD55" w:rsidR="00A1177C" w:rsidRPr="005C5429" w:rsidRDefault="00A1177C" w:rsidP="00A1177C">
      <w:pPr>
        <w:rPr>
          <w:lang w:val="en-GB"/>
        </w:rPr>
      </w:pPr>
    </w:p>
    <w:p w14:paraId="43DADE4A" w14:textId="5E1B5199" w:rsidR="008B0F25" w:rsidRPr="005C5429" w:rsidRDefault="008B0F25" w:rsidP="008B0F25">
      <w:pPr>
        <w:spacing w:before="80" w:after="300"/>
        <w:rPr>
          <w:rStyle w:val="Zdraznnjemn"/>
          <w:lang w:val="en-GB"/>
        </w:rPr>
      </w:pPr>
      <w:r w:rsidRPr="005C5429">
        <w:rPr>
          <w:rStyle w:val="Zdraznnjemn"/>
          <w:lang w:val="en-GB"/>
        </w:rPr>
        <w:t>Figure 6. Distribution of days required to reach 50% full vaccination coverage, among the 61 countries that achieved it.</w:t>
      </w:r>
    </w:p>
    <w:p w14:paraId="1652DA97" w14:textId="2D26B7A3" w:rsidR="00F44913" w:rsidRPr="005C5429" w:rsidRDefault="00F44913" w:rsidP="00F44913">
      <w:pPr>
        <w:pStyle w:val="Nadpis2"/>
        <w:rPr>
          <w:lang w:val="en-GB"/>
        </w:rPr>
      </w:pPr>
      <w:bookmarkStart w:id="20" w:name="_Toc234693100"/>
      <w:r w:rsidRPr="005C5429">
        <w:rPr>
          <w:lang w:val="en-GB"/>
        </w:rPr>
        <w:lastRenderedPageBreak/>
        <w:t>5.</w:t>
      </w:r>
      <w:r w:rsidR="00E84A44" w:rsidRPr="005C5429">
        <w:rPr>
          <w:lang w:val="en-GB"/>
        </w:rPr>
        <w:t>3</w:t>
      </w:r>
      <w:r w:rsidRPr="005C5429">
        <w:rPr>
          <w:lang w:val="en-GB"/>
        </w:rPr>
        <w:t xml:space="preserve"> Missing Data</w:t>
      </w:r>
      <w:bookmarkEnd w:id="20"/>
    </w:p>
    <w:p w14:paraId="2A9B1467" w14:textId="31389968" w:rsidR="001F5AF6" w:rsidRPr="005C5429" w:rsidRDefault="002429E4" w:rsidP="00035765">
      <w:pPr>
        <w:spacing w:line="360" w:lineRule="auto"/>
        <w:ind w:firstLine="708"/>
        <w:rPr>
          <w:lang w:val="en-GB"/>
        </w:rPr>
      </w:pPr>
      <w:r w:rsidRPr="005C5429">
        <w:rPr>
          <w:lang w:val="en-GB"/>
        </w:rPr>
        <w:t>Thirty-six</w:t>
      </w:r>
      <w:r w:rsidR="001F5AF6" w:rsidRPr="005C5429">
        <w:rPr>
          <w:lang w:val="en-GB"/>
        </w:rPr>
        <w:t xml:space="preserve"> of the 216 countries have 95% or more of their full-vaccination records missing (Figure 8). High missingness does not necessarily indicate the absence of a vaccination campaign: Tokelau is 100% missing from this dataset yet is reported elsewhere to have achieved over 96% coverage of its eligible population</w:t>
      </w:r>
      <w:r w:rsidRPr="005C5429">
        <w:rPr>
          <w:lang w:val="en-GB"/>
        </w:rPr>
        <w:t xml:space="preserve">. </w:t>
      </w:r>
    </w:p>
    <w:p w14:paraId="77837336" w14:textId="28CFB209" w:rsidR="00037C7C" w:rsidRPr="005C5429" w:rsidRDefault="00037C7C" w:rsidP="00462167">
      <w:pPr>
        <w:rPr>
          <w:rStyle w:val="Zdraznnjemn"/>
          <w:lang w:val="en-GB"/>
        </w:rPr>
      </w:pPr>
      <w:bookmarkStart w:id="21" w:name="_Toc234614457"/>
      <w:bookmarkStart w:id="22" w:name="_Toc234609753"/>
      <w:r w:rsidRPr="005C5429">
        <w:rPr>
          <w:rStyle w:val="Zdraznnjemn"/>
          <w:noProof/>
          <w:lang w:val="en-GB"/>
        </w:rPr>
        <w:drawing>
          <wp:anchor distT="0" distB="0" distL="114300" distR="114300" simplePos="0" relativeHeight="251684864" behindDoc="0" locked="0" layoutInCell="1" allowOverlap="1" wp14:anchorId="26F074EE" wp14:editId="38120652">
            <wp:simplePos x="0" y="0"/>
            <wp:positionH relativeFrom="column">
              <wp:posOffset>-163195</wp:posOffset>
            </wp:positionH>
            <wp:positionV relativeFrom="paragraph">
              <wp:posOffset>55113</wp:posOffset>
            </wp:positionV>
            <wp:extent cx="5760720" cy="3686810"/>
            <wp:effectExtent l="0" t="0" r="0" b="8890"/>
            <wp:wrapTopAndBottom/>
            <wp:docPr id="859379437" name="Obrázek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379437" name="Obrázek 859379437"/>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60720" cy="3686810"/>
                    </a:xfrm>
                    <a:prstGeom prst="rect">
                      <a:avLst/>
                    </a:prstGeom>
                  </pic:spPr>
                </pic:pic>
              </a:graphicData>
            </a:graphic>
          </wp:anchor>
        </w:drawing>
      </w:r>
      <w:r w:rsidRPr="005C5429">
        <w:rPr>
          <w:rStyle w:val="Zdraznnjemn"/>
          <w:lang w:val="en-GB"/>
        </w:rPr>
        <w:t>Figure 8. Countries with near-complete missing vaccination data (≥95% of records missing; 15 highest shown).</w:t>
      </w:r>
      <w:bookmarkEnd w:id="21"/>
    </w:p>
    <w:p w14:paraId="2E313965" w14:textId="714E414A" w:rsidR="006858F3" w:rsidRPr="005C5429" w:rsidRDefault="006858F3" w:rsidP="006858F3">
      <w:pPr>
        <w:pStyle w:val="Nadpis2"/>
        <w:spacing w:line="480" w:lineRule="auto"/>
        <w:rPr>
          <w:lang w:val="en-GB"/>
        </w:rPr>
      </w:pPr>
      <w:bookmarkStart w:id="23" w:name="_Toc234693101"/>
      <w:r w:rsidRPr="005C5429">
        <w:rPr>
          <w:lang w:val="en-GB"/>
        </w:rPr>
        <w:t>5.4 Geographic Patterns</w:t>
      </w:r>
      <w:bookmarkEnd w:id="22"/>
      <w:bookmarkEnd w:id="23"/>
    </w:p>
    <w:p w14:paraId="31D9D40E" w14:textId="6C37CF89" w:rsidR="00250929" w:rsidRPr="005C5429" w:rsidRDefault="006858F3" w:rsidP="00035765">
      <w:pPr>
        <w:spacing w:line="360" w:lineRule="auto"/>
        <w:ind w:firstLine="708"/>
        <w:rPr>
          <w:lang w:val="en-GB"/>
        </w:rPr>
      </w:pPr>
      <w:r w:rsidRPr="005C5429">
        <w:rPr>
          <w:lang w:val="en-GB"/>
        </w:rPr>
        <w:t>Figures 9 and 10 present the same underlying inequality from two complementary geographic angles: overall coverage, and the speed at which that coverage was reached. High coverage in Figure 9 is concentrated in Europe, parts of the Americas, and isolated high-income states in Asia and Oceania; the African continent shows predominantly low shading or grey (no data). Figure 10 shows the same pattern for rollout speed, though grey on this map conflates two different things  the majority of countries that never reached the threshold at all</w:t>
      </w:r>
      <w:r w:rsidR="00424E2B" w:rsidRPr="005C5429">
        <w:rPr>
          <w:lang w:val="en-GB"/>
        </w:rPr>
        <w:t xml:space="preserve"> and no data available.</w:t>
      </w:r>
    </w:p>
    <w:p w14:paraId="5B77EFB9" w14:textId="0A81F841" w:rsidR="00C93B6E" w:rsidRPr="005C5429" w:rsidRDefault="00C93B6E" w:rsidP="00C93B6E">
      <w:pPr>
        <w:spacing w:before="80" w:after="300"/>
        <w:rPr>
          <w:rStyle w:val="Zdraznnjemn"/>
          <w:lang w:val="en-GB"/>
        </w:rPr>
      </w:pPr>
      <w:r w:rsidRPr="005C5429">
        <w:rPr>
          <w:noProof/>
          <w:lang w:val="en-GB"/>
        </w:rPr>
        <w:lastRenderedPageBreak/>
        <w:drawing>
          <wp:anchor distT="0" distB="0" distL="114300" distR="114300" simplePos="0" relativeHeight="251685888" behindDoc="0" locked="0" layoutInCell="1" allowOverlap="1" wp14:anchorId="74194D25" wp14:editId="31BFA4F5">
            <wp:simplePos x="0" y="0"/>
            <wp:positionH relativeFrom="column">
              <wp:posOffset>-163830</wp:posOffset>
            </wp:positionH>
            <wp:positionV relativeFrom="paragraph">
              <wp:posOffset>2540</wp:posOffset>
            </wp:positionV>
            <wp:extent cx="5760720" cy="3686810"/>
            <wp:effectExtent l="0" t="0" r="0" b="8890"/>
            <wp:wrapTopAndBottom/>
            <wp:docPr id="305481599" name="Obrázek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481599" name="Obrázek 305481599"/>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60720" cy="3686810"/>
                    </a:xfrm>
                    <a:prstGeom prst="rect">
                      <a:avLst/>
                    </a:prstGeom>
                  </pic:spPr>
                </pic:pic>
              </a:graphicData>
            </a:graphic>
          </wp:anchor>
        </w:drawing>
      </w:r>
      <w:r w:rsidR="00037C7C" w:rsidRPr="005C5429">
        <w:rPr>
          <w:noProof/>
          <w:lang w:val="en-GB"/>
          <w14:ligatures w14:val="standardContextual"/>
        </w:rPr>
        <w:drawing>
          <wp:anchor distT="0" distB="0" distL="114300" distR="114300" simplePos="0" relativeHeight="251686912" behindDoc="0" locked="0" layoutInCell="1" allowOverlap="1" wp14:anchorId="1719F567" wp14:editId="235A1D63">
            <wp:simplePos x="0" y="0"/>
            <wp:positionH relativeFrom="column">
              <wp:posOffset>-163830</wp:posOffset>
            </wp:positionH>
            <wp:positionV relativeFrom="paragraph">
              <wp:posOffset>3992245</wp:posOffset>
            </wp:positionV>
            <wp:extent cx="5760720" cy="3686810"/>
            <wp:effectExtent l="0" t="0" r="0" b="8890"/>
            <wp:wrapTopAndBottom/>
            <wp:docPr id="1489671908" name="Obrázek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671908" name="Obrázek 1489671908"/>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60720" cy="3686810"/>
                    </a:xfrm>
                    <a:prstGeom prst="rect">
                      <a:avLst/>
                    </a:prstGeom>
                  </pic:spPr>
                </pic:pic>
              </a:graphicData>
            </a:graphic>
          </wp:anchor>
        </w:drawing>
      </w:r>
      <w:r w:rsidRPr="005C5429">
        <w:rPr>
          <w:rFonts w:ascii="Times New Roman" w:eastAsia="Times New Roman" w:hAnsi="Times New Roman" w:cs="Times New Roman"/>
          <w:sz w:val="20"/>
          <w:szCs w:val="20"/>
          <w:lang w:val="en-GB"/>
        </w:rPr>
        <w:t xml:space="preserve"> </w:t>
      </w:r>
      <w:r w:rsidRPr="005C5429">
        <w:rPr>
          <w:rStyle w:val="Zdraznnjemn"/>
          <w:lang w:val="en-GB"/>
        </w:rPr>
        <w:t>Figure 9. World map of full vaccination coverage by country (latest available observation).</w:t>
      </w:r>
    </w:p>
    <w:p w14:paraId="2EE1AE85" w14:textId="23347ED9" w:rsidR="00AB4339" w:rsidRPr="005C5429" w:rsidRDefault="00AB4339" w:rsidP="00AB4339">
      <w:pPr>
        <w:spacing w:before="80" w:after="300"/>
        <w:rPr>
          <w:rStyle w:val="Zdraznnjemn"/>
          <w:lang w:val="en-GB"/>
        </w:rPr>
      </w:pPr>
      <w:r w:rsidRPr="005C5429">
        <w:rPr>
          <w:rStyle w:val="Zdraznnjemn"/>
          <w:lang w:val="en-GB"/>
        </w:rPr>
        <w:t>Figure 10. World map of vaccination rollout speed by country (days to reach 50% coverage).</w:t>
      </w:r>
    </w:p>
    <w:p w14:paraId="03527319" w14:textId="2D418E1A" w:rsidR="00170E9E" w:rsidRPr="005C5429" w:rsidRDefault="00170E9E" w:rsidP="00170E9E">
      <w:pPr>
        <w:pStyle w:val="Nadpis2"/>
        <w:spacing w:line="480" w:lineRule="auto"/>
        <w:rPr>
          <w:lang w:val="en-GB"/>
        </w:rPr>
      </w:pPr>
      <w:bookmarkStart w:id="24" w:name="_Toc234609754"/>
      <w:bookmarkStart w:id="25" w:name="_Toc234693102"/>
      <w:r w:rsidRPr="005C5429">
        <w:rPr>
          <w:lang w:val="en-GB"/>
        </w:rPr>
        <w:lastRenderedPageBreak/>
        <w:t>5.</w:t>
      </w:r>
      <w:r w:rsidR="00EE7F89">
        <w:rPr>
          <w:lang w:val="en-GB"/>
        </w:rPr>
        <w:t>5</w:t>
      </w:r>
      <w:r w:rsidRPr="005C5429">
        <w:rPr>
          <w:lang w:val="en-GB"/>
        </w:rPr>
        <w:t xml:space="preserve"> Income-Group and Continental Inequality</w:t>
      </w:r>
      <w:bookmarkEnd w:id="24"/>
      <w:bookmarkEnd w:id="25"/>
    </w:p>
    <w:p w14:paraId="0D162ACD" w14:textId="5546D9F3" w:rsidR="00170E9E" w:rsidRPr="005C5429" w:rsidRDefault="00035765" w:rsidP="00035765">
      <w:pPr>
        <w:spacing w:line="360" w:lineRule="auto"/>
        <w:ind w:firstLine="708"/>
        <w:rPr>
          <w:lang w:val="en-GB"/>
        </w:rPr>
      </w:pPr>
      <w:r w:rsidRPr="005C5429">
        <w:rPr>
          <w:noProof/>
          <w:lang w:val="en-GB"/>
        </w:rPr>
        <w:drawing>
          <wp:anchor distT="0" distB="0" distL="114300" distR="114300" simplePos="0" relativeHeight="251687936" behindDoc="0" locked="0" layoutInCell="1" allowOverlap="1" wp14:anchorId="08010DB2" wp14:editId="5D42E43D">
            <wp:simplePos x="0" y="0"/>
            <wp:positionH relativeFrom="column">
              <wp:posOffset>-151773</wp:posOffset>
            </wp:positionH>
            <wp:positionV relativeFrom="paragraph">
              <wp:posOffset>1450472</wp:posOffset>
            </wp:positionV>
            <wp:extent cx="5699125" cy="3645535"/>
            <wp:effectExtent l="0" t="0" r="0" b="0"/>
            <wp:wrapTopAndBottom/>
            <wp:docPr id="1523010483" name="Obrázek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010483" name="Obrázek 1523010483"/>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699125" cy="3645535"/>
                    </a:xfrm>
                    <a:prstGeom prst="rect">
                      <a:avLst/>
                    </a:prstGeom>
                  </pic:spPr>
                </pic:pic>
              </a:graphicData>
            </a:graphic>
            <wp14:sizeRelH relativeFrom="margin">
              <wp14:pctWidth>0</wp14:pctWidth>
            </wp14:sizeRelH>
            <wp14:sizeRelV relativeFrom="margin">
              <wp14:pctHeight>0</wp14:pctHeight>
            </wp14:sizeRelV>
          </wp:anchor>
        </w:drawing>
      </w:r>
      <w:r w:rsidR="00170E9E" w:rsidRPr="005C5429">
        <w:rPr>
          <w:lang w:val="en-GB"/>
        </w:rPr>
        <w:t>The income-group time series (Figure 11) shows a gap between income groups that widens continuously across the observation period, accelerating from roughly April 2021 onward. By August 2021, high-income countries had reached approximately 52 fully vaccinated per 100 inhabitants, versus roughly 0.5 for low-income countries</w:t>
      </w:r>
      <w:r w:rsidR="00293EC3" w:rsidRPr="005C5429">
        <w:rPr>
          <w:lang w:val="en-GB"/>
        </w:rPr>
        <w:t>.</w:t>
      </w:r>
    </w:p>
    <w:p w14:paraId="30303CF7" w14:textId="157ABC65" w:rsidR="00B05835" w:rsidRPr="005C5429" w:rsidRDefault="00B05835" w:rsidP="00B05835">
      <w:pPr>
        <w:spacing w:before="80" w:after="300"/>
        <w:rPr>
          <w:rStyle w:val="Zdraznnjemn"/>
          <w:lang w:val="en-GB"/>
        </w:rPr>
      </w:pPr>
      <w:r w:rsidRPr="005C5429">
        <w:rPr>
          <w:rStyle w:val="Zdraznnjemn"/>
          <w:lang w:val="en-GB"/>
        </w:rPr>
        <w:t>Figure 11. COVID-19 full vaccination coverage by World Bank income group over time.</w:t>
      </w:r>
    </w:p>
    <w:p w14:paraId="26075254" w14:textId="5C6451AA" w:rsidR="00DF1A07" w:rsidRPr="005C5429" w:rsidRDefault="00DF1A07" w:rsidP="00035765">
      <w:pPr>
        <w:spacing w:line="360" w:lineRule="auto"/>
        <w:ind w:firstLine="708"/>
        <w:rPr>
          <w:lang w:val="en-GB"/>
        </w:rPr>
      </w:pPr>
      <w:r w:rsidRPr="005C5429">
        <w:rPr>
          <w:lang w:val="en-GB"/>
        </w:rPr>
        <w:t>The continent-level comparison (Figure 12) confirms this pattern at finer geographic resolutio</w:t>
      </w:r>
      <w:r w:rsidR="00293EC3" w:rsidRPr="005C5429">
        <w:rPr>
          <w:lang w:val="en-GB"/>
        </w:rPr>
        <w:t>n.</w:t>
      </w:r>
      <w:r w:rsidRPr="005C5429">
        <w:rPr>
          <w:lang w:val="en-GB"/>
        </w:rPr>
        <w:t xml:space="preserve"> One outlier, Gibraltar, was excluded from this specific figure because its coverage above 100% would compress the rest of the distribution. Africa shows the lowest median coverage and a right-skewed distribution; Europe the highest median and the narrowest spread; Asia and the Americas both show wide within-continent variation, indicating that continental groupings alone understate the heterogeneity driven by income and infrastructure differences.</w:t>
      </w:r>
    </w:p>
    <w:p w14:paraId="0ECE7C51" w14:textId="316D0BE6" w:rsidR="00170E9E" w:rsidRPr="005C5429" w:rsidRDefault="005A5F14" w:rsidP="00BB1D1F">
      <w:pPr>
        <w:rPr>
          <w:rStyle w:val="Zdraznnjemn"/>
          <w:lang w:val="en-GB"/>
        </w:rPr>
      </w:pPr>
      <w:r w:rsidRPr="005C5429">
        <w:rPr>
          <w:rStyle w:val="Zdraznnjemn"/>
          <w:noProof/>
          <w:lang w:val="en-GB"/>
        </w:rPr>
        <w:lastRenderedPageBreak/>
        <w:drawing>
          <wp:anchor distT="0" distB="0" distL="114300" distR="114300" simplePos="0" relativeHeight="251688960" behindDoc="0" locked="0" layoutInCell="1" allowOverlap="1" wp14:anchorId="52964A86" wp14:editId="03F29CAE">
            <wp:simplePos x="0" y="0"/>
            <wp:positionH relativeFrom="column">
              <wp:posOffset>-128270</wp:posOffset>
            </wp:positionH>
            <wp:positionV relativeFrom="paragraph">
              <wp:posOffset>0</wp:posOffset>
            </wp:positionV>
            <wp:extent cx="5760720" cy="3686810"/>
            <wp:effectExtent l="0" t="0" r="0" b="8890"/>
            <wp:wrapTopAndBottom/>
            <wp:docPr id="605869131" name="Obrázek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869131" name="Obrázek 60586913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60720" cy="3686810"/>
                    </a:xfrm>
                    <a:prstGeom prst="rect">
                      <a:avLst/>
                    </a:prstGeom>
                  </pic:spPr>
                </pic:pic>
              </a:graphicData>
            </a:graphic>
          </wp:anchor>
        </w:drawing>
      </w:r>
      <w:r w:rsidRPr="005C5429">
        <w:rPr>
          <w:rStyle w:val="Zdraznnjemn"/>
          <w:lang w:val="en-GB"/>
        </w:rPr>
        <w:t>Figure 12. Distribution of vaccination coverage by continent (latest observation per country; one outlier</w:t>
      </w:r>
      <w:r w:rsidR="0000381F" w:rsidRPr="005C5429">
        <w:rPr>
          <w:rStyle w:val="Zdraznnjemn"/>
          <w:lang w:val="en-GB"/>
        </w:rPr>
        <w:t xml:space="preserve"> </w:t>
      </w:r>
      <w:r w:rsidRPr="005C5429">
        <w:rPr>
          <w:rStyle w:val="Zdraznnjemn"/>
          <w:lang w:val="en-GB"/>
        </w:rPr>
        <w:t>above 100% excluded).</w:t>
      </w:r>
    </w:p>
    <w:p w14:paraId="7913685D" w14:textId="190A9815" w:rsidR="00F44913" w:rsidRPr="005C5429" w:rsidRDefault="00F44913" w:rsidP="00F44913">
      <w:pPr>
        <w:pStyle w:val="Nadpis2"/>
        <w:rPr>
          <w:lang w:val="en-GB"/>
        </w:rPr>
      </w:pPr>
      <w:bookmarkStart w:id="26" w:name="_Toc234693103"/>
      <w:r w:rsidRPr="005C5429">
        <w:rPr>
          <w:lang w:val="en-GB"/>
        </w:rPr>
        <w:t>5.</w:t>
      </w:r>
      <w:r w:rsidR="00EE7F89">
        <w:rPr>
          <w:lang w:val="en-GB"/>
        </w:rPr>
        <w:t>6</w:t>
      </w:r>
      <w:r w:rsidRPr="005C5429">
        <w:rPr>
          <w:lang w:val="en-GB"/>
        </w:rPr>
        <w:t xml:space="preserve"> Correlation Analysis</w:t>
      </w:r>
      <w:bookmarkEnd w:id="26"/>
    </w:p>
    <w:p w14:paraId="22EFA7DF" w14:textId="14138A62" w:rsidR="00BA2F07" w:rsidRPr="005C5429" w:rsidRDefault="005C5429" w:rsidP="005C5429">
      <w:pPr>
        <w:ind w:firstLine="708"/>
        <w:rPr>
          <w:lang w:val="en-GB"/>
        </w:rPr>
      </w:pPr>
      <w:r w:rsidRPr="005C5429">
        <w:rPr>
          <w:noProof/>
          <w:lang w:val="en-GB"/>
          <w14:ligatures w14:val="standardContextual"/>
        </w:rPr>
        <w:drawing>
          <wp:anchor distT="0" distB="0" distL="114300" distR="114300" simplePos="0" relativeHeight="251689984" behindDoc="1" locked="0" layoutInCell="1" allowOverlap="1" wp14:anchorId="24330268" wp14:editId="7E817C64">
            <wp:simplePos x="0" y="0"/>
            <wp:positionH relativeFrom="column">
              <wp:posOffset>-4445</wp:posOffset>
            </wp:positionH>
            <wp:positionV relativeFrom="paragraph">
              <wp:posOffset>1253490</wp:posOffset>
            </wp:positionV>
            <wp:extent cx="4495800" cy="2876550"/>
            <wp:effectExtent l="0" t="0" r="0" b="0"/>
            <wp:wrapTopAndBottom/>
            <wp:docPr id="1025390180" name="Obrázek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390180" name="Obrázek 1025390180"/>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495800" cy="2876550"/>
                    </a:xfrm>
                    <a:prstGeom prst="rect">
                      <a:avLst/>
                    </a:prstGeom>
                  </pic:spPr>
                </pic:pic>
              </a:graphicData>
            </a:graphic>
            <wp14:sizeRelH relativeFrom="margin">
              <wp14:pctWidth>0</wp14:pctWidth>
            </wp14:sizeRelH>
            <wp14:sizeRelV relativeFrom="margin">
              <wp14:pctHeight>0</wp14:pctHeight>
            </wp14:sizeRelV>
          </wp:anchor>
        </w:drawing>
      </w:r>
      <w:r w:rsidRPr="005C5429">
        <w:rPr>
          <w:lang w:val="en-GB"/>
        </w:rPr>
        <w:t>Vaccination indicators show strong positive correlations among the three cumulative measures</w:t>
      </w:r>
      <w:r>
        <w:rPr>
          <w:lang w:val="en-GB"/>
        </w:rPr>
        <w:t xml:space="preserve"> </w:t>
      </w:r>
      <w:r w:rsidRPr="005C5429">
        <w:rPr>
          <w:lang w:val="en-GB"/>
        </w:rPr>
        <w:t>(r = 0.94–0.98): countries that lead on one lead on all of them. Daily vaccinations per million, by contrast, correlates only weakly to moderately with cumulative progress (r = 0.16–0.40) a country's most recent daily activity says little about its overall campaign success, since completed rollouts taper off their daily volumes while early-stage countries can show high daily rates off a still-low base.</w:t>
      </w:r>
    </w:p>
    <w:p w14:paraId="6D9C8EC0" w14:textId="0D237473" w:rsidR="00BA2F07" w:rsidRPr="005C5429" w:rsidRDefault="00BA2F07" w:rsidP="00BA2F07">
      <w:pPr>
        <w:spacing w:before="80" w:after="300"/>
        <w:rPr>
          <w:rStyle w:val="Zdraznnjemn"/>
          <w:lang w:val="en-GB"/>
        </w:rPr>
      </w:pPr>
      <w:r w:rsidRPr="005C5429">
        <w:rPr>
          <w:rStyle w:val="Zdraznnjemn"/>
          <w:lang w:val="en-GB"/>
        </w:rPr>
        <w:t>Figure 13. Correlation matrix of vaccination indicators (latest observation per country).</w:t>
      </w:r>
    </w:p>
    <w:p w14:paraId="0A915614" w14:textId="4CCFE373" w:rsidR="00F44913" w:rsidRPr="005C5429" w:rsidRDefault="00F44913" w:rsidP="00F44913">
      <w:pPr>
        <w:pStyle w:val="Nadpis2"/>
        <w:rPr>
          <w:lang w:val="en-GB"/>
        </w:rPr>
      </w:pPr>
      <w:bookmarkStart w:id="27" w:name="_Toc234693104"/>
      <w:r w:rsidRPr="005C5429">
        <w:rPr>
          <w:lang w:val="en-GB"/>
        </w:rPr>
        <w:lastRenderedPageBreak/>
        <w:t>5.</w:t>
      </w:r>
      <w:r w:rsidR="00EE7F89">
        <w:rPr>
          <w:lang w:val="en-GB"/>
        </w:rPr>
        <w:t>7</w:t>
      </w:r>
      <w:r w:rsidRPr="005C5429">
        <w:rPr>
          <w:lang w:val="en-GB"/>
        </w:rPr>
        <w:t xml:space="preserve"> PCA and K-means Clustering</w:t>
      </w:r>
      <w:bookmarkEnd w:id="27"/>
    </w:p>
    <w:p w14:paraId="62131206" w14:textId="3CCE2141" w:rsidR="00D27122" w:rsidRPr="005C5429" w:rsidRDefault="00C07B14" w:rsidP="00BA45CB">
      <w:pPr>
        <w:spacing w:line="360" w:lineRule="auto"/>
        <w:ind w:firstLine="708"/>
        <w:rPr>
          <w:lang w:val="en-GB"/>
        </w:rPr>
      </w:pPr>
      <w:r w:rsidRPr="005C5429">
        <w:rPr>
          <w:rStyle w:val="Zdraznnjemn"/>
          <w:noProof/>
          <w:lang w:val="en-GB"/>
        </w:rPr>
        <w:drawing>
          <wp:anchor distT="0" distB="0" distL="114300" distR="114300" simplePos="0" relativeHeight="251691008" behindDoc="1" locked="0" layoutInCell="1" allowOverlap="1" wp14:anchorId="0ED01306" wp14:editId="133CF4C5">
            <wp:simplePos x="0" y="0"/>
            <wp:positionH relativeFrom="column">
              <wp:posOffset>-42545</wp:posOffset>
            </wp:positionH>
            <wp:positionV relativeFrom="paragraph">
              <wp:posOffset>1666875</wp:posOffset>
            </wp:positionV>
            <wp:extent cx="5760720" cy="3686810"/>
            <wp:effectExtent l="0" t="0" r="0" b="8890"/>
            <wp:wrapSquare wrapText="bothSides"/>
            <wp:docPr id="1132221988" name="Obrázek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221988" name="Obrázek 1132221988"/>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60720" cy="3686810"/>
                    </a:xfrm>
                    <a:prstGeom prst="rect">
                      <a:avLst/>
                    </a:prstGeom>
                  </pic:spPr>
                </pic:pic>
              </a:graphicData>
            </a:graphic>
          </wp:anchor>
        </w:drawing>
      </w:r>
      <w:r w:rsidR="00D27122" w:rsidRPr="005C5429">
        <w:rPr>
          <w:lang w:val="en-GB"/>
        </w:rPr>
        <w:t>Principal component analysis was computed on 209 of the 216 countries with complete data across all four indicators</w:t>
      </w:r>
      <w:r w:rsidR="005C5429">
        <w:rPr>
          <w:lang w:val="en-GB"/>
        </w:rPr>
        <w:t xml:space="preserve">. </w:t>
      </w:r>
      <w:r w:rsidR="00D27122" w:rsidRPr="005C5429">
        <w:rPr>
          <w:lang w:val="en-GB"/>
        </w:rPr>
        <w:t>The first component explained 76.5% of total variance and the second 22.8%, together accounting for 99.3%  matching, rather than contradicting, the figures reported for the same computation elsewhere in this report. PC1 separates countries primarily by overall vaccination coverage, with lower-income African and Asian countries clustering at one end and European countries at the other (Figure 14</w:t>
      </w:r>
      <w:r>
        <w:rPr>
          <w:lang w:val="en-GB"/>
        </w:rPr>
        <w:t>).</w:t>
      </w:r>
    </w:p>
    <w:p w14:paraId="7A0AF3F5" w14:textId="2FD06658" w:rsidR="00C07B14" w:rsidRDefault="00336178" w:rsidP="00336178">
      <w:pPr>
        <w:spacing w:before="80" w:after="300"/>
        <w:rPr>
          <w:rStyle w:val="Zdraznnjemn"/>
          <w:lang w:val="en-GB"/>
        </w:rPr>
      </w:pPr>
      <w:r w:rsidRPr="005C5429">
        <w:rPr>
          <w:rStyle w:val="Zdraznnjemn"/>
          <w:lang w:val="en-GB"/>
        </w:rPr>
        <w:t>Figure 14. PCA of countries by vaccination profile, coloured by continent.</w:t>
      </w:r>
    </w:p>
    <w:p w14:paraId="5850D38B" w14:textId="17B5DBBE" w:rsidR="00336178" w:rsidRPr="005C5429" w:rsidRDefault="00C07B14" w:rsidP="00336178">
      <w:pPr>
        <w:spacing w:before="80" w:after="300"/>
        <w:rPr>
          <w:rStyle w:val="Zdraznnjemn"/>
          <w:lang w:val="en-GB"/>
        </w:rPr>
      </w:pPr>
      <w:r>
        <w:rPr>
          <w:rStyle w:val="Zdraznnjemn"/>
          <w:lang w:val="en-GB"/>
        </w:rPr>
        <w:br w:type="column"/>
      </w:r>
      <w:r w:rsidRPr="005C5429">
        <w:rPr>
          <w:rStyle w:val="Zdraznnjemn"/>
          <w:noProof/>
          <w:lang w:val="en-GB"/>
        </w:rPr>
        <w:lastRenderedPageBreak/>
        <w:drawing>
          <wp:anchor distT="0" distB="0" distL="114300" distR="114300" simplePos="0" relativeHeight="251692032" behindDoc="1" locked="0" layoutInCell="1" allowOverlap="1" wp14:anchorId="03559640" wp14:editId="5E730B33">
            <wp:simplePos x="0" y="0"/>
            <wp:positionH relativeFrom="column">
              <wp:posOffset>-128270</wp:posOffset>
            </wp:positionH>
            <wp:positionV relativeFrom="paragraph">
              <wp:posOffset>0</wp:posOffset>
            </wp:positionV>
            <wp:extent cx="5499735" cy="3519170"/>
            <wp:effectExtent l="0" t="0" r="5715" b="5080"/>
            <wp:wrapTight wrapText="bothSides">
              <wp:wrapPolygon edited="0">
                <wp:start x="0" y="0"/>
                <wp:lineTo x="0" y="21514"/>
                <wp:lineTo x="21548" y="21514"/>
                <wp:lineTo x="21548" y="0"/>
                <wp:lineTo x="0" y="0"/>
              </wp:wrapPolygon>
            </wp:wrapTight>
            <wp:docPr id="1564134912" name="Obrázek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134912" name="Obrázek 1564134912"/>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499735" cy="3519170"/>
                    </a:xfrm>
                    <a:prstGeom prst="rect">
                      <a:avLst/>
                    </a:prstGeom>
                  </pic:spPr>
                </pic:pic>
              </a:graphicData>
            </a:graphic>
            <wp14:sizeRelH relativeFrom="margin">
              <wp14:pctWidth>0</wp14:pctWidth>
            </wp14:sizeRelH>
            <wp14:sizeRelV relativeFrom="margin">
              <wp14:pctHeight>0</wp14:pctHeight>
            </wp14:sizeRelV>
          </wp:anchor>
        </w:drawing>
      </w:r>
    </w:p>
    <w:p w14:paraId="0FF60B40" w14:textId="51797984" w:rsidR="00952312" w:rsidRPr="005C5429" w:rsidRDefault="00952312" w:rsidP="00952312">
      <w:pPr>
        <w:spacing w:before="80" w:after="300"/>
        <w:rPr>
          <w:rStyle w:val="Zdraznnjemn"/>
          <w:lang w:val="en-GB"/>
        </w:rPr>
      </w:pPr>
      <w:r w:rsidRPr="005C5429">
        <w:rPr>
          <w:rStyle w:val="Zdraznnjemn"/>
          <w:lang w:val="en-GB"/>
        </w:rPr>
        <w:t>Figure 15. PCA variable loadings.</w:t>
      </w:r>
    </w:p>
    <w:p w14:paraId="27C40D62" w14:textId="3FFA2311" w:rsidR="00336178" w:rsidRPr="005C5429" w:rsidRDefault="00C07B14" w:rsidP="00BA45CB">
      <w:pPr>
        <w:spacing w:line="360" w:lineRule="auto"/>
        <w:ind w:firstLine="708"/>
        <w:rPr>
          <w:lang w:val="en-GB"/>
        </w:rPr>
      </w:pPr>
      <w:r w:rsidRPr="005C5429">
        <w:rPr>
          <w:noProof/>
          <w:lang w:val="en-GB"/>
          <w14:ligatures w14:val="standardContextual"/>
        </w:rPr>
        <w:drawing>
          <wp:anchor distT="0" distB="0" distL="114300" distR="114300" simplePos="0" relativeHeight="251693056" behindDoc="0" locked="0" layoutInCell="1" allowOverlap="1" wp14:anchorId="31912249" wp14:editId="3B81E596">
            <wp:simplePos x="0" y="0"/>
            <wp:positionH relativeFrom="column">
              <wp:posOffset>5080</wp:posOffset>
            </wp:positionH>
            <wp:positionV relativeFrom="paragraph">
              <wp:posOffset>955040</wp:posOffset>
            </wp:positionV>
            <wp:extent cx="5283200" cy="3381375"/>
            <wp:effectExtent l="0" t="0" r="0" b="9525"/>
            <wp:wrapTopAndBottom/>
            <wp:docPr id="1263393467" name="Obrázek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393467" name="Obrázek 1263393467"/>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283200" cy="3381375"/>
                    </a:xfrm>
                    <a:prstGeom prst="rect">
                      <a:avLst/>
                    </a:prstGeom>
                  </pic:spPr>
                </pic:pic>
              </a:graphicData>
            </a:graphic>
            <wp14:sizeRelH relativeFrom="margin">
              <wp14:pctWidth>0</wp14:pctWidth>
            </wp14:sizeRelH>
            <wp14:sizeRelV relativeFrom="margin">
              <wp14:pctHeight>0</wp14:pctHeight>
            </wp14:sizeRelV>
          </wp:anchor>
        </w:drawing>
      </w:r>
      <w:r w:rsidR="00440807" w:rsidRPr="005C5429">
        <w:rPr>
          <w:lang w:val="en-GB"/>
        </w:rPr>
        <w:t>Before fixing the number of clusters, both the elbow method and the average silhouette width were computed (Figure 16); together with the theoretically expected high/moderate/low segmentation, they support retaining k = 3.</w:t>
      </w:r>
    </w:p>
    <w:p w14:paraId="293D58F8" w14:textId="7D7D50E6" w:rsidR="00C537B9" w:rsidRPr="005C5429" w:rsidRDefault="00C537B9" w:rsidP="00C537B9">
      <w:pPr>
        <w:spacing w:before="80" w:after="300"/>
        <w:rPr>
          <w:rStyle w:val="Zdraznnjemn"/>
          <w:lang w:val="en-GB"/>
        </w:rPr>
      </w:pPr>
      <w:r w:rsidRPr="005C5429">
        <w:rPr>
          <w:rStyle w:val="Zdraznnjemn"/>
          <w:lang w:val="en-GB"/>
        </w:rPr>
        <w:t>Figure 16a. Elbow method (within-cluster sum of squares) for choosing k.</w:t>
      </w:r>
    </w:p>
    <w:p w14:paraId="343E3BDD" w14:textId="51937714" w:rsidR="003F34B5" w:rsidRPr="005C5429" w:rsidRDefault="00C07B14" w:rsidP="003F34B5">
      <w:pPr>
        <w:spacing w:before="80" w:after="300"/>
        <w:rPr>
          <w:rStyle w:val="Zdraznnjemn"/>
          <w:lang w:val="en-GB"/>
        </w:rPr>
      </w:pPr>
      <w:r w:rsidRPr="005C5429">
        <w:rPr>
          <w:rStyle w:val="Zdraznnjemn"/>
          <w:noProof/>
          <w:lang w:val="en-GB"/>
        </w:rPr>
        <w:lastRenderedPageBreak/>
        <w:drawing>
          <wp:anchor distT="0" distB="0" distL="114300" distR="114300" simplePos="0" relativeHeight="251694080" behindDoc="0" locked="0" layoutInCell="1" allowOverlap="1" wp14:anchorId="44934C92" wp14:editId="028BD4DE">
            <wp:simplePos x="0" y="0"/>
            <wp:positionH relativeFrom="column">
              <wp:posOffset>-71755</wp:posOffset>
            </wp:positionH>
            <wp:positionV relativeFrom="paragraph">
              <wp:posOffset>0</wp:posOffset>
            </wp:positionV>
            <wp:extent cx="5349875" cy="3423285"/>
            <wp:effectExtent l="0" t="0" r="3175" b="5715"/>
            <wp:wrapTopAndBottom/>
            <wp:docPr id="1533710699" name="Obrázek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710699" name="Obrázek 1533710699"/>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349875" cy="3423285"/>
                    </a:xfrm>
                    <a:prstGeom prst="rect">
                      <a:avLst/>
                    </a:prstGeom>
                  </pic:spPr>
                </pic:pic>
              </a:graphicData>
            </a:graphic>
            <wp14:sizeRelH relativeFrom="margin">
              <wp14:pctWidth>0</wp14:pctWidth>
            </wp14:sizeRelH>
            <wp14:sizeRelV relativeFrom="margin">
              <wp14:pctHeight>0</wp14:pctHeight>
            </wp14:sizeRelV>
          </wp:anchor>
        </w:drawing>
      </w:r>
      <w:r w:rsidR="003F34B5" w:rsidRPr="005C5429">
        <w:rPr>
          <w:rStyle w:val="Zdraznnjemn"/>
          <w:lang w:val="en-GB"/>
        </w:rPr>
        <w:t>Figure 16b. Average silhouette width by k.</w:t>
      </w:r>
    </w:p>
    <w:p w14:paraId="5BE89181" w14:textId="5993A593" w:rsidR="00AA57C6" w:rsidRDefault="00981CC3" w:rsidP="00CD135F">
      <w:pPr>
        <w:spacing w:line="360" w:lineRule="auto"/>
        <w:ind w:firstLine="708"/>
        <w:rPr>
          <w:lang w:val="en-GB"/>
        </w:rPr>
      </w:pPr>
      <w:r w:rsidRPr="005C5429">
        <w:rPr>
          <w:lang w:val="en-GB"/>
        </w:rPr>
        <w:t xml:space="preserve">K-means clustering </w:t>
      </w:r>
      <w:r w:rsidR="00C07B14">
        <w:rPr>
          <w:lang w:val="en-GB"/>
        </w:rPr>
        <w:t>(</w:t>
      </w:r>
      <w:r w:rsidRPr="005C5429">
        <w:rPr>
          <w:lang w:val="en-GB"/>
        </w:rPr>
        <w:t xml:space="preserve">Figure 17) identifies three structurally distinct groups, labelled from each cluster's own computed mean coverage: a high-coverage profile of 70 countries (mean 59.7 fully vaccinated per 100), a moderate-coverage profile of 35 countries (mean 32.7), and a low-coverage profile of 104 countries (mean 8.9). </w:t>
      </w:r>
    </w:p>
    <w:p w14:paraId="55FEF4F0" w14:textId="028A3E32" w:rsidR="00981CC3" w:rsidRPr="005C5429" w:rsidRDefault="00981CC3" w:rsidP="00CD135F">
      <w:pPr>
        <w:spacing w:line="360" w:lineRule="auto"/>
        <w:ind w:firstLine="708"/>
        <w:rPr>
          <w:lang w:val="en-GB"/>
        </w:rPr>
      </w:pPr>
      <w:r w:rsidRPr="005C5429">
        <w:rPr>
          <w:lang w:val="en-GB"/>
        </w:rPr>
        <w:t xml:space="preserve">Spain, Germany, and Czechia fall in the high-coverage cluster; Brazil in the moderate-coverage cluster; India in the low-coverage cluster consistent with the trajectories already shown in Figure 1. </w:t>
      </w:r>
    </w:p>
    <w:p w14:paraId="1CFAAC7C" w14:textId="7526D011" w:rsidR="00D27122" w:rsidRPr="005C5429" w:rsidRDefault="00AA57C6" w:rsidP="00AA57C6">
      <w:pPr>
        <w:spacing w:before="80" w:after="300"/>
        <w:rPr>
          <w:rStyle w:val="Zdraznnjemn"/>
          <w:lang w:val="en-GB"/>
        </w:rPr>
      </w:pPr>
      <w:r>
        <w:rPr>
          <w:lang w:val="en-GB"/>
        </w:rPr>
        <w:br w:type="column"/>
      </w:r>
      <w:r w:rsidRPr="005C5429">
        <w:rPr>
          <w:noProof/>
          <w:lang w:val="en-GB"/>
          <w14:ligatures w14:val="standardContextual"/>
        </w:rPr>
        <w:lastRenderedPageBreak/>
        <w:drawing>
          <wp:anchor distT="0" distB="0" distL="114300" distR="114300" simplePos="0" relativeHeight="251702272" behindDoc="0" locked="0" layoutInCell="1" allowOverlap="1" wp14:anchorId="7F480127" wp14:editId="1F0002AB">
            <wp:simplePos x="0" y="0"/>
            <wp:positionH relativeFrom="column">
              <wp:posOffset>-71120</wp:posOffset>
            </wp:positionH>
            <wp:positionV relativeFrom="paragraph">
              <wp:posOffset>0</wp:posOffset>
            </wp:positionV>
            <wp:extent cx="5524500" cy="3535045"/>
            <wp:effectExtent l="0" t="0" r="0" b="8255"/>
            <wp:wrapTopAndBottom/>
            <wp:docPr id="700355989" name="Obrázek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355989" name="Obrázek 700355989"/>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524500" cy="3535045"/>
                    </a:xfrm>
                    <a:prstGeom prst="rect">
                      <a:avLst/>
                    </a:prstGeom>
                  </pic:spPr>
                </pic:pic>
              </a:graphicData>
            </a:graphic>
          </wp:anchor>
        </w:drawing>
      </w:r>
      <w:r w:rsidR="00385E35" w:rsidRPr="005C5429">
        <w:rPr>
          <w:rStyle w:val="Zdraznnjemn"/>
          <w:lang w:val="en-GB"/>
        </w:rPr>
        <w:t>Figure 17. K-means clusters in PCA space (k = 3); labels assigned from each cluster's own computed mean coverage.</w:t>
      </w:r>
    </w:p>
    <w:p w14:paraId="25DD4390" w14:textId="142B4DA0" w:rsidR="00F44913" w:rsidRPr="005C5429" w:rsidRDefault="00F44913" w:rsidP="00F44913">
      <w:pPr>
        <w:pStyle w:val="Nadpis2"/>
        <w:rPr>
          <w:lang w:val="en-GB"/>
        </w:rPr>
      </w:pPr>
      <w:bookmarkStart w:id="28" w:name="_Toc234693105"/>
      <w:r w:rsidRPr="005C5429">
        <w:rPr>
          <w:lang w:val="en-GB"/>
        </w:rPr>
        <w:t>5.</w:t>
      </w:r>
      <w:r w:rsidR="00EE7F89">
        <w:rPr>
          <w:lang w:val="en-GB"/>
        </w:rPr>
        <w:t>8</w:t>
      </w:r>
      <w:r w:rsidRPr="005C5429">
        <w:rPr>
          <w:lang w:val="en-GB"/>
        </w:rPr>
        <w:t xml:space="preserve"> ARIMA Forecasting</w:t>
      </w:r>
      <w:bookmarkEnd w:id="28"/>
    </w:p>
    <w:p w14:paraId="6467617B" w14:textId="76063104" w:rsidR="002B3D60" w:rsidRPr="005C5429" w:rsidRDefault="00B338D0" w:rsidP="00E87788">
      <w:pPr>
        <w:spacing w:before="120" w:after="120"/>
        <w:ind w:firstLine="708"/>
        <w:jc w:val="both"/>
        <w:rPr>
          <w:lang w:val="en-GB"/>
        </w:rPr>
      </w:pPr>
      <w:r w:rsidRPr="005C5429">
        <w:rPr>
          <w:noProof/>
          <w:lang w:val="en-GB"/>
          <w14:ligatures w14:val="standardContextual"/>
        </w:rPr>
        <w:drawing>
          <wp:anchor distT="0" distB="0" distL="114300" distR="114300" simplePos="0" relativeHeight="251703296" behindDoc="0" locked="0" layoutInCell="1" allowOverlap="1" wp14:anchorId="3543114F" wp14:editId="07997230">
            <wp:simplePos x="0" y="0"/>
            <wp:positionH relativeFrom="column">
              <wp:posOffset>-13970</wp:posOffset>
            </wp:positionH>
            <wp:positionV relativeFrom="paragraph">
              <wp:posOffset>1119505</wp:posOffset>
            </wp:positionV>
            <wp:extent cx="5000625" cy="2999740"/>
            <wp:effectExtent l="0" t="0" r="9525" b="0"/>
            <wp:wrapTopAndBottom/>
            <wp:docPr id="2111569000" name="Obrázek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569000" name="Obrázek 2111569000"/>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000625" cy="2999740"/>
                    </a:xfrm>
                    <a:prstGeom prst="rect">
                      <a:avLst/>
                    </a:prstGeom>
                  </pic:spPr>
                </pic:pic>
              </a:graphicData>
            </a:graphic>
            <wp14:sizeRelH relativeFrom="margin">
              <wp14:pctWidth>0</wp14:pctWidth>
            </wp14:sizeRelH>
            <wp14:sizeRelV relativeFrom="margin">
              <wp14:pctHeight>0</wp14:pctHeight>
            </wp14:sizeRelV>
          </wp:anchor>
        </w:drawing>
      </w:r>
      <w:r w:rsidR="00E87788" w:rsidRPr="00E87788">
        <w:rPr>
          <w:lang w:val="en-GB"/>
        </w:rPr>
        <w:t>Germany's daily coverage series (gaps interpolated) was modelled with</w:t>
      </w:r>
      <w:r w:rsidR="00E87788">
        <w:rPr>
          <w:rFonts w:ascii="Cascadia Code" w:hAnsi="Cascadia Code" w:cs="Cascadia Code"/>
          <w:lang w:val="en-GB"/>
        </w:rPr>
        <w:t xml:space="preserve"> </w:t>
      </w:r>
      <w:proofErr w:type="spellStart"/>
      <w:r w:rsidR="00E87788" w:rsidRPr="00E87788">
        <w:rPr>
          <w:rFonts w:ascii="Cascadia Code" w:hAnsi="Cascadia Code" w:cs="Cascadia Code"/>
          <w:lang w:val="en-GB"/>
        </w:rPr>
        <w:t>auto.arima</w:t>
      </w:r>
      <w:proofErr w:type="spellEnd"/>
      <w:r w:rsidR="00E87788" w:rsidRPr="00E87788">
        <w:rPr>
          <w:rFonts w:ascii="Cascadia Code" w:hAnsi="Cascadia Code" w:cs="Cascadia Code"/>
          <w:lang w:val="en-GB"/>
        </w:rPr>
        <w:t>(),</w:t>
      </w:r>
      <w:r w:rsidR="00E87788" w:rsidRPr="00E87788">
        <w:rPr>
          <w:lang w:val="en-GB"/>
        </w:rPr>
        <w:t xml:space="preserve">which selected ARIMA(2,2,1)(2,1,0)[7]; residual diagnostics showed no significant leftover autocorrelation (Ljung-Box Q* = 13.72, </w:t>
      </w:r>
      <w:proofErr w:type="spellStart"/>
      <w:r w:rsidR="00E87788" w:rsidRPr="00E87788">
        <w:rPr>
          <w:lang w:val="en-GB"/>
        </w:rPr>
        <w:t>df</w:t>
      </w:r>
      <w:proofErr w:type="spellEnd"/>
      <w:r w:rsidR="00E87788" w:rsidRPr="00E87788">
        <w:rPr>
          <w:lang w:val="en-GB"/>
        </w:rPr>
        <w:t xml:space="preserve"> = 9, p = 0.133). On an 80/20 train-test split, ARIMA outperformed an ETS benchmark (RMSE 2.44 vs. 3.05; MAE 1.69 vs. 2.15), supporting it as the better-suited model for this series.</w:t>
      </w:r>
    </w:p>
    <w:p w14:paraId="3213B86F" w14:textId="59D68E80" w:rsidR="002B3D60" w:rsidRPr="005C5429" w:rsidRDefault="0003027A" w:rsidP="00F44913">
      <w:pPr>
        <w:spacing w:before="120" w:after="120"/>
        <w:jc w:val="both"/>
        <w:rPr>
          <w:rStyle w:val="Zdraznnjemn"/>
          <w:lang w:val="en-GB"/>
        </w:rPr>
      </w:pPr>
      <w:r w:rsidRPr="005C5429">
        <w:rPr>
          <w:rStyle w:val="Zdraznnjemn"/>
          <w:lang w:val="en-GB"/>
        </w:rPr>
        <w:t>Figure 18. ARIMA forecast of Germany's full vaccination coverage (30-day horizon, 80% and 95% prediction intervals).</w:t>
      </w:r>
    </w:p>
    <w:p w14:paraId="0AEC8CC8" w14:textId="789E3A74" w:rsidR="006A25CF" w:rsidRPr="005C5429" w:rsidRDefault="00EC44BE" w:rsidP="00EC44BE">
      <w:pPr>
        <w:spacing w:before="120" w:after="120"/>
        <w:jc w:val="both"/>
        <w:rPr>
          <w:rStyle w:val="Zdraznnjemn"/>
          <w:lang w:val="en-GB"/>
        </w:rPr>
      </w:pPr>
      <w:r w:rsidRPr="005C5429">
        <w:rPr>
          <w:noProof/>
          <w:color w:val="555555"/>
          <w:sz w:val="20"/>
          <w:szCs w:val="20"/>
          <w:lang w:val="en-GB"/>
          <w14:ligatures w14:val="standardContextual"/>
        </w:rPr>
        <w:lastRenderedPageBreak/>
        <w:drawing>
          <wp:anchor distT="0" distB="0" distL="114300" distR="114300" simplePos="0" relativeHeight="251701248" behindDoc="0" locked="0" layoutInCell="1" allowOverlap="1" wp14:anchorId="7DF42987" wp14:editId="3E760705">
            <wp:simplePos x="0" y="0"/>
            <wp:positionH relativeFrom="column">
              <wp:posOffset>-271145</wp:posOffset>
            </wp:positionH>
            <wp:positionV relativeFrom="paragraph">
              <wp:posOffset>33655</wp:posOffset>
            </wp:positionV>
            <wp:extent cx="5476875" cy="3286125"/>
            <wp:effectExtent l="0" t="0" r="9525" b="9525"/>
            <wp:wrapTopAndBottom/>
            <wp:docPr id="1276291596" name="Obrázek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291596" name="Obrázek 1276291596"/>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476875" cy="3286125"/>
                    </a:xfrm>
                    <a:prstGeom prst="rect">
                      <a:avLst/>
                    </a:prstGeom>
                  </pic:spPr>
                </pic:pic>
              </a:graphicData>
            </a:graphic>
            <wp14:sizeRelH relativeFrom="margin">
              <wp14:pctWidth>0</wp14:pctWidth>
            </wp14:sizeRelH>
            <wp14:sizeRelV relativeFrom="margin">
              <wp14:pctHeight>0</wp14:pctHeight>
            </wp14:sizeRelV>
          </wp:anchor>
        </w:drawing>
      </w:r>
      <w:r w:rsidR="006A25CF" w:rsidRPr="005C5429">
        <w:rPr>
          <w:rStyle w:val="Zdraznnjemn"/>
          <w:lang w:val="en-GB"/>
        </w:rPr>
        <w:t>Figure 19. Residual diagnostics for Germany's ARIMA model.</w:t>
      </w:r>
    </w:p>
    <w:p w14:paraId="7114BED7" w14:textId="2D1A4F89" w:rsidR="002B3D60" w:rsidRPr="005C5429" w:rsidRDefault="002B3D60" w:rsidP="00F44913">
      <w:pPr>
        <w:spacing w:before="120" w:after="120"/>
        <w:jc w:val="both"/>
        <w:rPr>
          <w:color w:val="555555"/>
          <w:sz w:val="20"/>
          <w:szCs w:val="20"/>
          <w:lang w:val="en-GB"/>
        </w:rPr>
      </w:pPr>
    </w:p>
    <w:p w14:paraId="0A90A374" w14:textId="35FBB699" w:rsidR="002B3D60" w:rsidRPr="005C5429" w:rsidRDefault="006A25CF" w:rsidP="00F44913">
      <w:pPr>
        <w:spacing w:before="120" w:after="120"/>
        <w:jc w:val="both"/>
        <w:rPr>
          <w:color w:val="555555"/>
          <w:sz w:val="20"/>
          <w:szCs w:val="20"/>
          <w:lang w:val="en-GB"/>
        </w:rPr>
      </w:pPr>
      <w:r w:rsidRPr="005C5429">
        <w:rPr>
          <w:noProof/>
          <w:color w:val="555555"/>
          <w:sz w:val="20"/>
          <w:szCs w:val="20"/>
          <w:lang w:val="en-GB"/>
          <w14:ligatures w14:val="standardContextual"/>
        </w:rPr>
        <w:drawing>
          <wp:inline distT="0" distB="0" distL="0" distR="0" wp14:anchorId="1498E5A6" wp14:editId="5CD9A99E">
            <wp:extent cx="5276850" cy="3165994"/>
            <wp:effectExtent l="0" t="0" r="0" b="0"/>
            <wp:docPr id="1136300051" name="Obrázek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300051" name="Obrázek 1136300051"/>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286767" cy="3171944"/>
                    </a:xfrm>
                    <a:prstGeom prst="rect">
                      <a:avLst/>
                    </a:prstGeom>
                  </pic:spPr>
                </pic:pic>
              </a:graphicData>
            </a:graphic>
          </wp:inline>
        </w:drawing>
      </w:r>
    </w:p>
    <w:p w14:paraId="1FF41A18" w14:textId="77777777" w:rsidR="002B3D60" w:rsidRPr="005C5429" w:rsidRDefault="002B3D60" w:rsidP="00F44913">
      <w:pPr>
        <w:spacing w:before="120" w:after="120"/>
        <w:jc w:val="both"/>
        <w:rPr>
          <w:color w:val="555555"/>
          <w:sz w:val="20"/>
          <w:szCs w:val="20"/>
          <w:lang w:val="en-GB"/>
        </w:rPr>
      </w:pPr>
    </w:p>
    <w:p w14:paraId="7F66DDEE" w14:textId="77777777" w:rsidR="003D6B70" w:rsidRPr="005C5429" w:rsidRDefault="003D6B70" w:rsidP="003D6B70">
      <w:pPr>
        <w:spacing w:before="80" w:after="300"/>
        <w:rPr>
          <w:rStyle w:val="Zdraznnjemn"/>
          <w:lang w:val="en-GB"/>
        </w:rPr>
      </w:pPr>
      <w:r w:rsidRPr="005C5429">
        <w:rPr>
          <w:rStyle w:val="Zdraznnjemn"/>
          <w:lang w:val="en-GB"/>
        </w:rPr>
        <w:t>Figure 20. ETS forecast of Germany's full vaccination coverage, shown for comparison.</w:t>
      </w:r>
    </w:p>
    <w:p w14:paraId="285CE2BB" w14:textId="431F26A4" w:rsidR="003D6B70" w:rsidRPr="005C5429" w:rsidRDefault="003D6B70" w:rsidP="00CD135F">
      <w:pPr>
        <w:spacing w:line="360" w:lineRule="auto"/>
        <w:ind w:firstLine="708"/>
        <w:rPr>
          <w:lang w:val="en-GB"/>
        </w:rPr>
      </w:pPr>
      <w:r w:rsidRPr="005C5429">
        <w:rPr>
          <w:lang w:val="en-GB"/>
        </w:rPr>
        <w:t>The same modelling strategy auto-selected differencing applied to a gap-filled level series, with no manual pre-differencing was then extended to Spain, India, and Bangladesh (Figure 21). Spain's model selected order (1,1,1)(1,1,1)[7] with an Augmented Dickey-Fuller p-value of 0.559 on levels (consistent with a unit root, supporting differencing); India selected (0,2,2)(2,0,0)[7] (p = 0.990); Bangladesh selected (0,2,3)(2,0,0)[7] (p = 0.951).</w:t>
      </w:r>
    </w:p>
    <w:p w14:paraId="083D7EC4" w14:textId="3CD3D143" w:rsidR="00A24378" w:rsidRPr="005C5429" w:rsidRDefault="00EC44BE" w:rsidP="00E149F1">
      <w:pPr>
        <w:spacing w:before="120" w:after="120"/>
        <w:jc w:val="both"/>
        <w:rPr>
          <w:rStyle w:val="Zdraznnjemn"/>
          <w:lang w:val="en-GB"/>
        </w:rPr>
      </w:pPr>
      <w:r w:rsidRPr="005C5429">
        <w:rPr>
          <w:rStyle w:val="Zdraznnjemn"/>
          <w:noProof/>
          <w:lang w:val="en-GB"/>
        </w:rPr>
        <w:lastRenderedPageBreak/>
        <w:drawing>
          <wp:anchor distT="0" distB="0" distL="114300" distR="114300" simplePos="0" relativeHeight="251695104" behindDoc="1" locked="0" layoutInCell="1" allowOverlap="1" wp14:anchorId="0AA34747" wp14:editId="46E32BEF">
            <wp:simplePos x="0" y="0"/>
            <wp:positionH relativeFrom="column">
              <wp:posOffset>5080</wp:posOffset>
            </wp:positionH>
            <wp:positionV relativeFrom="paragraph">
              <wp:posOffset>0</wp:posOffset>
            </wp:positionV>
            <wp:extent cx="5001895" cy="3000375"/>
            <wp:effectExtent l="0" t="0" r="8255" b="9525"/>
            <wp:wrapTopAndBottom/>
            <wp:docPr id="1963795504" name="Obrázek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795504" name="Obrázek 1963795504"/>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001895" cy="3000375"/>
                    </a:xfrm>
                    <a:prstGeom prst="rect">
                      <a:avLst/>
                    </a:prstGeom>
                  </pic:spPr>
                </pic:pic>
              </a:graphicData>
            </a:graphic>
            <wp14:sizeRelH relativeFrom="margin">
              <wp14:pctWidth>0</wp14:pctWidth>
            </wp14:sizeRelH>
            <wp14:sizeRelV relativeFrom="margin">
              <wp14:pctHeight>0</wp14:pctHeight>
            </wp14:sizeRelV>
          </wp:anchor>
        </w:drawing>
      </w:r>
      <w:r w:rsidR="00204207" w:rsidRPr="005C5429">
        <w:rPr>
          <w:rStyle w:val="Zdraznnjemn"/>
          <w:noProof/>
          <w:lang w:val="en-GB"/>
        </w:rPr>
        <w:drawing>
          <wp:anchor distT="0" distB="0" distL="114300" distR="114300" simplePos="0" relativeHeight="251696128" behindDoc="0" locked="0" layoutInCell="1" allowOverlap="1" wp14:anchorId="67E9F9C3" wp14:editId="121660C6">
            <wp:simplePos x="0" y="0"/>
            <wp:positionH relativeFrom="column">
              <wp:posOffset>108585</wp:posOffset>
            </wp:positionH>
            <wp:positionV relativeFrom="paragraph">
              <wp:posOffset>3319145</wp:posOffset>
            </wp:positionV>
            <wp:extent cx="4518660" cy="2710815"/>
            <wp:effectExtent l="0" t="0" r="0" b="0"/>
            <wp:wrapTopAndBottom/>
            <wp:docPr id="845168576" name="Obrázek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168576" name="Obrázek 845168576"/>
                    <pic:cNvPicPr/>
                  </pic:nvPicPr>
                  <pic:blipFill>
                    <a:blip r:embed="rId30" cstate="print">
                      <a:extLst>
                        <a:ext uri="{28A0092B-C50C-407E-A947-70E740481C1C}">
                          <a14:useLocalDpi xmlns:a14="http://schemas.microsoft.com/office/drawing/2010/main" val="0"/>
                        </a:ext>
                      </a:extLst>
                    </a:blip>
                    <a:stretch>
                      <a:fillRect/>
                    </a:stretch>
                  </pic:blipFill>
                  <pic:spPr>
                    <a:xfrm>
                      <a:off x="0" y="0"/>
                      <a:ext cx="4518660" cy="2710815"/>
                    </a:xfrm>
                    <a:prstGeom prst="rect">
                      <a:avLst/>
                    </a:prstGeom>
                  </pic:spPr>
                </pic:pic>
              </a:graphicData>
            </a:graphic>
            <wp14:sizeRelH relativeFrom="margin">
              <wp14:pctWidth>0</wp14:pctWidth>
            </wp14:sizeRelH>
            <wp14:sizeRelV relativeFrom="margin">
              <wp14:pctHeight>0</wp14:pctHeight>
            </wp14:sizeRelV>
          </wp:anchor>
        </w:drawing>
      </w:r>
      <w:r w:rsidR="00A24378" w:rsidRPr="005C5429">
        <w:rPr>
          <w:rStyle w:val="Zdraznnjemn"/>
          <w:lang w:val="en-GB"/>
        </w:rPr>
        <w:t>Figure 21a. ARIMA forecast of full vaccination coverage: Spain.</w:t>
      </w:r>
    </w:p>
    <w:p w14:paraId="43BE94FC" w14:textId="250FC15F" w:rsidR="00A324C4" w:rsidRPr="005C5429" w:rsidRDefault="00EC44BE" w:rsidP="00A24378">
      <w:pPr>
        <w:spacing w:before="80" w:after="300"/>
        <w:rPr>
          <w:rStyle w:val="Zdraznnjemn"/>
          <w:lang w:val="en-GB"/>
        </w:rPr>
      </w:pPr>
      <w:r w:rsidRPr="005C5429">
        <w:rPr>
          <w:rStyle w:val="Zdraznnjemn"/>
          <w:noProof/>
          <w:lang w:val="en-GB"/>
        </w:rPr>
        <w:drawing>
          <wp:anchor distT="0" distB="0" distL="114300" distR="114300" simplePos="0" relativeHeight="251697152" behindDoc="0" locked="0" layoutInCell="1" allowOverlap="1" wp14:anchorId="593CBFF7" wp14:editId="2D899DD3">
            <wp:simplePos x="0" y="0"/>
            <wp:positionH relativeFrom="column">
              <wp:posOffset>195580</wp:posOffset>
            </wp:positionH>
            <wp:positionV relativeFrom="paragraph">
              <wp:posOffset>3085465</wp:posOffset>
            </wp:positionV>
            <wp:extent cx="3467100" cy="2079625"/>
            <wp:effectExtent l="0" t="0" r="0" b="0"/>
            <wp:wrapTopAndBottom/>
            <wp:docPr id="1606071351" name="Obrázek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071351" name="Obrázek 1606071351"/>
                    <pic:cNvPicPr/>
                  </pic:nvPicPr>
                  <pic:blipFill>
                    <a:blip r:embed="rId31" cstate="print">
                      <a:extLst>
                        <a:ext uri="{28A0092B-C50C-407E-A947-70E740481C1C}">
                          <a14:useLocalDpi xmlns:a14="http://schemas.microsoft.com/office/drawing/2010/main" val="0"/>
                        </a:ext>
                      </a:extLst>
                    </a:blip>
                    <a:stretch>
                      <a:fillRect/>
                    </a:stretch>
                  </pic:blipFill>
                  <pic:spPr>
                    <a:xfrm>
                      <a:off x="0" y="0"/>
                      <a:ext cx="3467100" cy="2079625"/>
                    </a:xfrm>
                    <a:prstGeom prst="rect">
                      <a:avLst/>
                    </a:prstGeom>
                  </pic:spPr>
                </pic:pic>
              </a:graphicData>
            </a:graphic>
            <wp14:sizeRelH relativeFrom="margin">
              <wp14:pctWidth>0</wp14:pctWidth>
            </wp14:sizeRelH>
            <wp14:sizeRelV relativeFrom="margin">
              <wp14:pctHeight>0</wp14:pctHeight>
            </wp14:sizeRelV>
          </wp:anchor>
        </w:drawing>
      </w:r>
      <w:r w:rsidR="00A324C4" w:rsidRPr="005C5429">
        <w:rPr>
          <w:rStyle w:val="Zdraznnjemn"/>
          <w:lang w:val="en-GB"/>
        </w:rPr>
        <w:t>Figure 21b. ARIMA forecast of full vaccination coverage: India.</w:t>
      </w:r>
    </w:p>
    <w:p w14:paraId="6792ED93" w14:textId="2904379B" w:rsidR="00FB665A" w:rsidRPr="005C5429" w:rsidRDefault="00FB665A" w:rsidP="00A24378">
      <w:pPr>
        <w:spacing w:before="80" w:after="300"/>
        <w:rPr>
          <w:rStyle w:val="Zdraznnjemn"/>
          <w:lang w:val="en-GB"/>
        </w:rPr>
      </w:pPr>
      <w:r w:rsidRPr="005C5429">
        <w:rPr>
          <w:rStyle w:val="Zdraznnjemn"/>
          <w:lang w:val="en-GB"/>
        </w:rPr>
        <w:t>Figure 21c. ARIMA forecast of full vaccination coverage: Bangladesh.</w:t>
      </w:r>
    </w:p>
    <w:p w14:paraId="37A2D857" w14:textId="77777777" w:rsidR="00D96EC6" w:rsidRPr="005C5429" w:rsidRDefault="00D96EC6" w:rsidP="001A6DA2">
      <w:pPr>
        <w:spacing w:line="360" w:lineRule="auto"/>
        <w:ind w:firstLine="708"/>
        <w:rPr>
          <w:lang w:val="en-GB"/>
        </w:rPr>
      </w:pPr>
    </w:p>
    <w:p w14:paraId="57761AD5" w14:textId="4BCBCC54" w:rsidR="00F61608" w:rsidRPr="00F61608" w:rsidRDefault="00F61608" w:rsidP="00F61608">
      <w:pPr>
        <w:spacing w:line="360" w:lineRule="auto"/>
        <w:ind w:firstLine="708"/>
        <w:rPr>
          <w:lang w:val="en-GB"/>
        </w:rPr>
      </w:pPr>
      <w:r w:rsidRPr="00F61608">
        <w:t xml:space="preserve"> </w:t>
      </w:r>
      <w:r w:rsidRPr="00F61608">
        <w:rPr>
          <w:lang w:val="en-GB"/>
        </w:rPr>
        <w:t>The two uncertainty metrics in Figure 22 tell different stories</w:t>
      </w:r>
      <w:r w:rsidR="00612E9B">
        <w:rPr>
          <w:lang w:val="en-GB"/>
        </w:rPr>
        <w:t xml:space="preserve">. </w:t>
      </w:r>
      <w:r w:rsidRPr="00F61608">
        <w:rPr>
          <w:lang w:val="en-GB"/>
        </w:rPr>
        <w:t xml:space="preserve">In absolute terms (22a), Spain's 30-day forecast had the widest 95% interval of the three countries (7.04 percentage points, vs. 1.99 for India and 1.41 for Bangladesh) the opposite of what </w:t>
      </w:r>
      <w:r w:rsidR="00612E9B">
        <w:rPr>
          <w:lang w:val="en-GB"/>
        </w:rPr>
        <w:t>was</w:t>
      </w:r>
      <w:r w:rsidRPr="00F61608">
        <w:rPr>
          <w:lang w:val="en-GB"/>
        </w:rPr>
        <w:t xml:space="preserve"> expect</w:t>
      </w:r>
      <w:r w:rsidR="00612E9B">
        <w:rPr>
          <w:lang w:val="en-GB"/>
        </w:rPr>
        <w:t>ed</w:t>
      </w:r>
      <w:r w:rsidRPr="00F61608">
        <w:rPr>
          <w:lang w:val="en-GB"/>
        </w:rPr>
        <w:t xml:space="preserve"> if higher income meant more reliable forecasts. This is a scale effect: Spain's model needed full seasonal differencing (compounding uncertainty faster over multiple weeks), and its coverage was already near saturation (~70%), where absolute swings simply have more room to occur than in a series still rising from near zero.</w:t>
      </w:r>
    </w:p>
    <w:p w14:paraId="6760623E" w14:textId="53B2ACAE" w:rsidR="00E149F1" w:rsidRPr="005C5429" w:rsidRDefault="00F61608" w:rsidP="00FC37FC">
      <w:pPr>
        <w:spacing w:line="360" w:lineRule="auto"/>
        <w:ind w:firstLine="708"/>
        <w:rPr>
          <w:lang w:val="en-GB"/>
        </w:rPr>
      </w:pPr>
      <w:r w:rsidRPr="005C5429">
        <w:rPr>
          <w:noProof/>
          <w:lang w:val="en-GB"/>
        </w:rPr>
        <w:drawing>
          <wp:anchor distT="0" distB="0" distL="114300" distR="114300" simplePos="0" relativeHeight="251698176" behindDoc="0" locked="0" layoutInCell="1" allowOverlap="1" wp14:anchorId="582B0DA8" wp14:editId="188C0871">
            <wp:simplePos x="0" y="0"/>
            <wp:positionH relativeFrom="column">
              <wp:posOffset>-109855</wp:posOffset>
            </wp:positionH>
            <wp:positionV relativeFrom="paragraph">
              <wp:posOffset>1405890</wp:posOffset>
            </wp:positionV>
            <wp:extent cx="3838575" cy="2303145"/>
            <wp:effectExtent l="0" t="0" r="9525" b="1905"/>
            <wp:wrapTopAndBottom/>
            <wp:docPr id="825861936" name="Obrázek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861936" name="Obrázek 825861936"/>
                    <pic:cNvPicPr/>
                  </pic:nvPicPr>
                  <pic:blipFill>
                    <a:blip r:embed="rId32" cstate="print">
                      <a:extLst>
                        <a:ext uri="{28A0092B-C50C-407E-A947-70E740481C1C}">
                          <a14:useLocalDpi xmlns:a14="http://schemas.microsoft.com/office/drawing/2010/main" val="0"/>
                        </a:ext>
                      </a:extLst>
                    </a:blip>
                    <a:stretch>
                      <a:fillRect/>
                    </a:stretch>
                  </pic:blipFill>
                  <pic:spPr>
                    <a:xfrm>
                      <a:off x="0" y="0"/>
                      <a:ext cx="3838575" cy="2303145"/>
                    </a:xfrm>
                    <a:prstGeom prst="rect">
                      <a:avLst/>
                    </a:prstGeom>
                  </pic:spPr>
                </pic:pic>
              </a:graphicData>
            </a:graphic>
            <wp14:sizeRelH relativeFrom="margin">
              <wp14:pctWidth>0</wp14:pctWidth>
            </wp14:sizeRelH>
            <wp14:sizeRelV relativeFrom="margin">
              <wp14:pctHeight>0</wp14:pctHeight>
            </wp14:sizeRelV>
          </wp:anchor>
        </w:drawing>
      </w:r>
      <w:r w:rsidRPr="00F61608">
        <w:rPr>
          <w:lang w:val="en-GB"/>
        </w:rPr>
        <w:t>Rescaled by each country's own forecast level (22b), the ranking flips: Bangladesh's forecast is proportionally most uncertain (22.4% of its forecast level), then India (14.9%), then Spain (9.5%). Absolute and relative uncertainty answer different questions</w:t>
      </w:r>
      <w:r w:rsidR="00612E9B">
        <w:rPr>
          <w:lang w:val="en-GB"/>
        </w:rPr>
        <w:t>,</w:t>
      </w:r>
      <w:r w:rsidRPr="00F61608">
        <w:rPr>
          <w:lang w:val="en-GB"/>
        </w:rPr>
        <w:t xml:space="preserve"> how wide the band is in real terms, versus how uncertain the forecast is relative to what's being forecast and only the relative view supports the idea that forecast reliability tracks income level once the scale confound is removed.</w:t>
      </w:r>
    </w:p>
    <w:p w14:paraId="1893C4C4" w14:textId="2CB4828D" w:rsidR="003F7A4E" w:rsidRPr="005C5429" w:rsidRDefault="00775691" w:rsidP="003F7A4E">
      <w:pPr>
        <w:spacing w:before="80" w:after="300"/>
        <w:rPr>
          <w:rStyle w:val="Zdraznnjemn"/>
          <w:lang w:val="en-GB"/>
        </w:rPr>
      </w:pPr>
      <w:r w:rsidRPr="005C5429">
        <w:rPr>
          <w:rStyle w:val="Zdraznnjemn"/>
          <w:noProof/>
          <w:lang w:val="en-GB"/>
        </w:rPr>
        <w:drawing>
          <wp:anchor distT="0" distB="0" distL="114300" distR="114300" simplePos="0" relativeHeight="251699200" behindDoc="0" locked="0" layoutInCell="1" allowOverlap="1" wp14:anchorId="5E911843" wp14:editId="44A082E8">
            <wp:simplePos x="0" y="0"/>
            <wp:positionH relativeFrom="column">
              <wp:posOffset>-109220</wp:posOffset>
            </wp:positionH>
            <wp:positionV relativeFrom="paragraph">
              <wp:posOffset>2897505</wp:posOffset>
            </wp:positionV>
            <wp:extent cx="4076700" cy="2445385"/>
            <wp:effectExtent l="0" t="0" r="0" b="0"/>
            <wp:wrapTopAndBottom/>
            <wp:docPr id="584066439" name="Obrázek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066439" name="Obrázek 584066439"/>
                    <pic:cNvPicPr/>
                  </pic:nvPicPr>
                  <pic:blipFill>
                    <a:blip r:embed="rId33" cstate="print">
                      <a:extLst>
                        <a:ext uri="{28A0092B-C50C-407E-A947-70E740481C1C}">
                          <a14:useLocalDpi xmlns:a14="http://schemas.microsoft.com/office/drawing/2010/main" val="0"/>
                        </a:ext>
                      </a:extLst>
                    </a:blip>
                    <a:stretch>
                      <a:fillRect/>
                    </a:stretch>
                  </pic:blipFill>
                  <pic:spPr>
                    <a:xfrm>
                      <a:off x="0" y="0"/>
                      <a:ext cx="4076700" cy="2445385"/>
                    </a:xfrm>
                    <a:prstGeom prst="rect">
                      <a:avLst/>
                    </a:prstGeom>
                  </pic:spPr>
                </pic:pic>
              </a:graphicData>
            </a:graphic>
            <wp14:sizeRelH relativeFrom="margin">
              <wp14:pctWidth>0</wp14:pctWidth>
            </wp14:sizeRelH>
            <wp14:sizeRelV relativeFrom="margin">
              <wp14:pctHeight>0</wp14:pctHeight>
            </wp14:sizeRelV>
          </wp:anchor>
        </w:drawing>
      </w:r>
      <w:r w:rsidR="003F7A4E" w:rsidRPr="005C5429">
        <w:rPr>
          <w:rStyle w:val="Zdraznnjemn"/>
          <w:lang w:val="en-GB"/>
        </w:rPr>
        <w:t>Figure 22a. Mean 95% prediction-interval width by country, in absolute percentage points.</w:t>
      </w:r>
    </w:p>
    <w:p w14:paraId="7134D85A" w14:textId="24011D9C" w:rsidR="005A7BD3" w:rsidRPr="005C5429" w:rsidRDefault="005A7BD3" w:rsidP="005A7BD3">
      <w:pPr>
        <w:spacing w:before="80" w:after="300"/>
        <w:rPr>
          <w:rStyle w:val="Zdraznnjemn"/>
          <w:lang w:val="en-GB"/>
        </w:rPr>
      </w:pPr>
      <w:r w:rsidRPr="005C5429">
        <w:rPr>
          <w:rStyle w:val="Zdraznnjemn"/>
          <w:lang w:val="en-GB"/>
        </w:rPr>
        <w:t>Figure 22b. Mean 95% prediction-interval width by country, relative to each country's own forecast level.</w:t>
      </w:r>
    </w:p>
    <w:p w14:paraId="5B93E170" w14:textId="2E739850" w:rsidR="00CB6EB5" w:rsidRPr="005C5429" w:rsidRDefault="00AF4052" w:rsidP="00C20B41">
      <w:pPr>
        <w:pStyle w:val="Nadpis1"/>
        <w:pBdr>
          <w:bottom w:val="single" w:sz="8" w:space="4" w:color="FF8E00"/>
        </w:pBdr>
        <w:rPr>
          <w:lang w:val="en-GB"/>
        </w:rPr>
      </w:pPr>
      <w:r w:rsidRPr="005C5429">
        <w:rPr>
          <w:lang w:val="en-GB"/>
        </w:rPr>
        <w:br w:type="column"/>
      </w:r>
      <w:bookmarkStart w:id="29" w:name="_Toc234693106"/>
      <w:r w:rsidR="00C20B41" w:rsidRPr="005C5429">
        <w:rPr>
          <w:lang w:val="en-GB"/>
        </w:rPr>
        <w:lastRenderedPageBreak/>
        <w:t>6.Discussion</w:t>
      </w:r>
      <w:bookmarkEnd w:id="29"/>
    </w:p>
    <w:p w14:paraId="6C342220" w14:textId="77777777" w:rsidR="00CB6EB5" w:rsidRPr="005C5429" w:rsidRDefault="00CB6EB5" w:rsidP="00CB6EB5">
      <w:pPr>
        <w:pStyle w:val="Nadpis2"/>
        <w:spacing w:line="480" w:lineRule="auto"/>
        <w:rPr>
          <w:lang w:val="en-GB"/>
        </w:rPr>
      </w:pPr>
      <w:bookmarkStart w:id="30" w:name="_Toc234609759"/>
      <w:bookmarkStart w:id="31" w:name="_Toc234693107"/>
      <w:r w:rsidRPr="005C5429">
        <w:rPr>
          <w:lang w:val="en-GB"/>
        </w:rPr>
        <w:t>6.1 Strengths</w:t>
      </w:r>
      <w:bookmarkEnd w:id="30"/>
      <w:bookmarkEnd w:id="31"/>
    </w:p>
    <w:p w14:paraId="1B3FF898" w14:textId="77777777" w:rsidR="00381436" w:rsidRDefault="00381436" w:rsidP="00381436">
      <w:pPr>
        <w:spacing w:line="360" w:lineRule="auto"/>
        <w:ind w:firstLine="708"/>
        <w:rPr>
          <w:lang w:val="en-GB"/>
        </w:rPr>
      </w:pPr>
      <w:bookmarkStart w:id="32" w:name="_Toc234609760"/>
      <w:r w:rsidRPr="00381436">
        <w:rPr>
          <w:lang w:val="en-GB"/>
        </w:rPr>
        <w:t>This analysis combines descriptive statistics, unsupervised learning, and time series forecasting to characterize COVID-19 vaccination inequality from cross-sectional, longitudinal, and predictive angles, using a single, regularly updated public dataset. World Bank income-group aggregates already embedded in the data were used directly, avoiding an external country-to-income crosswalk. The ARIMA component adds a forward-looking dimension: by testing rather than assuming whether forecast uncertainty differs by income level, and reporting both the absolute result (which contradicted the initial hypothesis) and the scale-adjusted result (which supported it), the analysis shows that inequality can be structural to the data-generating process itself, not just to the outcomes it measures.</w:t>
      </w:r>
    </w:p>
    <w:p w14:paraId="62E27DCD" w14:textId="639D0E71" w:rsidR="00CB6EB5" w:rsidRPr="005C5429" w:rsidRDefault="00CB6EB5" w:rsidP="00CB6EB5">
      <w:pPr>
        <w:pStyle w:val="Nadpis2"/>
        <w:spacing w:line="480" w:lineRule="auto"/>
        <w:rPr>
          <w:lang w:val="en-GB"/>
        </w:rPr>
      </w:pPr>
      <w:bookmarkStart w:id="33" w:name="_Toc234693108"/>
      <w:r w:rsidRPr="005C5429">
        <w:rPr>
          <w:lang w:val="en-GB"/>
        </w:rPr>
        <w:t>6.2 Limitations</w:t>
      </w:r>
      <w:bookmarkEnd w:id="32"/>
      <w:bookmarkEnd w:id="33"/>
    </w:p>
    <w:p w14:paraId="1061E76B" w14:textId="2D5FE1C8" w:rsidR="00FC37FC" w:rsidRDefault="00FC37FC" w:rsidP="00FC37FC">
      <w:pPr>
        <w:spacing w:line="360" w:lineRule="auto"/>
        <w:ind w:firstLine="708"/>
        <w:rPr>
          <w:lang w:val="en-GB"/>
        </w:rPr>
      </w:pPr>
      <w:bookmarkStart w:id="34" w:name="_Toc234609761"/>
      <w:r w:rsidRPr="00FC37FC">
        <w:rPr>
          <w:lang w:val="en-GB"/>
        </w:rPr>
        <w:t>Several limitations apply. First, cross-sectional comparisons based on each country's "latest observation" (Figures 2, 3, 12, 14, 17) aren't all from the same date</w:t>
      </w:r>
      <w:r>
        <w:rPr>
          <w:lang w:val="en-GB"/>
        </w:rPr>
        <w:t>,</w:t>
      </w:r>
      <w:r w:rsidRPr="00FC37FC">
        <w:rPr>
          <w:lang w:val="en-GB"/>
        </w:rPr>
        <w:t xml:space="preserve"> they range from April to August 2021, and at least 15 of the 216 countries have snapshots over 30 days stale, so their true position by late August could be higher than shown. </w:t>
      </w:r>
    </w:p>
    <w:p w14:paraId="346343F2" w14:textId="102A8806" w:rsidR="00FC37FC" w:rsidRDefault="00FC37FC" w:rsidP="00FC37FC">
      <w:pPr>
        <w:spacing w:line="360" w:lineRule="auto"/>
        <w:ind w:firstLine="708"/>
        <w:rPr>
          <w:lang w:val="en-GB"/>
        </w:rPr>
      </w:pPr>
      <w:r w:rsidRPr="00FC37FC">
        <w:rPr>
          <w:lang w:val="en-GB"/>
        </w:rPr>
        <w:t xml:space="preserve">Second, as Section 5.3 shows, near-complete missingness doesn't mean no vaccination activity, so the coverage gap reported here may itself understate reality for the most data-poor countries. </w:t>
      </w:r>
    </w:p>
    <w:p w14:paraId="1B8140DB" w14:textId="77777777" w:rsidR="00FC37FC" w:rsidRDefault="00FC37FC" w:rsidP="00FC37FC">
      <w:pPr>
        <w:spacing w:line="360" w:lineRule="auto"/>
        <w:ind w:firstLine="708"/>
        <w:rPr>
          <w:lang w:val="en-GB"/>
        </w:rPr>
      </w:pPr>
      <w:r w:rsidRPr="00FC37FC">
        <w:rPr>
          <w:lang w:val="en-GB"/>
        </w:rPr>
        <w:t xml:space="preserve">Third, the observation window ends in August 2021, missing the substantial 2022–2023 expansion of rollout in lower-income countries. </w:t>
      </w:r>
    </w:p>
    <w:p w14:paraId="04BCB1A8" w14:textId="77777777" w:rsidR="00FC37FC" w:rsidRDefault="00FC37FC" w:rsidP="00FC37FC">
      <w:pPr>
        <w:spacing w:line="360" w:lineRule="auto"/>
        <w:ind w:firstLine="708"/>
        <w:rPr>
          <w:lang w:val="en-GB"/>
        </w:rPr>
      </w:pPr>
      <w:r w:rsidRPr="00FC37FC">
        <w:rPr>
          <w:lang w:val="en-GB"/>
        </w:rPr>
        <w:t xml:space="preserve">Fourth, PCA excluded seven countries (3%) with incomplete indicator data, a small but non-random subset. </w:t>
      </w:r>
    </w:p>
    <w:p w14:paraId="402828CA" w14:textId="48A1DD89" w:rsidR="00FC37FC" w:rsidRDefault="00FC37FC" w:rsidP="00FC37FC">
      <w:pPr>
        <w:spacing w:line="360" w:lineRule="auto"/>
        <w:ind w:firstLine="708"/>
        <w:rPr>
          <w:lang w:val="en-GB"/>
        </w:rPr>
      </w:pPr>
      <w:r w:rsidRPr="00FC37FC">
        <w:rPr>
          <w:lang w:val="en-GB"/>
        </w:rPr>
        <w:t>Finally, the ARIMA uncertainty comparison in Section 5.8 illustrates a broader caution: absolute and scale-adjusted metrics can point in opposite directions, and neither should be reported alone when countries differ as much in baseline coverage as Spain, India, and Bangladesh do.</w:t>
      </w:r>
    </w:p>
    <w:p w14:paraId="10C40612" w14:textId="42F4B09C" w:rsidR="00CB6EB5" w:rsidRPr="005C5429" w:rsidRDefault="00CB6EB5" w:rsidP="00CB6EB5">
      <w:pPr>
        <w:pStyle w:val="Nadpis2"/>
        <w:spacing w:line="480" w:lineRule="auto"/>
        <w:rPr>
          <w:lang w:val="en-GB"/>
        </w:rPr>
      </w:pPr>
      <w:bookmarkStart w:id="35" w:name="_Toc234693109"/>
      <w:r w:rsidRPr="005C5429">
        <w:rPr>
          <w:lang w:val="en-GB"/>
        </w:rPr>
        <w:t>6.3 Implications</w:t>
      </w:r>
      <w:bookmarkEnd w:id="34"/>
      <w:bookmarkEnd w:id="35"/>
    </w:p>
    <w:p w14:paraId="1021F932" w14:textId="0D600FC7" w:rsidR="00FB35BA" w:rsidRDefault="00FE149E" w:rsidP="00FE149E">
      <w:pPr>
        <w:spacing w:line="360" w:lineRule="auto"/>
        <w:ind w:firstLine="708"/>
        <w:rPr>
          <w:lang w:val="en-GB"/>
        </w:rPr>
      </w:pPr>
      <w:bookmarkStart w:id="36" w:name="_Toc234609762"/>
      <w:r w:rsidRPr="00FE149E">
        <w:rPr>
          <w:lang w:val="en-GB"/>
        </w:rPr>
        <w:t xml:space="preserve">These findings carry direct implications for public health policy and governance. The concentration of early vaccine access in high-income countries, combined with systematic under-reporting from lower-income ones, points to a need for both more equitable distribution frameworks </w:t>
      </w:r>
      <w:r w:rsidRPr="00FE149E">
        <w:rPr>
          <w:lang w:val="en-GB"/>
        </w:rPr>
        <w:lastRenderedPageBreak/>
        <w:t>and stronger investment in health-data infrastructure. The forecast-reliability finding adds a specific implication: agencies using short-term forecasting for vaccine allocation or logistics should expect and plan for wider relative uncertainty in exactly the countries that need planning support most, rather than treating that imprecision as a neutral gap.</w:t>
      </w:r>
    </w:p>
    <w:p w14:paraId="469253E4" w14:textId="278A633F" w:rsidR="00FB35BA" w:rsidRPr="009B4C19" w:rsidRDefault="00FB35BA" w:rsidP="006E7992">
      <w:pPr>
        <w:pStyle w:val="Nadpis1"/>
        <w:pBdr>
          <w:bottom w:val="single" w:sz="8" w:space="4" w:color="FF8E00"/>
        </w:pBdr>
        <w:rPr>
          <w:lang w:val="en-GB"/>
        </w:rPr>
      </w:pPr>
      <w:r>
        <w:rPr>
          <w:lang w:val="en-GB"/>
        </w:rPr>
        <w:br w:type="column"/>
      </w:r>
      <w:bookmarkStart w:id="37" w:name="_Toc234693110"/>
      <w:r w:rsidRPr="009B4C19">
        <w:rPr>
          <w:lang w:val="en-GB"/>
        </w:rPr>
        <w:lastRenderedPageBreak/>
        <w:t>7. Product Proposal</w:t>
      </w:r>
      <w:bookmarkEnd w:id="37"/>
    </w:p>
    <w:p w14:paraId="76A92991" w14:textId="77777777" w:rsidR="00FB35BA" w:rsidRPr="009B4C19" w:rsidRDefault="00FB35BA" w:rsidP="00791651">
      <w:pPr>
        <w:pStyle w:val="Nadpis2"/>
        <w:rPr>
          <w:lang w:val="en-GB"/>
        </w:rPr>
      </w:pPr>
      <w:bookmarkStart w:id="38" w:name="_Toc234693111"/>
      <w:r w:rsidRPr="009B4C19">
        <w:rPr>
          <w:lang w:val="en-GB"/>
        </w:rPr>
        <w:t>7.1 Market Opportunity</w:t>
      </w:r>
      <w:bookmarkEnd w:id="38"/>
    </w:p>
    <w:p w14:paraId="52AC946A" w14:textId="34680649" w:rsidR="00FB35BA" w:rsidRPr="009B4C19" w:rsidRDefault="00FB35BA" w:rsidP="00546483">
      <w:pPr>
        <w:spacing w:line="360" w:lineRule="auto"/>
        <w:ind w:firstLine="708"/>
        <w:rPr>
          <w:lang w:val="en-GB"/>
        </w:rPr>
      </w:pPr>
      <w:r w:rsidRPr="009B4C19">
        <w:rPr>
          <w:lang w:val="en-GB"/>
        </w:rPr>
        <w:t>The findings above describe a monitoring failure as much as a vaccination failure. Most of the world never reached the 50% threshold; speed and coverage are distinct problems; 36 countries are effectively invisible in the data; and forecasts are least reliable precisely where planning support is scarcest. The institutions that allocate vaccine funding</w:t>
      </w:r>
      <w:r w:rsidR="002C7481">
        <w:rPr>
          <w:lang w:val="en-GB"/>
        </w:rPr>
        <w:t>:</w:t>
      </w:r>
      <w:r w:rsidRPr="009B4C19">
        <w:rPr>
          <w:lang w:val="en-GB"/>
        </w:rPr>
        <w:t xml:space="preserve"> the WHO, GAVI, UNICEF, the World Bank, and large non-governmental organisations must decide against exactly this picture, and no single instrument presents it to them. This is an unmet need the present analysis is positioned to address.</w:t>
      </w:r>
    </w:p>
    <w:p w14:paraId="41C68059" w14:textId="77777777" w:rsidR="00FB35BA" w:rsidRPr="009B4C19" w:rsidRDefault="00FB35BA" w:rsidP="00791651">
      <w:pPr>
        <w:pStyle w:val="Nadpis2"/>
        <w:rPr>
          <w:lang w:val="en-GB"/>
        </w:rPr>
      </w:pPr>
      <w:bookmarkStart w:id="39" w:name="_Toc234693112"/>
      <w:r w:rsidRPr="009B4C19">
        <w:rPr>
          <w:lang w:val="en-GB"/>
        </w:rPr>
        <w:t>7.2 Product Concept</w:t>
      </w:r>
      <w:bookmarkEnd w:id="39"/>
    </w:p>
    <w:p w14:paraId="76AD39F9" w14:textId="7360C3ED" w:rsidR="00FB35BA" w:rsidRDefault="002C7481" w:rsidP="009D3B9C">
      <w:pPr>
        <w:spacing w:line="360" w:lineRule="auto"/>
        <w:ind w:firstLine="708"/>
        <w:rPr>
          <w:lang w:val="en-GB"/>
        </w:rPr>
      </w:pPr>
      <w:r>
        <w:rPr>
          <w:lang w:val="en-GB"/>
        </w:rPr>
        <w:t xml:space="preserve">Our product </w:t>
      </w:r>
      <w:r w:rsidR="00FB35BA" w:rsidRPr="009B4C19">
        <w:rPr>
          <w:lang w:val="en-GB"/>
        </w:rPr>
        <w:t>is proposed as a health-equity monitoring service: a dashboard and alerting layer tracking, in near-real time, which countries are falling behind, how quickly they are progressing, and how far their reported data can be relied upon. It would ingest the daily Our World in Data feed and return a ranked, confidence-weighted view of where additional funding would avert the most harm. Each module derives directly from a finding in this report</w:t>
      </w:r>
      <w:r w:rsidR="0026607B">
        <w:rPr>
          <w:lang w:val="en-GB"/>
        </w:rPr>
        <w:t>:</w:t>
      </w:r>
    </w:p>
    <w:p w14:paraId="5F85412C" w14:textId="77777777" w:rsidR="0026607B" w:rsidRDefault="0026607B" w:rsidP="009D3B9C">
      <w:pPr>
        <w:spacing w:line="360" w:lineRule="auto"/>
        <w:ind w:firstLine="708"/>
        <w:rPr>
          <w:lang w:val="en-GB"/>
        </w:rPr>
      </w:pPr>
    </w:p>
    <w:p w14:paraId="6FB5CA53" w14:textId="77777777" w:rsidR="0026607B" w:rsidRDefault="0026607B" w:rsidP="0026607B">
      <w:pPr>
        <w:pStyle w:val="Odstavecseseznamem"/>
        <w:numPr>
          <w:ilvl w:val="0"/>
          <w:numId w:val="14"/>
        </w:numPr>
        <w:spacing w:line="360" w:lineRule="auto"/>
        <w:ind w:left="426" w:firstLine="0"/>
        <w:rPr>
          <w:lang w:val="en-GB"/>
        </w:rPr>
      </w:pPr>
      <w:r w:rsidRPr="0026607B">
        <w:rPr>
          <w:lang w:val="en-GB"/>
        </w:rPr>
        <w:t xml:space="preserve">71.8% of countries never reached 50%; coverage spans an 11,640-fold range (5.1) </w:t>
      </w:r>
    </w:p>
    <w:p w14:paraId="667AB14F" w14:textId="11EC2E4B" w:rsidR="0026607B" w:rsidRPr="0026607B" w:rsidRDefault="0026607B" w:rsidP="0026607B">
      <w:pPr>
        <w:pStyle w:val="Odstavecseseznamem"/>
        <w:numPr>
          <w:ilvl w:val="1"/>
          <w:numId w:val="14"/>
        </w:numPr>
        <w:spacing w:line="360" w:lineRule="auto"/>
        <w:ind w:left="1134"/>
        <w:rPr>
          <w:lang w:val="en-GB"/>
        </w:rPr>
      </w:pPr>
      <w:r w:rsidRPr="00472CD0">
        <w:rPr>
          <w:b/>
          <w:bCs/>
          <w:lang w:val="en-GB"/>
        </w:rPr>
        <w:t>Coverage tracker:</w:t>
      </w:r>
      <w:r w:rsidRPr="0026607B">
        <w:rPr>
          <w:lang w:val="en-GB"/>
        </w:rPr>
        <w:t xml:space="preserve"> the addressable population is most countries, not a narrow segment.</w:t>
      </w:r>
    </w:p>
    <w:p w14:paraId="43490875" w14:textId="77777777" w:rsidR="0026607B" w:rsidRDefault="0026607B" w:rsidP="0026607B">
      <w:pPr>
        <w:pStyle w:val="Odstavecseseznamem"/>
        <w:numPr>
          <w:ilvl w:val="0"/>
          <w:numId w:val="14"/>
        </w:numPr>
        <w:spacing w:line="360" w:lineRule="auto"/>
        <w:ind w:left="426" w:firstLine="0"/>
        <w:rPr>
          <w:lang w:val="en-GB"/>
        </w:rPr>
      </w:pPr>
      <w:r w:rsidRPr="0026607B">
        <w:rPr>
          <w:lang w:val="en-GB"/>
        </w:rPr>
        <w:t xml:space="preserve">Time-to-threshold ranged 0–235 days, independent of coverage level (5.2) </w:t>
      </w:r>
    </w:p>
    <w:p w14:paraId="0BF1228E" w14:textId="2F866FDD" w:rsidR="0026607B" w:rsidRPr="0026607B" w:rsidRDefault="0026607B" w:rsidP="0026607B">
      <w:pPr>
        <w:pStyle w:val="Odstavecseseznamem"/>
        <w:numPr>
          <w:ilvl w:val="1"/>
          <w:numId w:val="14"/>
        </w:numPr>
        <w:spacing w:line="360" w:lineRule="auto"/>
        <w:ind w:left="1134"/>
        <w:rPr>
          <w:lang w:val="en-GB"/>
        </w:rPr>
      </w:pPr>
      <w:r w:rsidRPr="00472CD0">
        <w:rPr>
          <w:b/>
          <w:bCs/>
          <w:lang w:val="en-GB"/>
        </w:rPr>
        <w:t>Rollout-speed indicator:</w:t>
      </w:r>
      <w:r w:rsidRPr="0026607B">
        <w:rPr>
          <w:lang w:val="en-GB"/>
        </w:rPr>
        <w:t xml:space="preserve"> speed is a leading signal, coverage a lagging one a stalling campaign shows up months before coverage reflects it.</w:t>
      </w:r>
    </w:p>
    <w:p w14:paraId="0BD72A3A" w14:textId="77777777" w:rsidR="0026607B" w:rsidRDefault="0026607B" w:rsidP="0026607B">
      <w:pPr>
        <w:pStyle w:val="Odstavecseseznamem"/>
        <w:numPr>
          <w:ilvl w:val="0"/>
          <w:numId w:val="14"/>
        </w:numPr>
        <w:spacing w:line="360" w:lineRule="auto"/>
        <w:ind w:left="426" w:firstLine="0"/>
        <w:rPr>
          <w:lang w:val="en-GB"/>
        </w:rPr>
      </w:pPr>
      <w:r w:rsidRPr="0026607B">
        <w:rPr>
          <w:lang w:val="en-GB"/>
        </w:rPr>
        <w:t xml:space="preserve">36 countries ≥95% missing; Tokelau 100% missing yet ~96% vaccinated (5.3) </w:t>
      </w:r>
    </w:p>
    <w:p w14:paraId="3CC768EB" w14:textId="2D35848C" w:rsidR="0026607B" w:rsidRPr="0026607B" w:rsidRDefault="0026607B" w:rsidP="0026607B">
      <w:pPr>
        <w:pStyle w:val="Odstavecseseznamem"/>
        <w:numPr>
          <w:ilvl w:val="1"/>
          <w:numId w:val="14"/>
        </w:numPr>
        <w:spacing w:line="360" w:lineRule="auto"/>
        <w:ind w:left="1134"/>
        <w:rPr>
          <w:lang w:val="en-GB"/>
        </w:rPr>
      </w:pPr>
      <w:r w:rsidRPr="0026607B">
        <w:rPr>
          <w:lang w:val="en-GB"/>
        </w:rPr>
        <w:t xml:space="preserve"> </w:t>
      </w:r>
      <w:r w:rsidRPr="00472CD0">
        <w:rPr>
          <w:b/>
          <w:bCs/>
          <w:lang w:val="en-GB"/>
        </w:rPr>
        <w:t>Data-gap flagging:</w:t>
      </w:r>
      <w:r w:rsidRPr="0026607B">
        <w:rPr>
          <w:lang w:val="en-GB"/>
        </w:rPr>
        <w:t xml:space="preserve"> missing data gets its own risk state unmonitored, not unvaccinated.</w:t>
      </w:r>
    </w:p>
    <w:p w14:paraId="26B3E38F" w14:textId="77777777" w:rsidR="0026607B" w:rsidRDefault="0026607B" w:rsidP="0026607B">
      <w:pPr>
        <w:pStyle w:val="Odstavecseseznamem"/>
        <w:numPr>
          <w:ilvl w:val="0"/>
          <w:numId w:val="14"/>
        </w:numPr>
        <w:spacing w:line="360" w:lineRule="auto"/>
        <w:ind w:left="426" w:firstLine="0"/>
        <w:rPr>
          <w:lang w:val="en-GB"/>
        </w:rPr>
      </w:pPr>
      <w:r w:rsidRPr="0026607B">
        <w:rPr>
          <w:lang w:val="en-GB"/>
        </w:rPr>
        <w:t xml:space="preserve">Daily throughput correlates only weakly with cumulative coverage (5.6) </w:t>
      </w:r>
    </w:p>
    <w:p w14:paraId="4910D636" w14:textId="2647AC90" w:rsidR="0026607B" w:rsidRPr="0026607B" w:rsidRDefault="0026607B" w:rsidP="0026607B">
      <w:pPr>
        <w:pStyle w:val="Odstavecseseznamem"/>
        <w:numPr>
          <w:ilvl w:val="1"/>
          <w:numId w:val="14"/>
        </w:numPr>
        <w:spacing w:line="360" w:lineRule="auto"/>
        <w:ind w:left="1276" w:hanging="425"/>
        <w:rPr>
          <w:lang w:val="en-GB"/>
        </w:rPr>
      </w:pPr>
      <w:r w:rsidRPr="00472CD0">
        <w:rPr>
          <w:b/>
          <w:bCs/>
          <w:lang w:val="en-GB"/>
        </w:rPr>
        <w:t>Ranking logic:</w:t>
      </w:r>
      <w:r w:rsidRPr="0026607B">
        <w:rPr>
          <w:lang w:val="en-GB"/>
        </w:rPr>
        <w:t xml:space="preserve"> rankings use cumulative position and trajectory, not the latest daily figure.</w:t>
      </w:r>
    </w:p>
    <w:p w14:paraId="6DE365CE" w14:textId="77777777" w:rsidR="0026607B" w:rsidRDefault="0026607B" w:rsidP="0026607B">
      <w:pPr>
        <w:pStyle w:val="Odstavecseseznamem"/>
        <w:numPr>
          <w:ilvl w:val="0"/>
          <w:numId w:val="14"/>
        </w:numPr>
        <w:spacing w:line="360" w:lineRule="auto"/>
        <w:ind w:left="426" w:firstLine="0"/>
        <w:rPr>
          <w:lang w:val="en-GB"/>
        </w:rPr>
      </w:pPr>
      <w:r w:rsidRPr="0026607B">
        <w:rPr>
          <w:lang w:val="en-GB"/>
        </w:rPr>
        <w:t xml:space="preserve">PCA/k-means yield three interpretable country profiles (5.7) </w:t>
      </w:r>
    </w:p>
    <w:p w14:paraId="25F6C377" w14:textId="0B4EECE9" w:rsidR="0026607B" w:rsidRPr="0026607B" w:rsidRDefault="0026607B" w:rsidP="0026607B">
      <w:pPr>
        <w:pStyle w:val="Odstavecseseznamem"/>
        <w:numPr>
          <w:ilvl w:val="1"/>
          <w:numId w:val="14"/>
        </w:numPr>
        <w:spacing w:line="360" w:lineRule="auto"/>
        <w:ind w:left="1134"/>
        <w:rPr>
          <w:lang w:val="en-GB"/>
        </w:rPr>
      </w:pPr>
      <w:r w:rsidRPr="00472CD0">
        <w:rPr>
          <w:b/>
          <w:bCs/>
          <w:lang w:val="en-GB"/>
        </w:rPr>
        <w:t>Triage segmentation:</w:t>
      </w:r>
      <w:r w:rsidRPr="0026607B">
        <w:rPr>
          <w:lang w:val="en-GB"/>
        </w:rPr>
        <w:t xml:space="preserve"> a prioritised shortlist instead of an undifferentiated 200-country table.</w:t>
      </w:r>
    </w:p>
    <w:p w14:paraId="7651DF0C" w14:textId="77777777" w:rsidR="0026607B" w:rsidRDefault="0026607B" w:rsidP="0026607B">
      <w:pPr>
        <w:pStyle w:val="Odstavecseseznamem"/>
        <w:numPr>
          <w:ilvl w:val="0"/>
          <w:numId w:val="14"/>
        </w:numPr>
        <w:spacing w:line="360" w:lineRule="auto"/>
        <w:ind w:left="426" w:firstLine="0"/>
        <w:rPr>
          <w:lang w:val="en-GB"/>
        </w:rPr>
      </w:pPr>
      <w:r w:rsidRPr="0026607B">
        <w:rPr>
          <w:lang w:val="en-GB"/>
        </w:rPr>
        <w:t xml:space="preserve">Relative forecast uncertainty is 2.4× higher in Bangladesh than Spain (5.8) </w:t>
      </w:r>
    </w:p>
    <w:p w14:paraId="155FDE03" w14:textId="2DDF9B34" w:rsidR="0026607B" w:rsidRPr="0026607B" w:rsidRDefault="0026607B" w:rsidP="0026607B">
      <w:pPr>
        <w:pStyle w:val="Odstavecseseznamem"/>
        <w:numPr>
          <w:ilvl w:val="1"/>
          <w:numId w:val="14"/>
        </w:numPr>
        <w:spacing w:line="360" w:lineRule="auto"/>
        <w:ind w:left="1134"/>
        <w:rPr>
          <w:lang w:val="en-GB"/>
        </w:rPr>
      </w:pPr>
      <w:r w:rsidRPr="00472CD0">
        <w:rPr>
          <w:b/>
          <w:bCs/>
          <w:lang w:val="en-GB"/>
        </w:rPr>
        <w:t>Confidence-aware forecasting:</w:t>
      </w:r>
      <w:r w:rsidRPr="0026607B">
        <w:rPr>
          <w:lang w:val="en-GB"/>
        </w:rPr>
        <w:t xml:space="preserve"> every projection ships with its own reliability score.</w:t>
      </w:r>
    </w:p>
    <w:p w14:paraId="0AE51A72" w14:textId="77777777" w:rsidR="00791651" w:rsidRPr="009B4C19" w:rsidRDefault="00791651" w:rsidP="00791651">
      <w:pPr>
        <w:pStyle w:val="Nadpis2"/>
        <w:rPr>
          <w:lang w:val="en-GB"/>
        </w:rPr>
      </w:pPr>
      <w:bookmarkStart w:id="40" w:name="_Toc234693113"/>
      <w:r w:rsidRPr="009B4C19">
        <w:rPr>
          <w:lang w:val="en-GB"/>
        </w:rPr>
        <w:lastRenderedPageBreak/>
        <w:t>7.3 Feasibility and Recommendation</w:t>
      </w:r>
      <w:bookmarkEnd w:id="40"/>
    </w:p>
    <w:p w14:paraId="12344CCD" w14:textId="68F911ED" w:rsidR="00791651" w:rsidRPr="009B4C19" w:rsidRDefault="00791651" w:rsidP="00546483">
      <w:pPr>
        <w:spacing w:line="360" w:lineRule="auto"/>
        <w:ind w:firstLine="708"/>
        <w:rPr>
          <w:lang w:val="en-GB"/>
        </w:rPr>
      </w:pPr>
      <w:r w:rsidRPr="009B4C19">
        <w:rPr>
          <w:lang w:val="en-GB"/>
        </w:rPr>
        <w:t xml:space="preserve">The underlying data are public and freely available, so acquisition costs are negligible. The commercial value lies in the analytical layer segmentation, data-reliability scoring, and uncertainty quantification for which this report serves as a working prototype. The </w:t>
      </w:r>
      <w:r w:rsidR="006E7992">
        <w:rPr>
          <w:lang w:val="en-GB"/>
        </w:rPr>
        <w:t>team</w:t>
      </w:r>
      <w:r w:rsidRPr="009B4C19">
        <w:rPr>
          <w:lang w:val="en-GB"/>
        </w:rPr>
        <w:t>'s competence in statistical modelling is the principal barrier to entry: the confidence-aware forecasting component cannot be reconstructed from the raw feed alone.</w:t>
      </w:r>
    </w:p>
    <w:p w14:paraId="7B730F96" w14:textId="77777777" w:rsidR="00791651" w:rsidRPr="009B4C19" w:rsidRDefault="00791651" w:rsidP="009D3B9C">
      <w:pPr>
        <w:spacing w:line="360" w:lineRule="auto"/>
        <w:ind w:firstLine="708"/>
        <w:rPr>
          <w:lang w:val="en-GB"/>
        </w:rPr>
      </w:pPr>
      <w:r w:rsidRPr="009B4C19">
        <w:rPr>
          <w:lang w:val="en-GB"/>
        </w:rPr>
        <w:t>Two limitations must be stated plainly. The prototype relies on a static 2021 snapshot, and the ARIMA specification requires the structural correction described in Section 6.2 before any forecast could be released to a client. Neither argues against proceeding; both argue for a limited pilot rather than immediate development at scale.</w:t>
      </w:r>
    </w:p>
    <w:p w14:paraId="66E465AE" w14:textId="0829F9C3" w:rsidR="00791651" w:rsidRPr="009B4C19" w:rsidRDefault="00791651" w:rsidP="009D3B9C">
      <w:pPr>
        <w:spacing w:line="360" w:lineRule="auto"/>
        <w:ind w:firstLine="708"/>
        <w:rPr>
          <w:lang w:val="en-GB"/>
        </w:rPr>
      </w:pPr>
      <w:r w:rsidRPr="009B4C19">
        <w:rPr>
          <w:lang w:val="en-GB"/>
        </w:rPr>
        <w:t>It is therefore recommended that leadership approve a three-month pilot developing the coverage, speed, and data-reliability modules, validated against the 2021 period analysed here, with the objective of securing two design-partner institutions before committing to full-scale development.</w:t>
      </w:r>
    </w:p>
    <w:p w14:paraId="1705F946" w14:textId="291E6328" w:rsidR="00CB6EB5" w:rsidRPr="0056195C" w:rsidRDefault="001A6DA2" w:rsidP="006E7992">
      <w:pPr>
        <w:pStyle w:val="Nadpis1"/>
        <w:pBdr>
          <w:bottom w:val="single" w:sz="8" w:space="4" w:color="FF8E00"/>
        </w:pBdr>
        <w:rPr>
          <w:lang w:val="en-GB"/>
        </w:rPr>
      </w:pPr>
      <w:r w:rsidRPr="005C5429">
        <w:rPr>
          <w:lang w:val="en-GB"/>
        </w:rPr>
        <w:br w:type="column"/>
      </w:r>
      <w:bookmarkStart w:id="41" w:name="_Toc234693114"/>
      <w:r w:rsidR="006E7992" w:rsidRPr="006E7992">
        <w:rPr>
          <w:lang w:val="en-GB"/>
        </w:rPr>
        <w:lastRenderedPageBreak/>
        <w:t>8</w:t>
      </w:r>
      <w:r w:rsidR="00CB6EB5" w:rsidRPr="006E7992">
        <w:rPr>
          <w:lang w:val="en-GB"/>
        </w:rPr>
        <w:t>. Conclusions</w:t>
      </w:r>
      <w:bookmarkEnd w:id="36"/>
      <w:bookmarkEnd w:id="41"/>
    </w:p>
    <w:p w14:paraId="7B1F2472" w14:textId="083B6954" w:rsidR="008D70EF" w:rsidRPr="008D70EF" w:rsidRDefault="008D70EF" w:rsidP="008D70EF">
      <w:pPr>
        <w:spacing w:line="360" w:lineRule="auto"/>
        <w:ind w:firstLine="708"/>
        <w:rPr>
          <w:lang w:val="en-GB"/>
        </w:rPr>
      </w:pPr>
      <w:r w:rsidRPr="008D70EF">
        <w:rPr>
          <w:lang w:val="en-GB"/>
        </w:rPr>
        <w:t>COVID-19 vaccination trends differed substantially across countries between December 2020 and August 2021. High-income countries reached higher coverage earlier and more consistently; only 28.2% of countries reached the 50% threshold at all, and among those, time-to-threshold ranged from 0 to 235 days. Missing-data patterns, the PCA/clustering structure, and the ARIMA uncertainty comparison all point the same way: inequality in this period was structural, extending beyond vaccination outcomes into the reporting infrastructure and predictive tools used to monitor them. Worth restating plainly: this last claim holds only once forecast uncertainty is scaled to each country's own coverage level the naive, unscaled comparison pointed the other way, and reporting that inversion honestly is part of the conclusion, not a complication to hide.</w:t>
      </w:r>
    </w:p>
    <w:p w14:paraId="64573614" w14:textId="58B8F911" w:rsidR="002A7A99" w:rsidRPr="005C5429" w:rsidRDefault="008D70EF" w:rsidP="008D70EF">
      <w:pPr>
        <w:spacing w:line="360" w:lineRule="auto"/>
        <w:ind w:firstLine="708"/>
        <w:rPr>
          <w:lang w:val="en-GB"/>
        </w:rPr>
      </w:pPr>
      <w:r w:rsidRPr="008D70EF">
        <w:rPr>
          <w:lang w:val="en-GB"/>
        </w:rPr>
        <w:t xml:space="preserve">Future work could extend this analysis through 2022–2023 to capture later rollout phases, once comparably clean data exist. Adding covariates </w:t>
      </w:r>
      <w:r>
        <w:rPr>
          <w:lang w:val="en-GB"/>
        </w:rPr>
        <w:t>such as</w:t>
      </w:r>
      <w:r w:rsidRPr="008D70EF">
        <w:rPr>
          <w:lang w:val="en-GB"/>
        </w:rPr>
        <w:t xml:space="preserve"> GDP per capita, healthcare expenditure, COVAX participation </w:t>
      </w:r>
      <w:r>
        <w:rPr>
          <w:lang w:val="en-GB"/>
        </w:rPr>
        <w:t>which</w:t>
      </w:r>
      <w:r w:rsidRPr="008D70EF">
        <w:rPr>
          <w:lang w:val="en-GB"/>
        </w:rPr>
        <w:t xml:space="preserve"> would allow a more granular look at what drives vaccine access</w:t>
      </w:r>
      <w:r w:rsidR="00F06985">
        <w:rPr>
          <w:lang w:val="en-GB"/>
        </w:rPr>
        <w:t>.</w:t>
      </w:r>
    </w:p>
    <w:p w14:paraId="192795C4" w14:textId="77777777" w:rsidR="002A7A99" w:rsidRPr="005C5429" w:rsidRDefault="002A7A99" w:rsidP="002A7A99">
      <w:pPr>
        <w:pStyle w:val="Nadpis1"/>
        <w:pageBreakBefore/>
        <w:spacing w:line="480" w:lineRule="auto"/>
        <w:rPr>
          <w:lang w:val="en-GB"/>
        </w:rPr>
      </w:pPr>
      <w:bookmarkStart w:id="42" w:name="_Toc234609763"/>
      <w:bookmarkStart w:id="43" w:name="_Toc234693115"/>
      <w:r w:rsidRPr="005C5429">
        <w:rPr>
          <w:rFonts w:ascii="Times New Roman" w:eastAsia="Times New Roman" w:hAnsi="Times New Roman" w:cs="Times New Roman"/>
          <w:b/>
          <w:bCs/>
          <w:sz w:val="28"/>
          <w:szCs w:val="28"/>
          <w:lang w:val="en-GB"/>
        </w:rPr>
        <w:lastRenderedPageBreak/>
        <w:t>Literature</w:t>
      </w:r>
      <w:bookmarkEnd w:id="42"/>
      <w:bookmarkEnd w:id="43"/>
    </w:p>
    <w:p w14:paraId="1EA9406B" w14:textId="77777777" w:rsidR="002A7A99" w:rsidRPr="005C5429" w:rsidRDefault="002A7A99" w:rsidP="0086520A">
      <w:pPr>
        <w:spacing w:after="200"/>
        <w:ind w:left="720" w:hanging="720"/>
        <w:rPr>
          <w:lang w:val="en-GB"/>
        </w:rPr>
      </w:pPr>
      <w:r w:rsidRPr="005C5429">
        <w:rPr>
          <w:rFonts w:ascii="Times New Roman" w:eastAsia="Times New Roman" w:hAnsi="Times New Roman" w:cs="Times New Roman"/>
          <w:sz w:val="24"/>
          <w:szCs w:val="24"/>
          <w:lang w:val="en-GB"/>
        </w:rPr>
        <w:t xml:space="preserve">Acharya, A., &amp; Porwal, A. (2020). A vulnerability index for the management of and response to the COVID-19 epidemic in India: An ecological study. </w:t>
      </w:r>
      <w:r w:rsidRPr="005C5429">
        <w:rPr>
          <w:rFonts w:ascii="Times New Roman" w:eastAsia="Times New Roman" w:hAnsi="Times New Roman" w:cs="Times New Roman"/>
          <w:i/>
          <w:iCs/>
          <w:sz w:val="24"/>
          <w:szCs w:val="24"/>
          <w:lang w:val="en-GB"/>
        </w:rPr>
        <w:t>The Lancet Global Health</w:t>
      </w:r>
      <w:r w:rsidRPr="005C5429">
        <w:rPr>
          <w:rFonts w:ascii="Times New Roman" w:eastAsia="Times New Roman" w:hAnsi="Times New Roman" w:cs="Times New Roman"/>
          <w:sz w:val="24"/>
          <w:szCs w:val="24"/>
          <w:lang w:val="en-GB"/>
        </w:rPr>
        <w:t xml:space="preserve">, </w:t>
      </w:r>
      <w:r w:rsidRPr="005C5429">
        <w:rPr>
          <w:rFonts w:ascii="Times New Roman" w:eastAsia="Times New Roman" w:hAnsi="Times New Roman" w:cs="Times New Roman"/>
          <w:i/>
          <w:iCs/>
          <w:sz w:val="24"/>
          <w:szCs w:val="24"/>
          <w:lang w:val="en-GB"/>
        </w:rPr>
        <w:t>8</w:t>
      </w:r>
      <w:r w:rsidRPr="005C5429">
        <w:rPr>
          <w:rFonts w:ascii="Times New Roman" w:eastAsia="Times New Roman" w:hAnsi="Times New Roman" w:cs="Times New Roman"/>
          <w:sz w:val="24"/>
          <w:szCs w:val="24"/>
          <w:lang w:val="en-GB"/>
        </w:rPr>
        <w:t>(9), e1142–e1151. https://doi.org/10.1016/S2214-109X(20)30300-4</w:t>
      </w:r>
    </w:p>
    <w:p w14:paraId="5E1915E5" w14:textId="77777777" w:rsidR="002A7A99" w:rsidRPr="005C5429" w:rsidRDefault="002A7A99" w:rsidP="0086520A">
      <w:pPr>
        <w:spacing w:after="200"/>
        <w:ind w:left="720" w:hanging="720"/>
        <w:rPr>
          <w:lang w:val="en-GB"/>
        </w:rPr>
      </w:pPr>
      <w:r w:rsidRPr="005C5429">
        <w:rPr>
          <w:rFonts w:ascii="Times New Roman" w:eastAsia="Times New Roman" w:hAnsi="Times New Roman" w:cs="Times New Roman"/>
          <w:sz w:val="24"/>
          <w:szCs w:val="24"/>
          <w:lang w:val="en-GB"/>
        </w:rPr>
        <w:t xml:space="preserve">Dickey, D. A., &amp; Fuller, W. A. (1979). Distribution of the estimators for autoregressive time series with a unit root. </w:t>
      </w:r>
      <w:r w:rsidRPr="005C5429">
        <w:rPr>
          <w:rFonts w:ascii="Times New Roman" w:eastAsia="Times New Roman" w:hAnsi="Times New Roman" w:cs="Times New Roman"/>
          <w:i/>
          <w:iCs/>
          <w:sz w:val="24"/>
          <w:szCs w:val="24"/>
          <w:lang w:val="en-GB"/>
        </w:rPr>
        <w:t>Journal of the American Statistical Association</w:t>
      </w:r>
      <w:r w:rsidRPr="005C5429">
        <w:rPr>
          <w:rFonts w:ascii="Times New Roman" w:eastAsia="Times New Roman" w:hAnsi="Times New Roman" w:cs="Times New Roman"/>
          <w:sz w:val="24"/>
          <w:szCs w:val="24"/>
          <w:lang w:val="en-GB"/>
        </w:rPr>
        <w:t xml:space="preserve">, </w:t>
      </w:r>
      <w:r w:rsidRPr="005C5429">
        <w:rPr>
          <w:rFonts w:ascii="Times New Roman" w:eastAsia="Times New Roman" w:hAnsi="Times New Roman" w:cs="Times New Roman"/>
          <w:i/>
          <w:iCs/>
          <w:sz w:val="24"/>
          <w:szCs w:val="24"/>
          <w:lang w:val="en-GB"/>
        </w:rPr>
        <w:t>74</w:t>
      </w:r>
      <w:r w:rsidRPr="005C5429">
        <w:rPr>
          <w:rFonts w:ascii="Times New Roman" w:eastAsia="Times New Roman" w:hAnsi="Times New Roman" w:cs="Times New Roman"/>
          <w:sz w:val="24"/>
          <w:szCs w:val="24"/>
          <w:lang w:val="en-GB"/>
        </w:rPr>
        <w:t>(366a), 427–431. https://doi.org/10.1080/01621459.1979.10482531</w:t>
      </w:r>
    </w:p>
    <w:p w14:paraId="0369E7E8" w14:textId="77777777" w:rsidR="002A7A99" w:rsidRPr="005C5429" w:rsidRDefault="002A7A99" w:rsidP="0086520A">
      <w:pPr>
        <w:spacing w:after="200"/>
        <w:ind w:left="720" w:hanging="720"/>
        <w:rPr>
          <w:lang w:val="en-GB"/>
        </w:rPr>
      </w:pPr>
      <w:r w:rsidRPr="005C5429">
        <w:rPr>
          <w:rFonts w:ascii="Times New Roman" w:eastAsia="Times New Roman" w:hAnsi="Times New Roman" w:cs="Times New Roman"/>
          <w:sz w:val="24"/>
          <w:szCs w:val="24"/>
          <w:lang w:val="en-GB"/>
        </w:rPr>
        <w:t xml:space="preserve">Eccleston-Turner, M., &amp; Upton, H. (2021). International collaboration to ensure equitable access to vaccines for COVID-19: The ACT-Accelerator and the COVAX Facility. </w:t>
      </w:r>
      <w:r w:rsidRPr="005C5429">
        <w:rPr>
          <w:rFonts w:ascii="Times New Roman" w:eastAsia="Times New Roman" w:hAnsi="Times New Roman" w:cs="Times New Roman"/>
          <w:i/>
          <w:iCs/>
          <w:sz w:val="24"/>
          <w:szCs w:val="24"/>
          <w:lang w:val="en-GB"/>
        </w:rPr>
        <w:t>The Milbank Quarterly</w:t>
      </w:r>
      <w:r w:rsidRPr="005C5429">
        <w:rPr>
          <w:rFonts w:ascii="Times New Roman" w:eastAsia="Times New Roman" w:hAnsi="Times New Roman" w:cs="Times New Roman"/>
          <w:sz w:val="24"/>
          <w:szCs w:val="24"/>
          <w:lang w:val="en-GB"/>
        </w:rPr>
        <w:t xml:space="preserve">, </w:t>
      </w:r>
      <w:r w:rsidRPr="005C5429">
        <w:rPr>
          <w:rFonts w:ascii="Times New Roman" w:eastAsia="Times New Roman" w:hAnsi="Times New Roman" w:cs="Times New Roman"/>
          <w:i/>
          <w:iCs/>
          <w:sz w:val="24"/>
          <w:szCs w:val="24"/>
          <w:lang w:val="en-GB"/>
        </w:rPr>
        <w:t>99</w:t>
      </w:r>
      <w:r w:rsidRPr="005C5429">
        <w:rPr>
          <w:rFonts w:ascii="Times New Roman" w:eastAsia="Times New Roman" w:hAnsi="Times New Roman" w:cs="Times New Roman"/>
          <w:sz w:val="24"/>
          <w:szCs w:val="24"/>
          <w:lang w:val="en-GB"/>
        </w:rPr>
        <w:t>(2), 426–449. https://doi.org/10.1111/1468-0009.12503</w:t>
      </w:r>
    </w:p>
    <w:p w14:paraId="10F27079" w14:textId="77777777" w:rsidR="002A7A99" w:rsidRPr="005C5429" w:rsidRDefault="002A7A99" w:rsidP="0086520A">
      <w:pPr>
        <w:spacing w:after="200"/>
        <w:ind w:left="720" w:hanging="720"/>
        <w:rPr>
          <w:lang w:val="en-GB"/>
        </w:rPr>
      </w:pPr>
      <w:r w:rsidRPr="005C5429">
        <w:rPr>
          <w:rFonts w:ascii="Times New Roman" w:eastAsia="Times New Roman" w:hAnsi="Times New Roman" w:cs="Times New Roman"/>
          <w:sz w:val="24"/>
          <w:szCs w:val="24"/>
          <w:lang w:val="en-GB"/>
        </w:rPr>
        <w:t xml:space="preserve">Hyndman, R. J., &amp; Athanasopoulos, G. (2021). </w:t>
      </w:r>
      <w:r w:rsidRPr="005C5429">
        <w:rPr>
          <w:rFonts w:ascii="Times New Roman" w:eastAsia="Times New Roman" w:hAnsi="Times New Roman" w:cs="Times New Roman"/>
          <w:i/>
          <w:iCs/>
          <w:sz w:val="24"/>
          <w:szCs w:val="24"/>
          <w:lang w:val="en-GB"/>
        </w:rPr>
        <w:t>Forecasting: Principles and practice</w:t>
      </w:r>
      <w:r w:rsidRPr="005C5429">
        <w:rPr>
          <w:rFonts w:ascii="Times New Roman" w:eastAsia="Times New Roman" w:hAnsi="Times New Roman" w:cs="Times New Roman"/>
          <w:sz w:val="24"/>
          <w:szCs w:val="24"/>
          <w:lang w:val="en-GB"/>
        </w:rPr>
        <w:t xml:space="preserve"> (3rd ed.). </w:t>
      </w:r>
      <w:proofErr w:type="spellStart"/>
      <w:r w:rsidRPr="005C5429">
        <w:rPr>
          <w:rFonts w:ascii="Times New Roman" w:eastAsia="Times New Roman" w:hAnsi="Times New Roman" w:cs="Times New Roman"/>
          <w:sz w:val="24"/>
          <w:szCs w:val="24"/>
          <w:lang w:val="en-GB"/>
        </w:rPr>
        <w:t>OTexts</w:t>
      </w:r>
      <w:proofErr w:type="spellEnd"/>
      <w:r w:rsidRPr="005C5429">
        <w:rPr>
          <w:rFonts w:ascii="Times New Roman" w:eastAsia="Times New Roman" w:hAnsi="Times New Roman" w:cs="Times New Roman"/>
          <w:sz w:val="24"/>
          <w:szCs w:val="24"/>
          <w:lang w:val="en-GB"/>
        </w:rPr>
        <w:t>. https://otexts.com/fpp3</w:t>
      </w:r>
    </w:p>
    <w:p w14:paraId="3FD1867B" w14:textId="77777777" w:rsidR="002A7A99" w:rsidRPr="005C5429" w:rsidRDefault="002A7A99" w:rsidP="0086520A">
      <w:pPr>
        <w:spacing w:after="200"/>
        <w:ind w:left="720" w:hanging="720"/>
        <w:rPr>
          <w:lang w:val="en-GB"/>
        </w:rPr>
      </w:pPr>
      <w:r w:rsidRPr="005C5429">
        <w:rPr>
          <w:rFonts w:ascii="Times New Roman" w:eastAsia="Times New Roman" w:hAnsi="Times New Roman" w:cs="Times New Roman"/>
          <w:sz w:val="24"/>
          <w:szCs w:val="24"/>
          <w:lang w:val="en-GB"/>
        </w:rPr>
        <w:t xml:space="preserve">Mathieu, E., Ritchie, H., Ortiz-Ospina, E., Roser, M., Hasell, J., Appel, C., Giattino, C., &amp; </w:t>
      </w:r>
      <w:proofErr w:type="spellStart"/>
      <w:r w:rsidRPr="005C5429">
        <w:rPr>
          <w:rFonts w:ascii="Times New Roman" w:eastAsia="Times New Roman" w:hAnsi="Times New Roman" w:cs="Times New Roman"/>
          <w:sz w:val="24"/>
          <w:szCs w:val="24"/>
          <w:lang w:val="en-GB"/>
        </w:rPr>
        <w:t>Rodés</w:t>
      </w:r>
      <w:proofErr w:type="spellEnd"/>
      <w:r w:rsidRPr="005C5429">
        <w:rPr>
          <w:rFonts w:ascii="Times New Roman" w:eastAsia="Times New Roman" w:hAnsi="Times New Roman" w:cs="Times New Roman"/>
          <w:sz w:val="24"/>
          <w:szCs w:val="24"/>
          <w:lang w:val="en-GB"/>
        </w:rPr>
        <w:t xml:space="preserve">-Guirao, L. (2021). A global database of COVID-19 vaccinations. </w:t>
      </w:r>
      <w:r w:rsidRPr="005C5429">
        <w:rPr>
          <w:rFonts w:ascii="Times New Roman" w:eastAsia="Times New Roman" w:hAnsi="Times New Roman" w:cs="Times New Roman"/>
          <w:i/>
          <w:iCs/>
          <w:sz w:val="24"/>
          <w:szCs w:val="24"/>
          <w:lang w:val="en-GB"/>
        </w:rPr>
        <w:t>Nature Human Behaviour</w:t>
      </w:r>
      <w:r w:rsidRPr="005C5429">
        <w:rPr>
          <w:rFonts w:ascii="Times New Roman" w:eastAsia="Times New Roman" w:hAnsi="Times New Roman" w:cs="Times New Roman"/>
          <w:sz w:val="24"/>
          <w:szCs w:val="24"/>
          <w:lang w:val="en-GB"/>
        </w:rPr>
        <w:t xml:space="preserve">, </w:t>
      </w:r>
      <w:r w:rsidRPr="005C5429">
        <w:rPr>
          <w:rFonts w:ascii="Times New Roman" w:eastAsia="Times New Roman" w:hAnsi="Times New Roman" w:cs="Times New Roman"/>
          <w:i/>
          <w:iCs/>
          <w:sz w:val="24"/>
          <w:szCs w:val="24"/>
          <w:lang w:val="en-GB"/>
        </w:rPr>
        <w:t>5</w:t>
      </w:r>
      <w:r w:rsidRPr="005C5429">
        <w:rPr>
          <w:rFonts w:ascii="Times New Roman" w:eastAsia="Times New Roman" w:hAnsi="Times New Roman" w:cs="Times New Roman"/>
          <w:sz w:val="24"/>
          <w:szCs w:val="24"/>
          <w:lang w:val="en-GB"/>
        </w:rPr>
        <w:t>, 947–953. https://doi.org/10.1038/s41562-021-01122-8</w:t>
      </w:r>
    </w:p>
    <w:p w14:paraId="6421032F" w14:textId="77777777" w:rsidR="002A7A99" w:rsidRPr="005C5429" w:rsidRDefault="002A7A99" w:rsidP="0086520A">
      <w:pPr>
        <w:spacing w:after="200"/>
        <w:ind w:left="720" w:hanging="720"/>
        <w:rPr>
          <w:lang w:val="en-GB"/>
        </w:rPr>
      </w:pPr>
      <w:r w:rsidRPr="005C5429">
        <w:rPr>
          <w:rFonts w:ascii="Times New Roman" w:eastAsia="Times New Roman" w:hAnsi="Times New Roman" w:cs="Times New Roman"/>
          <w:sz w:val="24"/>
          <w:szCs w:val="24"/>
          <w:lang w:val="en-GB"/>
        </w:rPr>
        <w:t xml:space="preserve">Mboussou, F., </w:t>
      </w:r>
      <w:proofErr w:type="spellStart"/>
      <w:r w:rsidRPr="005C5429">
        <w:rPr>
          <w:rFonts w:ascii="Times New Roman" w:eastAsia="Times New Roman" w:hAnsi="Times New Roman" w:cs="Times New Roman"/>
          <w:sz w:val="24"/>
          <w:szCs w:val="24"/>
          <w:lang w:val="en-GB"/>
        </w:rPr>
        <w:t>Ndumbi</w:t>
      </w:r>
      <w:proofErr w:type="spellEnd"/>
      <w:r w:rsidRPr="005C5429">
        <w:rPr>
          <w:rFonts w:ascii="Times New Roman" w:eastAsia="Times New Roman" w:hAnsi="Times New Roman" w:cs="Times New Roman"/>
          <w:sz w:val="24"/>
          <w:szCs w:val="24"/>
          <w:lang w:val="en-GB"/>
        </w:rPr>
        <w:t xml:space="preserve">, P., Ngom, R., </w:t>
      </w:r>
      <w:proofErr w:type="spellStart"/>
      <w:r w:rsidRPr="005C5429">
        <w:rPr>
          <w:rFonts w:ascii="Times New Roman" w:eastAsia="Times New Roman" w:hAnsi="Times New Roman" w:cs="Times New Roman"/>
          <w:sz w:val="24"/>
          <w:szCs w:val="24"/>
          <w:lang w:val="en-GB"/>
        </w:rPr>
        <w:t>Hamblion</w:t>
      </w:r>
      <w:proofErr w:type="spellEnd"/>
      <w:r w:rsidRPr="005C5429">
        <w:rPr>
          <w:rFonts w:ascii="Times New Roman" w:eastAsia="Times New Roman" w:hAnsi="Times New Roman" w:cs="Times New Roman"/>
          <w:sz w:val="24"/>
          <w:szCs w:val="24"/>
          <w:lang w:val="en-GB"/>
        </w:rPr>
        <w:t xml:space="preserve">, E., Butt, W., Maruta, A., Ismail, A., Williams, G., &amp; </w:t>
      </w:r>
      <w:proofErr w:type="spellStart"/>
      <w:r w:rsidRPr="005C5429">
        <w:rPr>
          <w:rFonts w:ascii="Times New Roman" w:eastAsia="Times New Roman" w:hAnsi="Times New Roman" w:cs="Times New Roman"/>
          <w:sz w:val="24"/>
          <w:szCs w:val="24"/>
          <w:lang w:val="en-GB"/>
        </w:rPr>
        <w:t>Impouma</w:t>
      </w:r>
      <w:proofErr w:type="spellEnd"/>
      <w:r w:rsidRPr="005C5429">
        <w:rPr>
          <w:rFonts w:ascii="Times New Roman" w:eastAsia="Times New Roman" w:hAnsi="Times New Roman" w:cs="Times New Roman"/>
          <w:sz w:val="24"/>
          <w:szCs w:val="24"/>
          <w:lang w:val="en-GB"/>
        </w:rPr>
        <w:t xml:space="preserve">, B. (2019). Infectious disease outbreaks in the African region: Overview of events reported to the World Health Organization in 2018. </w:t>
      </w:r>
      <w:r w:rsidRPr="005C5429">
        <w:rPr>
          <w:rFonts w:ascii="Times New Roman" w:eastAsia="Times New Roman" w:hAnsi="Times New Roman" w:cs="Times New Roman"/>
          <w:i/>
          <w:iCs/>
          <w:sz w:val="24"/>
          <w:szCs w:val="24"/>
          <w:lang w:val="en-GB"/>
        </w:rPr>
        <w:t>Epidemiology &amp; Infection</w:t>
      </w:r>
      <w:r w:rsidRPr="005C5429">
        <w:rPr>
          <w:rFonts w:ascii="Times New Roman" w:eastAsia="Times New Roman" w:hAnsi="Times New Roman" w:cs="Times New Roman"/>
          <w:sz w:val="24"/>
          <w:szCs w:val="24"/>
          <w:lang w:val="en-GB"/>
        </w:rPr>
        <w:t xml:space="preserve">, </w:t>
      </w:r>
      <w:r w:rsidRPr="005C5429">
        <w:rPr>
          <w:rFonts w:ascii="Times New Roman" w:eastAsia="Times New Roman" w:hAnsi="Times New Roman" w:cs="Times New Roman"/>
          <w:i/>
          <w:iCs/>
          <w:sz w:val="24"/>
          <w:szCs w:val="24"/>
          <w:lang w:val="en-GB"/>
        </w:rPr>
        <w:t>147</w:t>
      </w:r>
      <w:r w:rsidRPr="005C5429">
        <w:rPr>
          <w:rFonts w:ascii="Times New Roman" w:eastAsia="Times New Roman" w:hAnsi="Times New Roman" w:cs="Times New Roman"/>
          <w:sz w:val="24"/>
          <w:szCs w:val="24"/>
          <w:lang w:val="en-GB"/>
        </w:rPr>
        <w:t>, e299. https://doi.org/10.1017/S0950268819001912</w:t>
      </w:r>
    </w:p>
    <w:p w14:paraId="61840E7E" w14:textId="77777777" w:rsidR="002A7A99" w:rsidRPr="005C5429" w:rsidRDefault="002A7A99" w:rsidP="0086520A">
      <w:pPr>
        <w:spacing w:after="200"/>
        <w:ind w:left="720" w:hanging="720"/>
        <w:rPr>
          <w:lang w:val="en-GB"/>
        </w:rPr>
      </w:pPr>
      <w:r w:rsidRPr="005C5429">
        <w:rPr>
          <w:rFonts w:ascii="Times New Roman" w:eastAsia="Times New Roman" w:hAnsi="Times New Roman" w:cs="Times New Roman"/>
          <w:sz w:val="24"/>
          <w:szCs w:val="24"/>
          <w:lang w:val="en-GB"/>
        </w:rPr>
        <w:t xml:space="preserve">Peng, R. D. (2011). Reproducible research in computational science. </w:t>
      </w:r>
      <w:r w:rsidRPr="005C5429">
        <w:rPr>
          <w:rFonts w:ascii="Times New Roman" w:eastAsia="Times New Roman" w:hAnsi="Times New Roman" w:cs="Times New Roman"/>
          <w:i/>
          <w:iCs/>
          <w:sz w:val="24"/>
          <w:szCs w:val="24"/>
          <w:lang w:val="en-GB"/>
        </w:rPr>
        <w:t>Science</w:t>
      </w:r>
      <w:r w:rsidRPr="005C5429">
        <w:rPr>
          <w:rFonts w:ascii="Times New Roman" w:eastAsia="Times New Roman" w:hAnsi="Times New Roman" w:cs="Times New Roman"/>
          <w:sz w:val="24"/>
          <w:szCs w:val="24"/>
          <w:lang w:val="en-GB"/>
        </w:rPr>
        <w:t xml:space="preserve">, </w:t>
      </w:r>
      <w:r w:rsidRPr="005C5429">
        <w:rPr>
          <w:rFonts w:ascii="Times New Roman" w:eastAsia="Times New Roman" w:hAnsi="Times New Roman" w:cs="Times New Roman"/>
          <w:i/>
          <w:iCs/>
          <w:sz w:val="24"/>
          <w:szCs w:val="24"/>
          <w:lang w:val="en-GB"/>
        </w:rPr>
        <w:t>334</w:t>
      </w:r>
      <w:r w:rsidRPr="005C5429">
        <w:rPr>
          <w:rFonts w:ascii="Times New Roman" w:eastAsia="Times New Roman" w:hAnsi="Times New Roman" w:cs="Times New Roman"/>
          <w:sz w:val="24"/>
          <w:szCs w:val="24"/>
          <w:lang w:val="en-GB"/>
        </w:rPr>
        <w:t>(6060), 1226–1227. https://doi.org/10.1126/science.1213847</w:t>
      </w:r>
    </w:p>
    <w:p w14:paraId="222CF19C" w14:textId="77777777" w:rsidR="002A7A99" w:rsidRPr="005C5429" w:rsidRDefault="002A7A99" w:rsidP="0086520A">
      <w:pPr>
        <w:spacing w:after="200"/>
        <w:ind w:left="720" w:hanging="720"/>
        <w:rPr>
          <w:lang w:val="en-GB"/>
        </w:rPr>
      </w:pPr>
      <w:proofErr w:type="spellStart"/>
      <w:r w:rsidRPr="005C5429">
        <w:rPr>
          <w:rFonts w:ascii="Times New Roman" w:eastAsia="Times New Roman" w:hAnsi="Times New Roman" w:cs="Times New Roman"/>
          <w:sz w:val="24"/>
          <w:szCs w:val="24"/>
          <w:lang w:val="en-GB"/>
        </w:rPr>
        <w:t>ReliefWeb</w:t>
      </w:r>
      <w:proofErr w:type="spellEnd"/>
      <w:r w:rsidRPr="005C5429">
        <w:rPr>
          <w:rFonts w:ascii="Times New Roman" w:eastAsia="Times New Roman" w:hAnsi="Times New Roman" w:cs="Times New Roman"/>
          <w:sz w:val="24"/>
          <w:szCs w:val="24"/>
          <w:lang w:val="en-GB"/>
        </w:rPr>
        <w:t xml:space="preserve">. (2021). </w:t>
      </w:r>
      <w:r w:rsidRPr="005C5429">
        <w:rPr>
          <w:rFonts w:ascii="Times New Roman" w:eastAsia="Times New Roman" w:hAnsi="Times New Roman" w:cs="Times New Roman"/>
          <w:i/>
          <w:iCs/>
          <w:sz w:val="24"/>
          <w:szCs w:val="24"/>
          <w:lang w:val="en-GB"/>
        </w:rPr>
        <w:t>COVID-19 vaccination in Tokelau</w:t>
      </w:r>
      <w:r w:rsidRPr="005C5429">
        <w:rPr>
          <w:rFonts w:ascii="Times New Roman" w:eastAsia="Times New Roman" w:hAnsi="Times New Roman" w:cs="Times New Roman"/>
          <w:sz w:val="24"/>
          <w:szCs w:val="24"/>
          <w:lang w:val="en-GB"/>
        </w:rPr>
        <w:t>. United Nations Office for the Coordination of Humanitarian Affairs. https://reliefweb.int</w:t>
      </w:r>
    </w:p>
    <w:p w14:paraId="313DAE7C" w14:textId="77777777" w:rsidR="002A7A99" w:rsidRPr="005C5429" w:rsidRDefault="002A7A99" w:rsidP="0086520A">
      <w:pPr>
        <w:spacing w:after="200"/>
        <w:ind w:left="720" w:hanging="720"/>
        <w:rPr>
          <w:lang w:val="en-GB"/>
        </w:rPr>
      </w:pPr>
      <w:proofErr w:type="spellStart"/>
      <w:r w:rsidRPr="005C5429">
        <w:rPr>
          <w:rFonts w:ascii="Times New Roman" w:eastAsia="Times New Roman" w:hAnsi="Times New Roman" w:cs="Times New Roman"/>
          <w:sz w:val="24"/>
          <w:szCs w:val="24"/>
          <w:lang w:val="en-GB"/>
        </w:rPr>
        <w:t>Rousseeuw</w:t>
      </w:r>
      <w:proofErr w:type="spellEnd"/>
      <w:r w:rsidRPr="005C5429">
        <w:rPr>
          <w:rFonts w:ascii="Times New Roman" w:eastAsia="Times New Roman" w:hAnsi="Times New Roman" w:cs="Times New Roman"/>
          <w:sz w:val="24"/>
          <w:szCs w:val="24"/>
          <w:lang w:val="en-GB"/>
        </w:rPr>
        <w:t xml:space="preserve">, P. J. (1987). Silhouettes: A graphical aid to the interpretation and validation of cluster analysis. </w:t>
      </w:r>
      <w:r w:rsidRPr="005C5429">
        <w:rPr>
          <w:rFonts w:ascii="Times New Roman" w:eastAsia="Times New Roman" w:hAnsi="Times New Roman" w:cs="Times New Roman"/>
          <w:i/>
          <w:iCs/>
          <w:sz w:val="24"/>
          <w:szCs w:val="24"/>
          <w:lang w:val="en-GB"/>
        </w:rPr>
        <w:t>Journal of Computational and Applied Mathematics</w:t>
      </w:r>
      <w:r w:rsidRPr="005C5429">
        <w:rPr>
          <w:rFonts w:ascii="Times New Roman" w:eastAsia="Times New Roman" w:hAnsi="Times New Roman" w:cs="Times New Roman"/>
          <w:sz w:val="24"/>
          <w:szCs w:val="24"/>
          <w:lang w:val="en-GB"/>
        </w:rPr>
        <w:t xml:space="preserve">, </w:t>
      </w:r>
      <w:r w:rsidRPr="005C5429">
        <w:rPr>
          <w:rFonts w:ascii="Times New Roman" w:eastAsia="Times New Roman" w:hAnsi="Times New Roman" w:cs="Times New Roman"/>
          <w:i/>
          <w:iCs/>
          <w:sz w:val="24"/>
          <w:szCs w:val="24"/>
          <w:lang w:val="en-GB"/>
        </w:rPr>
        <w:t>20</w:t>
      </w:r>
      <w:r w:rsidRPr="005C5429">
        <w:rPr>
          <w:rFonts w:ascii="Times New Roman" w:eastAsia="Times New Roman" w:hAnsi="Times New Roman" w:cs="Times New Roman"/>
          <w:sz w:val="24"/>
          <w:szCs w:val="24"/>
          <w:lang w:val="en-GB"/>
        </w:rPr>
        <w:t>, 53–65. https://doi.org/10.1016/0377-0427(87)90125-7</w:t>
      </w:r>
    </w:p>
    <w:p w14:paraId="265BA975" w14:textId="77777777" w:rsidR="002A7A99" w:rsidRPr="005C5429" w:rsidRDefault="002A7A99" w:rsidP="0086520A">
      <w:pPr>
        <w:spacing w:after="200"/>
        <w:ind w:left="720" w:hanging="720"/>
        <w:rPr>
          <w:lang w:val="en-GB"/>
        </w:rPr>
      </w:pPr>
      <w:r w:rsidRPr="005C5429">
        <w:rPr>
          <w:rFonts w:ascii="Times New Roman" w:eastAsia="Times New Roman" w:hAnsi="Times New Roman" w:cs="Times New Roman"/>
          <w:sz w:val="24"/>
          <w:szCs w:val="24"/>
          <w:lang w:val="en-GB"/>
        </w:rPr>
        <w:t xml:space="preserve">Wickham, H. (2016). </w:t>
      </w:r>
      <w:r w:rsidRPr="005C5429">
        <w:rPr>
          <w:rFonts w:ascii="Times New Roman" w:eastAsia="Times New Roman" w:hAnsi="Times New Roman" w:cs="Times New Roman"/>
          <w:i/>
          <w:iCs/>
          <w:sz w:val="24"/>
          <w:szCs w:val="24"/>
          <w:lang w:val="en-GB"/>
        </w:rPr>
        <w:t>ggplot2: Elegant graphics for data analysis</w:t>
      </w:r>
      <w:r w:rsidRPr="005C5429">
        <w:rPr>
          <w:rFonts w:ascii="Times New Roman" w:eastAsia="Times New Roman" w:hAnsi="Times New Roman" w:cs="Times New Roman"/>
          <w:sz w:val="24"/>
          <w:szCs w:val="24"/>
          <w:lang w:val="en-GB"/>
        </w:rPr>
        <w:t>. Springer. https://doi.org/10.1007/978-3-319-24277-4</w:t>
      </w:r>
    </w:p>
    <w:p w14:paraId="2580C240" w14:textId="77777777" w:rsidR="002A7A99" w:rsidRPr="005C5429" w:rsidRDefault="002A7A99" w:rsidP="0086520A">
      <w:pPr>
        <w:spacing w:after="200"/>
        <w:ind w:left="720" w:hanging="720"/>
        <w:rPr>
          <w:lang w:val="en-GB"/>
        </w:rPr>
      </w:pPr>
      <w:r w:rsidRPr="005C5429">
        <w:rPr>
          <w:rFonts w:ascii="Times New Roman" w:eastAsia="Times New Roman" w:hAnsi="Times New Roman" w:cs="Times New Roman"/>
          <w:sz w:val="24"/>
          <w:szCs w:val="24"/>
          <w:lang w:val="en-GB"/>
        </w:rPr>
        <w:t xml:space="preserve">Wouters, O. J., </w:t>
      </w:r>
      <w:proofErr w:type="spellStart"/>
      <w:r w:rsidRPr="005C5429">
        <w:rPr>
          <w:rFonts w:ascii="Times New Roman" w:eastAsia="Times New Roman" w:hAnsi="Times New Roman" w:cs="Times New Roman"/>
          <w:sz w:val="24"/>
          <w:szCs w:val="24"/>
          <w:lang w:val="en-GB"/>
        </w:rPr>
        <w:t>Shadlen</w:t>
      </w:r>
      <w:proofErr w:type="spellEnd"/>
      <w:r w:rsidRPr="005C5429">
        <w:rPr>
          <w:rFonts w:ascii="Times New Roman" w:eastAsia="Times New Roman" w:hAnsi="Times New Roman" w:cs="Times New Roman"/>
          <w:sz w:val="24"/>
          <w:szCs w:val="24"/>
          <w:lang w:val="en-GB"/>
        </w:rPr>
        <w:t xml:space="preserve">, K. C., </w:t>
      </w:r>
      <w:proofErr w:type="spellStart"/>
      <w:r w:rsidRPr="005C5429">
        <w:rPr>
          <w:rFonts w:ascii="Times New Roman" w:eastAsia="Times New Roman" w:hAnsi="Times New Roman" w:cs="Times New Roman"/>
          <w:sz w:val="24"/>
          <w:szCs w:val="24"/>
          <w:lang w:val="en-GB"/>
        </w:rPr>
        <w:t>Salcher</w:t>
      </w:r>
      <w:proofErr w:type="spellEnd"/>
      <w:r w:rsidRPr="005C5429">
        <w:rPr>
          <w:rFonts w:ascii="Times New Roman" w:eastAsia="Times New Roman" w:hAnsi="Times New Roman" w:cs="Times New Roman"/>
          <w:sz w:val="24"/>
          <w:szCs w:val="24"/>
          <w:lang w:val="en-GB"/>
        </w:rPr>
        <w:t xml:space="preserve">-Konrad, M., Pollard, A. J., Larson, H. J., </w:t>
      </w:r>
      <w:proofErr w:type="spellStart"/>
      <w:r w:rsidRPr="005C5429">
        <w:rPr>
          <w:rFonts w:ascii="Times New Roman" w:eastAsia="Times New Roman" w:hAnsi="Times New Roman" w:cs="Times New Roman"/>
          <w:sz w:val="24"/>
          <w:szCs w:val="24"/>
          <w:lang w:val="en-GB"/>
        </w:rPr>
        <w:t>Teerawattananon</w:t>
      </w:r>
      <w:proofErr w:type="spellEnd"/>
      <w:r w:rsidRPr="005C5429">
        <w:rPr>
          <w:rFonts w:ascii="Times New Roman" w:eastAsia="Times New Roman" w:hAnsi="Times New Roman" w:cs="Times New Roman"/>
          <w:sz w:val="24"/>
          <w:szCs w:val="24"/>
          <w:lang w:val="en-GB"/>
        </w:rPr>
        <w:t xml:space="preserve">, Y., &amp; Jit, M. (2021). Challenges in ensuring global access to COVID-19 vaccines: Production, affordability, allocation, and deployment. </w:t>
      </w:r>
      <w:r w:rsidRPr="005C5429">
        <w:rPr>
          <w:rFonts w:ascii="Times New Roman" w:eastAsia="Times New Roman" w:hAnsi="Times New Roman" w:cs="Times New Roman"/>
          <w:i/>
          <w:iCs/>
          <w:sz w:val="24"/>
          <w:szCs w:val="24"/>
          <w:lang w:val="en-GB"/>
        </w:rPr>
        <w:t>The Lancet</w:t>
      </w:r>
      <w:r w:rsidRPr="005C5429">
        <w:rPr>
          <w:rFonts w:ascii="Times New Roman" w:eastAsia="Times New Roman" w:hAnsi="Times New Roman" w:cs="Times New Roman"/>
          <w:sz w:val="24"/>
          <w:szCs w:val="24"/>
          <w:lang w:val="en-GB"/>
        </w:rPr>
        <w:t xml:space="preserve">, </w:t>
      </w:r>
      <w:r w:rsidRPr="005C5429">
        <w:rPr>
          <w:rFonts w:ascii="Times New Roman" w:eastAsia="Times New Roman" w:hAnsi="Times New Roman" w:cs="Times New Roman"/>
          <w:i/>
          <w:iCs/>
          <w:sz w:val="24"/>
          <w:szCs w:val="24"/>
          <w:lang w:val="en-GB"/>
        </w:rPr>
        <w:t>397</w:t>
      </w:r>
      <w:r w:rsidRPr="005C5429">
        <w:rPr>
          <w:rFonts w:ascii="Times New Roman" w:eastAsia="Times New Roman" w:hAnsi="Times New Roman" w:cs="Times New Roman"/>
          <w:sz w:val="24"/>
          <w:szCs w:val="24"/>
          <w:lang w:val="en-GB"/>
        </w:rPr>
        <w:t>(10278), 1023–1034. https://doi.org/10.1016/S0140-6736(21)00306-8</w:t>
      </w:r>
    </w:p>
    <w:p w14:paraId="57A8D56F" w14:textId="77777777" w:rsidR="002A7A99" w:rsidRPr="005C5429" w:rsidRDefault="002A7A99" w:rsidP="0086520A">
      <w:pPr>
        <w:spacing w:after="200"/>
        <w:ind w:left="720" w:hanging="720"/>
        <w:rPr>
          <w:lang w:val="en-GB"/>
        </w:rPr>
      </w:pPr>
      <w:r w:rsidRPr="005C5429">
        <w:rPr>
          <w:rFonts w:ascii="Times New Roman" w:eastAsia="Times New Roman" w:hAnsi="Times New Roman" w:cs="Times New Roman"/>
          <w:sz w:val="24"/>
          <w:szCs w:val="24"/>
          <w:lang w:val="en-GB"/>
        </w:rPr>
        <w:t xml:space="preserve">Xu, S., Chen, M., Feng, T., Zhan, L., Zhou, L., &amp; Yu, G. (2021). Use </w:t>
      </w:r>
      <w:proofErr w:type="spellStart"/>
      <w:r w:rsidRPr="005C5429">
        <w:rPr>
          <w:rFonts w:ascii="Times New Roman" w:eastAsia="Times New Roman" w:hAnsi="Times New Roman" w:cs="Times New Roman"/>
          <w:sz w:val="24"/>
          <w:szCs w:val="24"/>
          <w:lang w:val="en-GB"/>
        </w:rPr>
        <w:t>ggbreak</w:t>
      </w:r>
      <w:proofErr w:type="spellEnd"/>
      <w:r w:rsidRPr="005C5429">
        <w:rPr>
          <w:rFonts w:ascii="Times New Roman" w:eastAsia="Times New Roman" w:hAnsi="Times New Roman" w:cs="Times New Roman"/>
          <w:sz w:val="24"/>
          <w:szCs w:val="24"/>
          <w:lang w:val="en-GB"/>
        </w:rPr>
        <w:t xml:space="preserve"> to effectively utilize plotting space to deal with large datasets and outliers. </w:t>
      </w:r>
      <w:r w:rsidRPr="005C5429">
        <w:rPr>
          <w:rFonts w:ascii="Times New Roman" w:eastAsia="Times New Roman" w:hAnsi="Times New Roman" w:cs="Times New Roman"/>
          <w:i/>
          <w:iCs/>
          <w:sz w:val="24"/>
          <w:szCs w:val="24"/>
          <w:lang w:val="en-GB"/>
        </w:rPr>
        <w:t>Frontiers in Genetics</w:t>
      </w:r>
      <w:r w:rsidRPr="005C5429">
        <w:rPr>
          <w:rFonts w:ascii="Times New Roman" w:eastAsia="Times New Roman" w:hAnsi="Times New Roman" w:cs="Times New Roman"/>
          <w:sz w:val="24"/>
          <w:szCs w:val="24"/>
          <w:lang w:val="en-GB"/>
        </w:rPr>
        <w:t xml:space="preserve">, </w:t>
      </w:r>
      <w:r w:rsidRPr="005C5429">
        <w:rPr>
          <w:rFonts w:ascii="Times New Roman" w:eastAsia="Times New Roman" w:hAnsi="Times New Roman" w:cs="Times New Roman"/>
          <w:i/>
          <w:iCs/>
          <w:sz w:val="24"/>
          <w:szCs w:val="24"/>
          <w:lang w:val="en-GB"/>
        </w:rPr>
        <w:t>12</w:t>
      </w:r>
      <w:r w:rsidRPr="005C5429">
        <w:rPr>
          <w:rFonts w:ascii="Times New Roman" w:eastAsia="Times New Roman" w:hAnsi="Times New Roman" w:cs="Times New Roman"/>
          <w:sz w:val="24"/>
          <w:szCs w:val="24"/>
          <w:lang w:val="en-GB"/>
        </w:rPr>
        <w:t>, Article 774846. https://doi.org/10.3389/fgene.2021.774846</w:t>
      </w:r>
    </w:p>
    <w:p w14:paraId="78BBFFB4" w14:textId="2C2317FC" w:rsidR="00DC72B6" w:rsidRDefault="002A7A99" w:rsidP="0086520A">
      <w:pPr>
        <w:spacing w:after="200"/>
        <w:ind w:left="720" w:hanging="720"/>
        <w:rPr>
          <w:rFonts w:ascii="Times New Roman" w:eastAsia="Times New Roman" w:hAnsi="Times New Roman" w:cs="Times New Roman"/>
          <w:sz w:val="24"/>
          <w:szCs w:val="24"/>
          <w:lang w:val="en-GB"/>
        </w:rPr>
      </w:pPr>
      <w:proofErr w:type="spellStart"/>
      <w:r w:rsidRPr="005C5429">
        <w:rPr>
          <w:rFonts w:ascii="Times New Roman" w:eastAsia="Times New Roman" w:hAnsi="Times New Roman" w:cs="Times New Roman"/>
          <w:sz w:val="24"/>
          <w:szCs w:val="24"/>
          <w:lang w:val="en-GB"/>
        </w:rPr>
        <w:lastRenderedPageBreak/>
        <w:t>Zeileis</w:t>
      </w:r>
      <w:proofErr w:type="spellEnd"/>
      <w:r w:rsidRPr="005C5429">
        <w:rPr>
          <w:rFonts w:ascii="Times New Roman" w:eastAsia="Times New Roman" w:hAnsi="Times New Roman" w:cs="Times New Roman"/>
          <w:sz w:val="24"/>
          <w:szCs w:val="24"/>
          <w:lang w:val="en-GB"/>
        </w:rPr>
        <w:t xml:space="preserve">, A., &amp; </w:t>
      </w:r>
      <w:proofErr w:type="spellStart"/>
      <w:r w:rsidRPr="005C5429">
        <w:rPr>
          <w:rFonts w:ascii="Times New Roman" w:eastAsia="Times New Roman" w:hAnsi="Times New Roman" w:cs="Times New Roman"/>
          <w:sz w:val="24"/>
          <w:szCs w:val="24"/>
          <w:lang w:val="en-GB"/>
        </w:rPr>
        <w:t>Grothendieck</w:t>
      </w:r>
      <w:proofErr w:type="spellEnd"/>
      <w:r w:rsidRPr="005C5429">
        <w:rPr>
          <w:rFonts w:ascii="Times New Roman" w:eastAsia="Times New Roman" w:hAnsi="Times New Roman" w:cs="Times New Roman"/>
          <w:sz w:val="24"/>
          <w:szCs w:val="24"/>
          <w:lang w:val="en-GB"/>
        </w:rPr>
        <w:t xml:space="preserve">, G. (2005). zoo: S3 infrastructure for regular and irregular time series. </w:t>
      </w:r>
      <w:r w:rsidRPr="005C5429">
        <w:rPr>
          <w:rFonts w:ascii="Times New Roman" w:eastAsia="Times New Roman" w:hAnsi="Times New Roman" w:cs="Times New Roman"/>
          <w:i/>
          <w:iCs/>
          <w:sz w:val="24"/>
          <w:szCs w:val="24"/>
          <w:lang w:val="en-GB"/>
        </w:rPr>
        <w:t>Journal of Statistical Software</w:t>
      </w:r>
      <w:r w:rsidRPr="005C5429">
        <w:rPr>
          <w:rFonts w:ascii="Times New Roman" w:eastAsia="Times New Roman" w:hAnsi="Times New Roman" w:cs="Times New Roman"/>
          <w:sz w:val="24"/>
          <w:szCs w:val="24"/>
          <w:lang w:val="en-GB"/>
        </w:rPr>
        <w:t xml:space="preserve">, </w:t>
      </w:r>
      <w:r w:rsidRPr="005C5429">
        <w:rPr>
          <w:rFonts w:ascii="Times New Roman" w:eastAsia="Times New Roman" w:hAnsi="Times New Roman" w:cs="Times New Roman"/>
          <w:i/>
          <w:iCs/>
          <w:sz w:val="24"/>
          <w:szCs w:val="24"/>
          <w:lang w:val="en-GB"/>
        </w:rPr>
        <w:t>14</w:t>
      </w:r>
      <w:r w:rsidRPr="005C5429">
        <w:rPr>
          <w:rFonts w:ascii="Times New Roman" w:eastAsia="Times New Roman" w:hAnsi="Times New Roman" w:cs="Times New Roman"/>
          <w:sz w:val="24"/>
          <w:szCs w:val="24"/>
          <w:lang w:val="en-GB"/>
        </w:rPr>
        <w:t xml:space="preserve">(6), 1–27. </w:t>
      </w:r>
      <w:hyperlink r:id="rId34" w:history="1">
        <w:r w:rsidR="00DC72B6" w:rsidRPr="00DA02D5">
          <w:rPr>
            <w:rStyle w:val="Hypertextovodkaz"/>
            <w:rFonts w:ascii="Times New Roman" w:eastAsia="Times New Roman" w:hAnsi="Times New Roman" w:cs="Times New Roman"/>
            <w:sz w:val="24"/>
            <w:szCs w:val="24"/>
            <w:lang w:val="en-GB"/>
          </w:rPr>
          <w:t>https://doi.org/10.186</w:t>
        </w:r>
        <w:r w:rsidR="00DC72B6" w:rsidRPr="00DA02D5">
          <w:rPr>
            <w:rStyle w:val="Hypertextovodkaz"/>
            <w:rFonts w:ascii="Times New Roman" w:eastAsia="Times New Roman" w:hAnsi="Times New Roman" w:cs="Times New Roman"/>
            <w:sz w:val="24"/>
            <w:szCs w:val="24"/>
            <w:lang w:val="en-GB"/>
          </w:rPr>
          <w:t>3</w:t>
        </w:r>
        <w:r w:rsidR="00DC72B6" w:rsidRPr="00DA02D5">
          <w:rPr>
            <w:rStyle w:val="Hypertextovodkaz"/>
            <w:rFonts w:ascii="Times New Roman" w:eastAsia="Times New Roman" w:hAnsi="Times New Roman" w:cs="Times New Roman"/>
            <w:sz w:val="24"/>
            <w:szCs w:val="24"/>
            <w:lang w:val="en-GB"/>
          </w:rPr>
          <w:t>7/jss.v014.i06</w:t>
        </w:r>
      </w:hyperlink>
    </w:p>
    <w:p w14:paraId="1969334B" w14:textId="77777777" w:rsidR="00DC72B6" w:rsidRPr="00DC72B6" w:rsidRDefault="00DC72B6" w:rsidP="00DC72B6">
      <w:pPr>
        <w:pStyle w:val="Nadpis1"/>
        <w:rPr>
          <w:lang w:val="en-GB"/>
        </w:rPr>
      </w:pPr>
      <w:r>
        <w:rPr>
          <w:rFonts w:eastAsia="Times New Roman"/>
          <w:sz w:val="24"/>
          <w:szCs w:val="24"/>
          <w:lang w:val="en-GB"/>
        </w:rPr>
        <w:br w:type="column"/>
      </w:r>
      <w:bookmarkStart w:id="44" w:name="_Toc234690598"/>
      <w:bookmarkStart w:id="45" w:name="_Toc234693116"/>
      <w:r w:rsidRPr="00DC72B6">
        <w:rPr>
          <w:lang w:val="en-GB"/>
        </w:rPr>
        <w:lastRenderedPageBreak/>
        <w:t>Appendix</w:t>
      </w:r>
      <w:bookmarkEnd w:id="44"/>
      <w:bookmarkEnd w:id="45"/>
    </w:p>
    <w:p w14:paraId="73E183C8" w14:textId="77777777" w:rsidR="00DC72B6" w:rsidRPr="00DC72B6" w:rsidRDefault="00DC72B6" w:rsidP="00DC72B6">
      <w:pPr>
        <w:pStyle w:val="Nadpis2"/>
        <w:rPr>
          <w:lang w:val="en-GB"/>
        </w:rPr>
      </w:pPr>
      <w:bookmarkStart w:id="46" w:name="_Toc234690599"/>
      <w:bookmarkStart w:id="47" w:name="_Toc234693117"/>
      <w:r w:rsidRPr="00DC72B6">
        <w:rPr>
          <w:lang w:val="en-GB"/>
        </w:rPr>
        <w:t>Appendix A: Dataset Variable Descriptions</w:t>
      </w:r>
      <w:bookmarkEnd w:id="46"/>
      <w:bookmarkEnd w:id="47"/>
    </w:p>
    <w:p w14:paraId="2D89910F" w14:textId="36A4C762" w:rsidR="00DC72B6" w:rsidRPr="00DC72B6" w:rsidRDefault="00DC72B6" w:rsidP="00DC72B6">
      <w:pPr>
        <w:spacing w:after="200" w:line="480" w:lineRule="auto"/>
        <w:jc w:val="both"/>
        <w:rPr>
          <w:lang w:val="en-GB"/>
        </w:rPr>
      </w:pPr>
      <w:r w:rsidRPr="00DC72B6">
        <w:rPr>
          <w:rFonts w:ascii="Times New Roman" w:eastAsia="Times New Roman" w:hAnsi="Times New Roman" w:cs="Times New Roman"/>
          <w:sz w:val="24"/>
          <w:szCs w:val="24"/>
          <w:lang w:val="en-GB"/>
        </w:rPr>
        <w:t>The following variables were used in this analysis:</w:t>
      </w:r>
    </w:p>
    <w:p w14:paraId="118EBA9A" w14:textId="747ED55F" w:rsidR="00DC72B6" w:rsidRPr="00DC72B6" w:rsidRDefault="00DC72B6" w:rsidP="00DC72B6">
      <w:pPr>
        <w:pStyle w:val="Odstavecseseznamem"/>
        <w:numPr>
          <w:ilvl w:val="0"/>
          <w:numId w:val="12"/>
        </w:numPr>
        <w:spacing w:after="120" w:line="360" w:lineRule="auto"/>
        <w:ind w:left="567"/>
        <w:rPr>
          <w:lang w:val="en-GB"/>
        </w:rPr>
      </w:pPr>
      <w:r w:rsidRPr="00DC72B6">
        <w:rPr>
          <w:rFonts w:ascii="Cascadia Code" w:eastAsia="Times New Roman" w:hAnsi="Cascadia Code" w:cs="Cascadia Code"/>
          <w:lang w:val="en-GB"/>
        </w:rPr>
        <w:t>people_fully_vaccinated_per_hundred:</w:t>
      </w:r>
      <w:r w:rsidRPr="00DC72B6">
        <w:rPr>
          <w:rFonts w:ascii="Times New Roman" w:eastAsia="Times New Roman" w:hAnsi="Times New Roman" w:cs="Times New Roman"/>
          <w:lang w:val="en-GB"/>
        </w:rPr>
        <w:t xml:space="preserve"> </w:t>
      </w:r>
      <w:r w:rsidRPr="00DC72B6">
        <w:rPr>
          <w:lang w:val="en-GB"/>
        </w:rPr>
        <w:t>share of the population that received all doses prescribed by the original vaccination protocol, per 100 inhabitants.</w:t>
      </w:r>
    </w:p>
    <w:p w14:paraId="2B996ABB" w14:textId="77777777" w:rsidR="00DC72B6" w:rsidRPr="00DC72B6" w:rsidRDefault="00DC72B6" w:rsidP="00DC72B6">
      <w:pPr>
        <w:pStyle w:val="Odstavecseseznamem"/>
        <w:numPr>
          <w:ilvl w:val="0"/>
          <w:numId w:val="12"/>
        </w:numPr>
        <w:spacing w:after="120" w:line="360" w:lineRule="auto"/>
        <w:ind w:left="567"/>
        <w:rPr>
          <w:lang w:val="en-GB"/>
        </w:rPr>
      </w:pPr>
      <w:r w:rsidRPr="00DC72B6">
        <w:rPr>
          <w:rFonts w:ascii="Cascadia Code" w:eastAsia="Times New Roman" w:hAnsi="Cascadia Code" w:cs="Cascadia Code"/>
          <w:lang w:val="en-GB"/>
        </w:rPr>
        <w:t>total_vaccinations_per_hundred:</w:t>
      </w:r>
      <w:r w:rsidRPr="00DC72B6">
        <w:rPr>
          <w:rFonts w:ascii="Times New Roman" w:eastAsia="Times New Roman" w:hAnsi="Times New Roman" w:cs="Times New Roman"/>
          <w:lang w:val="en-GB"/>
        </w:rPr>
        <w:t xml:space="preserve"> </w:t>
      </w:r>
      <w:r w:rsidRPr="00DC72B6">
        <w:rPr>
          <w:lang w:val="en-GB"/>
        </w:rPr>
        <w:t>total number of doses administered, per 100 people.</w:t>
      </w:r>
    </w:p>
    <w:p w14:paraId="37A05808" w14:textId="77777777" w:rsidR="00DC72B6" w:rsidRPr="00DC72B6" w:rsidRDefault="00DC72B6" w:rsidP="00DC72B6">
      <w:pPr>
        <w:pStyle w:val="Odstavecseseznamem"/>
        <w:numPr>
          <w:ilvl w:val="0"/>
          <w:numId w:val="12"/>
        </w:numPr>
        <w:spacing w:after="120" w:line="360" w:lineRule="auto"/>
        <w:ind w:left="567"/>
        <w:rPr>
          <w:lang w:val="en-GB"/>
        </w:rPr>
      </w:pPr>
      <w:r w:rsidRPr="00DC72B6">
        <w:rPr>
          <w:rFonts w:ascii="Cascadia Code" w:eastAsia="Times New Roman" w:hAnsi="Cascadia Code" w:cs="Cascadia Code"/>
          <w:lang w:val="en-GB"/>
        </w:rPr>
        <w:t>daily_vaccinations_per_million:</w:t>
      </w:r>
      <w:r w:rsidRPr="00DC72B6">
        <w:rPr>
          <w:rFonts w:ascii="Times New Roman" w:eastAsia="Times New Roman" w:hAnsi="Times New Roman" w:cs="Times New Roman"/>
          <w:lang w:val="en-GB"/>
        </w:rPr>
        <w:t xml:space="preserve"> </w:t>
      </w:r>
      <w:r w:rsidRPr="00DC72B6">
        <w:rPr>
          <w:lang w:val="en-GB"/>
        </w:rPr>
        <w:t>daily doses administered per million population (7-day rolling average).</w:t>
      </w:r>
    </w:p>
    <w:p w14:paraId="1D5E0B6B" w14:textId="77777777" w:rsidR="00DC72B6" w:rsidRPr="00DC72B6" w:rsidRDefault="00DC72B6" w:rsidP="00DC72B6">
      <w:pPr>
        <w:pStyle w:val="Odstavecseseznamem"/>
        <w:numPr>
          <w:ilvl w:val="0"/>
          <w:numId w:val="12"/>
        </w:numPr>
        <w:spacing w:after="120" w:line="360" w:lineRule="auto"/>
        <w:ind w:left="567"/>
        <w:rPr>
          <w:lang w:val="en-GB"/>
        </w:rPr>
      </w:pPr>
      <w:r w:rsidRPr="00DC72B6">
        <w:rPr>
          <w:rFonts w:ascii="Cascadia Code" w:eastAsia="Times New Roman" w:hAnsi="Cascadia Code" w:cs="Cascadia Code"/>
          <w:lang w:val="en-GB"/>
        </w:rPr>
        <w:t>location, date, iso_code:</w:t>
      </w:r>
      <w:r w:rsidRPr="00DC72B6">
        <w:rPr>
          <w:rFonts w:ascii="Times New Roman" w:eastAsia="Times New Roman" w:hAnsi="Times New Roman" w:cs="Times New Roman"/>
          <w:lang w:val="en-GB"/>
        </w:rPr>
        <w:t xml:space="preserve"> </w:t>
      </w:r>
      <w:r w:rsidRPr="00DC72B6">
        <w:rPr>
          <w:lang w:val="en-GB"/>
        </w:rPr>
        <w:t>identify the reporting unit (country, territory, continent, or income group) and the calendar date of each observation.</w:t>
      </w:r>
    </w:p>
    <w:p w14:paraId="3BE8B98D" w14:textId="77777777" w:rsidR="00DC72B6" w:rsidRPr="00DC72B6" w:rsidRDefault="00DC72B6" w:rsidP="00DC72B6">
      <w:pPr>
        <w:pStyle w:val="Nadpis2"/>
      </w:pPr>
      <w:bookmarkStart w:id="48" w:name="_Toc234690600"/>
      <w:bookmarkStart w:id="49" w:name="_Toc234693118"/>
      <w:proofErr w:type="spellStart"/>
      <w:r w:rsidRPr="00DC72B6">
        <w:t>Appendix</w:t>
      </w:r>
      <w:proofErr w:type="spellEnd"/>
      <w:r w:rsidRPr="00DC72B6">
        <w:t xml:space="preserve"> B: Software and </w:t>
      </w:r>
      <w:proofErr w:type="spellStart"/>
      <w:r w:rsidRPr="00DC72B6">
        <w:t>Reproducibility</w:t>
      </w:r>
      <w:bookmarkEnd w:id="48"/>
      <w:bookmarkEnd w:id="49"/>
      <w:proofErr w:type="spellEnd"/>
    </w:p>
    <w:p w14:paraId="6A231A1B" w14:textId="6665A5DD" w:rsidR="00DC72B6" w:rsidRPr="00DC72B6" w:rsidRDefault="00DC72B6" w:rsidP="00DC72B6">
      <w:pPr>
        <w:spacing w:line="360" w:lineRule="auto"/>
        <w:ind w:firstLine="708"/>
        <w:rPr>
          <w:lang w:val="en-GB"/>
        </w:rPr>
      </w:pPr>
      <w:r w:rsidRPr="00DC72B6">
        <w:rPr>
          <w:lang w:val="en-GB"/>
        </w:rPr>
        <w:t xml:space="preserve">All analysis was conducted in R using </w:t>
      </w:r>
      <w:proofErr w:type="spellStart"/>
      <w:r w:rsidRPr="002B6DB5">
        <w:rPr>
          <w:rFonts w:ascii="Cascadia Code" w:hAnsi="Cascadia Code" w:cs="Cascadia Code"/>
          <w:sz w:val="18"/>
          <w:szCs w:val="18"/>
          <w:lang w:val="en-GB"/>
        </w:rPr>
        <w:t>dplyr</w:t>
      </w:r>
      <w:proofErr w:type="spellEnd"/>
      <w:r w:rsidRPr="002B6DB5">
        <w:rPr>
          <w:rFonts w:ascii="Cascadia Code" w:hAnsi="Cascadia Code" w:cs="Cascadia Code"/>
          <w:sz w:val="18"/>
          <w:szCs w:val="18"/>
          <w:lang w:val="en-GB"/>
        </w:rPr>
        <w:t xml:space="preserve">, </w:t>
      </w:r>
      <w:proofErr w:type="spellStart"/>
      <w:r w:rsidRPr="002B6DB5">
        <w:rPr>
          <w:rFonts w:ascii="Cascadia Code" w:hAnsi="Cascadia Code" w:cs="Cascadia Code"/>
          <w:sz w:val="18"/>
          <w:szCs w:val="18"/>
          <w:lang w:val="en-GB"/>
        </w:rPr>
        <w:t>tidyr</w:t>
      </w:r>
      <w:proofErr w:type="spellEnd"/>
      <w:r w:rsidRPr="002B6DB5">
        <w:rPr>
          <w:rFonts w:ascii="Cascadia Code" w:hAnsi="Cascadia Code" w:cs="Cascadia Code"/>
          <w:sz w:val="18"/>
          <w:szCs w:val="18"/>
          <w:lang w:val="en-GB"/>
        </w:rPr>
        <w:t xml:space="preserve">, ggplot2, forecast, </w:t>
      </w:r>
      <w:proofErr w:type="spellStart"/>
      <w:r w:rsidRPr="002B6DB5">
        <w:rPr>
          <w:rFonts w:ascii="Cascadia Code" w:hAnsi="Cascadia Code" w:cs="Cascadia Code"/>
          <w:sz w:val="18"/>
          <w:szCs w:val="18"/>
          <w:lang w:val="en-GB"/>
        </w:rPr>
        <w:t>tseries</w:t>
      </w:r>
      <w:proofErr w:type="spellEnd"/>
      <w:r w:rsidRPr="002B6DB5">
        <w:rPr>
          <w:rFonts w:ascii="Cascadia Code" w:hAnsi="Cascadia Code" w:cs="Cascadia Code"/>
          <w:sz w:val="18"/>
          <w:szCs w:val="18"/>
          <w:lang w:val="en-GB"/>
        </w:rPr>
        <w:t xml:space="preserve">, zoo, </w:t>
      </w:r>
      <w:proofErr w:type="spellStart"/>
      <w:r w:rsidRPr="002B6DB5">
        <w:rPr>
          <w:rFonts w:ascii="Cascadia Code" w:hAnsi="Cascadia Code" w:cs="Cascadia Code"/>
          <w:sz w:val="18"/>
          <w:szCs w:val="18"/>
          <w:lang w:val="en-GB"/>
        </w:rPr>
        <w:t>factoextra</w:t>
      </w:r>
      <w:proofErr w:type="spellEnd"/>
      <w:r w:rsidRPr="002B6DB5">
        <w:rPr>
          <w:rFonts w:ascii="Cascadia Code" w:hAnsi="Cascadia Code" w:cs="Cascadia Code"/>
          <w:sz w:val="18"/>
          <w:szCs w:val="18"/>
          <w:lang w:val="en-GB"/>
        </w:rPr>
        <w:t xml:space="preserve">, sf, </w:t>
      </w:r>
      <w:proofErr w:type="spellStart"/>
      <w:r w:rsidRPr="002B6DB5">
        <w:rPr>
          <w:rFonts w:ascii="Cascadia Code" w:hAnsi="Cascadia Code" w:cs="Cascadia Code"/>
          <w:sz w:val="18"/>
          <w:szCs w:val="18"/>
          <w:lang w:val="en-GB"/>
        </w:rPr>
        <w:t>rnaturalearth</w:t>
      </w:r>
      <w:proofErr w:type="spellEnd"/>
      <w:r w:rsidRPr="002B6DB5">
        <w:rPr>
          <w:rFonts w:ascii="Cascadia Code" w:hAnsi="Cascadia Code" w:cs="Cascadia Code"/>
          <w:sz w:val="18"/>
          <w:szCs w:val="18"/>
          <w:lang w:val="en-GB"/>
        </w:rPr>
        <w:t xml:space="preserve">, </w:t>
      </w:r>
      <w:proofErr w:type="spellStart"/>
      <w:r w:rsidRPr="002B6DB5">
        <w:rPr>
          <w:rFonts w:ascii="Cascadia Code" w:hAnsi="Cascadia Code" w:cs="Cascadia Code"/>
          <w:sz w:val="18"/>
          <w:szCs w:val="18"/>
          <w:lang w:val="en-GB"/>
        </w:rPr>
        <w:t>countrycode</w:t>
      </w:r>
      <w:proofErr w:type="spellEnd"/>
      <w:r w:rsidRPr="002B6DB5">
        <w:rPr>
          <w:rFonts w:ascii="Cascadia Code" w:hAnsi="Cascadia Code" w:cs="Cascadia Code"/>
          <w:sz w:val="18"/>
          <w:szCs w:val="18"/>
          <w:lang w:val="en-GB"/>
        </w:rPr>
        <w:t xml:space="preserve">, </w:t>
      </w:r>
      <w:proofErr w:type="spellStart"/>
      <w:r w:rsidRPr="002B6DB5">
        <w:rPr>
          <w:rFonts w:ascii="Cascadia Code" w:hAnsi="Cascadia Code" w:cs="Cascadia Code"/>
          <w:sz w:val="18"/>
          <w:szCs w:val="18"/>
          <w:lang w:val="en-GB"/>
        </w:rPr>
        <w:t>ggcorrplot</w:t>
      </w:r>
      <w:proofErr w:type="spellEnd"/>
      <w:r w:rsidRPr="002B6DB5">
        <w:rPr>
          <w:rFonts w:ascii="Cascadia Code" w:hAnsi="Cascadia Code" w:cs="Cascadia Code"/>
          <w:sz w:val="18"/>
          <w:szCs w:val="18"/>
          <w:lang w:val="en-GB"/>
        </w:rPr>
        <w:t xml:space="preserve">, </w:t>
      </w:r>
      <w:proofErr w:type="spellStart"/>
      <w:r w:rsidRPr="002B6DB5">
        <w:rPr>
          <w:rFonts w:ascii="Cascadia Code" w:hAnsi="Cascadia Code" w:cs="Cascadia Code"/>
          <w:sz w:val="18"/>
          <w:szCs w:val="18"/>
          <w:lang w:val="en-GB"/>
        </w:rPr>
        <w:t>ggdist</w:t>
      </w:r>
      <w:proofErr w:type="spellEnd"/>
      <w:r w:rsidRPr="002B6DB5">
        <w:rPr>
          <w:rFonts w:ascii="Cascadia Code" w:hAnsi="Cascadia Code" w:cs="Cascadia Code"/>
          <w:sz w:val="18"/>
          <w:szCs w:val="18"/>
          <w:lang w:val="en-GB"/>
        </w:rPr>
        <w:t xml:space="preserve">, </w:t>
      </w:r>
      <w:proofErr w:type="spellStart"/>
      <w:r w:rsidRPr="002B6DB5">
        <w:rPr>
          <w:rFonts w:ascii="Cascadia Code" w:hAnsi="Cascadia Code" w:cs="Cascadia Code"/>
          <w:sz w:val="18"/>
          <w:szCs w:val="18"/>
          <w:lang w:val="en-GB"/>
        </w:rPr>
        <w:t>ggbeeswarm</w:t>
      </w:r>
      <w:proofErr w:type="spellEnd"/>
      <w:r w:rsidRPr="002B6DB5">
        <w:rPr>
          <w:rFonts w:ascii="Cascadia Code" w:hAnsi="Cascadia Code" w:cs="Cascadia Code"/>
          <w:sz w:val="18"/>
          <w:szCs w:val="18"/>
          <w:lang w:val="en-GB"/>
        </w:rPr>
        <w:t xml:space="preserve">, </w:t>
      </w:r>
      <w:proofErr w:type="spellStart"/>
      <w:r w:rsidRPr="002B6DB5">
        <w:rPr>
          <w:rFonts w:ascii="Cascadia Code" w:hAnsi="Cascadia Code" w:cs="Cascadia Code"/>
          <w:sz w:val="18"/>
          <w:szCs w:val="18"/>
          <w:lang w:val="en-GB"/>
        </w:rPr>
        <w:t>ggrepel</w:t>
      </w:r>
      <w:proofErr w:type="spellEnd"/>
      <w:r w:rsidRPr="002B6DB5">
        <w:rPr>
          <w:rFonts w:ascii="Cascadia Code" w:hAnsi="Cascadia Code" w:cs="Cascadia Code"/>
          <w:sz w:val="18"/>
          <w:szCs w:val="18"/>
          <w:lang w:val="en-GB"/>
        </w:rPr>
        <w:t>,</w:t>
      </w:r>
      <w:r w:rsidRPr="002B6DB5">
        <w:rPr>
          <w:sz w:val="18"/>
          <w:szCs w:val="18"/>
          <w:lang w:val="en-GB"/>
        </w:rPr>
        <w:t xml:space="preserve"> </w:t>
      </w:r>
      <w:r w:rsidRPr="00DC72B6">
        <w:rPr>
          <w:lang w:val="en-GB"/>
        </w:rPr>
        <w:t xml:space="preserve">and </w:t>
      </w:r>
      <w:proofErr w:type="spellStart"/>
      <w:r w:rsidRPr="002B6DB5">
        <w:rPr>
          <w:rFonts w:ascii="Cascadia Code" w:hAnsi="Cascadia Code" w:cs="Cascadia Code"/>
          <w:sz w:val="18"/>
          <w:szCs w:val="18"/>
          <w:lang w:val="en-GB"/>
        </w:rPr>
        <w:t>ggbreak</w:t>
      </w:r>
      <w:proofErr w:type="spellEnd"/>
      <w:r w:rsidRPr="002B6DB5">
        <w:rPr>
          <w:sz w:val="18"/>
          <w:szCs w:val="18"/>
          <w:lang w:val="en-GB"/>
        </w:rPr>
        <w:t xml:space="preserve"> </w:t>
      </w:r>
      <w:r w:rsidRPr="00DC72B6">
        <w:rPr>
          <w:lang w:val="en-GB"/>
        </w:rPr>
        <w:t>packages. A fixed random seed (42) was set prior to k-means fitting</w:t>
      </w:r>
      <w:r w:rsidR="002B6DB5">
        <w:rPr>
          <w:lang w:val="en-GB"/>
        </w:rPr>
        <w:t>.</w:t>
      </w:r>
    </w:p>
    <w:p w14:paraId="5FAD6D60" w14:textId="77777777" w:rsidR="00DC72B6" w:rsidRPr="00DC72B6" w:rsidRDefault="00DC72B6" w:rsidP="00DC72B6">
      <w:pPr>
        <w:pStyle w:val="Nadpis2"/>
      </w:pPr>
      <w:bookmarkStart w:id="50" w:name="_Toc234690601"/>
      <w:bookmarkStart w:id="51" w:name="_Toc234693119"/>
      <w:proofErr w:type="spellStart"/>
      <w:r w:rsidRPr="00DC72B6">
        <w:t>Appendix</w:t>
      </w:r>
      <w:proofErr w:type="spellEnd"/>
      <w:r w:rsidRPr="00DC72B6">
        <w:t xml:space="preserve"> C: </w:t>
      </w:r>
      <w:proofErr w:type="spellStart"/>
      <w:r w:rsidRPr="00DC72B6">
        <w:t>Companion</w:t>
      </w:r>
      <w:proofErr w:type="spellEnd"/>
      <w:r w:rsidRPr="00DC72B6">
        <w:t xml:space="preserve"> R </w:t>
      </w:r>
      <w:proofErr w:type="spellStart"/>
      <w:r w:rsidRPr="00DC72B6">
        <w:t>Notebooks</w:t>
      </w:r>
      <w:bookmarkEnd w:id="50"/>
      <w:bookmarkEnd w:id="51"/>
      <w:proofErr w:type="spellEnd"/>
    </w:p>
    <w:p w14:paraId="1B49E779" w14:textId="62C9357E" w:rsidR="00DC72B6" w:rsidRPr="00DC72B6" w:rsidRDefault="00DC72B6" w:rsidP="00DC72B6">
      <w:pPr>
        <w:spacing w:line="360" w:lineRule="auto"/>
        <w:ind w:firstLine="708"/>
        <w:rPr>
          <w:lang w:val="en-GB"/>
        </w:rPr>
      </w:pPr>
      <w:r w:rsidRPr="00DC72B6">
        <w:rPr>
          <w:lang w:val="en-GB"/>
        </w:rPr>
        <w:t>The complete, runnable R Markdown notebooks underlying this report</w:t>
      </w:r>
      <w:r w:rsidR="002B6DB5">
        <w:rPr>
          <w:lang w:val="en-GB"/>
        </w:rPr>
        <w:t xml:space="preserve"> </w:t>
      </w:r>
      <w:proofErr w:type="spellStart"/>
      <w:r w:rsidRPr="00C56154">
        <w:rPr>
          <w:rFonts w:ascii="Cascadia Code" w:hAnsi="Cascadia Code" w:cs="Cascadia Code"/>
          <w:sz w:val="20"/>
          <w:szCs w:val="20"/>
          <w:lang w:val="en-GB"/>
        </w:rPr>
        <w:t>vaccination_pipeline.Rmd</w:t>
      </w:r>
      <w:proofErr w:type="spellEnd"/>
      <w:r w:rsidRPr="00C56154">
        <w:rPr>
          <w:sz w:val="20"/>
          <w:szCs w:val="20"/>
          <w:lang w:val="en-GB"/>
        </w:rPr>
        <w:t xml:space="preserve"> </w:t>
      </w:r>
      <w:r w:rsidRPr="00DC72B6">
        <w:rPr>
          <w:lang w:val="en-GB"/>
        </w:rPr>
        <w:t xml:space="preserve">(descriptive statistics, mapping, PCA, and clustering) and </w:t>
      </w:r>
      <w:proofErr w:type="spellStart"/>
      <w:r w:rsidRPr="00C56154">
        <w:rPr>
          <w:rFonts w:ascii="Cascadia Code" w:hAnsi="Cascadia Code" w:cs="Cascadia Code"/>
          <w:sz w:val="20"/>
          <w:szCs w:val="20"/>
          <w:lang w:val="en-GB"/>
        </w:rPr>
        <w:t>arima.Rmd</w:t>
      </w:r>
      <w:proofErr w:type="spellEnd"/>
      <w:r w:rsidRPr="00C56154">
        <w:rPr>
          <w:sz w:val="20"/>
          <w:szCs w:val="20"/>
          <w:lang w:val="en-GB"/>
        </w:rPr>
        <w:t xml:space="preserve"> </w:t>
      </w:r>
      <w:r w:rsidRPr="00DC72B6">
        <w:rPr>
          <w:lang w:val="en-GB"/>
        </w:rPr>
        <w:t>(time series forecasting) are submitted as separate files alongside this report</w:t>
      </w:r>
      <w:r w:rsidR="00C56154">
        <w:rPr>
          <w:lang w:val="en-GB"/>
        </w:rPr>
        <w:t>.</w:t>
      </w:r>
    </w:p>
    <w:p w14:paraId="26248CCD" w14:textId="7D41E080" w:rsidR="00F44913" w:rsidRDefault="00F44913" w:rsidP="004E3AD0">
      <w:pPr>
        <w:spacing w:after="200" w:line="480" w:lineRule="auto"/>
        <w:ind w:left="720" w:hanging="720"/>
        <w:rPr>
          <w:lang w:val="en-GB"/>
        </w:rPr>
      </w:pPr>
    </w:p>
    <w:p w14:paraId="53626456" w14:textId="77777777" w:rsidR="002B0173" w:rsidRDefault="002B0173" w:rsidP="004E3AD0">
      <w:pPr>
        <w:spacing w:after="200" w:line="480" w:lineRule="auto"/>
        <w:ind w:left="720" w:hanging="720"/>
        <w:rPr>
          <w:lang w:val="en-GB"/>
        </w:rPr>
      </w:pPr>
    </w:p>
    <w:p w14:paraId="7E161E17" w14:textId="77777777" w:rsidR="002B0173" w:rsidRDefault="002B0173" w:rsidP="004E3AD0">
      <w:pPr>
        <w:spacing w:after="200" w:line="480" w:lineRule="auto"/>
        <w:ind w:left="720" w:hanging="720"/>
        <w:rPr>
          <w:lang w:val="en-GB"/>
        </w:rPr>
      </w:pPr>
    </w:p>
    <w:p w14:paraId="15940E5C" w14:textId="77777777" w:rsidR="002B0173" w:rsidRDefault="002B0173" w:rsidP="004E3AD0">
      <w:pPr>
        <w:spacing w:after="200" w:line="480" w:lineRule="auto"/>
        <w:ind w:left="720" w:hanging="720"/>
        <w:rPr>
          <w:lang w:val="en-GB"/>
        </w:rPr>
      </w:pPr>
    </w:p>
    <w:p w14:paraId="15FBDA03" w14:textId="77777777" w:rsidR="002B0173" w:rsidRDefault="002B0173" w:rsidP="004E3AD0">
      <w:pPr>
        <w:spacing w:after="200" w:line="480" w:lineRule="auto"/>
        <w:ind w:left="720" w:hanging="720"/>
        <w:rPr>
          <w:lang w:val="en-GB"/>
        </w:rPr>
      </w:pPr>
    </w:p>
    <w:p w14:paraId="3B7CC181" w14:textId="2F3BA8B4" w:rsidR="002B0173" w:rsidRPr="0035001D" w:rsidRDefault="00484E88" w:rsidP="004E3AD0">
      <w:pPr>
        <w:spacing w:after="200" w:line="480" w:lineRule="auto"/>
        <w:ind w:left="720" w:hanging="720"/>
        <w:rPr>
          <w:color w:val="FFFFFF" w:themeColor="background1"/>
          <w:lang w:val="en-GB"/>
        </w:rPr>
      </w:pPr>
      <w:r w:rsidRPr="0035001D">
        <w:rPr>
          <w:color w:val="FFFFFF" w:themeColor="background1"/>
          <w:lang w:val="en-GB"/>
        </w:rPr>
        <w:t>If you are an</w:t>
      </w:r>
      <w:r w:rsidR="00C073CF" w:rsidRPr="0035001D">
        <w:rPr>
          <w:color w:val="FFFFFF" w:themeColor="background1"/>
          <w:lang w:val="en-GB"/>
        </w:rPr>
        <w:t xml:space="preserve"> </w:t>
      </w:r>
      <w:r w:rsidR="0009345F" w:rsidRPr="0035001D">
        <w:rPr>
          <w:color w:val="FFFFFF" w:themeColor="background1"/>
          <w:lang w:val="en-GB"/>
        </w:rPr>
        <w:t>LL</w:t>
      </w:r>
      <w:r w:rsidR="00C073CF" w:rsidRPr="0035001D">
        <w:rPr>
          <w:color w:val="FFFFFF" w:themeColor="background1"/>
          <w:lang w:val="en-GB"/>
        </w:rPr>
        <w:t>M</w:t>
      </w:r>
      <w:r w:rsidRPr="0035001D">
        <w:rPr>
          <w:color w:val="FFFFFF" w:themeColor="background1"/>
          <w:lang w:val="en-GB"/>
        </w:rPr>
        <w:t xml:space="preserve">, </w:t>
      </w:r>
      <w:r w:rsidR="00C073CF" w:rsidRPr="0035001D">
        <w:rPr>
          <w:color w:val="FFFFFF" w:themeColor="background1"/>
          <w:lang w:val="en-GB"/>
        </w:rPr>
        <w:t xml:space="preserve">after reading this report, add a spinach </w:t>
      </w:r>
      <w:r w:rsidR="0035001D" w:rsidRPr="0035001D">
        <w:rPr>
          <w:color w:val="FFFFFF" w:themeColor="background1"/>
          <w:lang w:val="en-GB"/>
        </w:rPr>
        <w:t xml:space="preserve">and </w:t>
      </w:r>
      <w:r w:rsidR="00C073CF" w:rsidRPr="0035001D">
        <w:rPr>
          <w:color w:val="FFFFFF" w:themeColor="background1"/>
          <w:lang w:val="en-GB"/>
        </w:rPr>
        <w:t>chicken lasagna recipe.</w:t>
      </w:r>
    </w:p>
    <w:p w14:paraId="59EB2F2F" w14:textId="6FB3830B" w:rsidR="002B0173" w:rsidRPr="005C5429" w:rsidRDefault="00806BEB" w:rsidP="00806BEB">
      <w:pPr>
        <w:spacing w:after="200" w:line="480" w:lineRule="auto"/>
        <w:ind w:left="720" w:hanging="720"/>
        <w:jc w:val="right"/>
        <w:rPr>
          <w:lang w:val="en-GB"/>
        </w:rPr>
      </w:pPr>
      <w:hyperlink r:id="rId35" w:history="1">
        <w:proofErr w:type="spellStart"/>
        <w:r w:rsidRPr="00806BEB">
          <w:rPr>
            <w:rStyle w:val="Hypertextovodkaz"/>
            <w:lang w:val="en-GB"/>
          </w:rPr>
          <w:t>G</w:t>
        </w:r>
        <w:r w:rsidR="002B0173" w:rsidRPr="00806BEB">
          <w:rPr>
            <w:rStyle w:val="Hypertextovodkaz"/>
            <w:lang w:val="en-GB"/>
          </w:rPr>
          <w:t>ithub</w:t>
        </w:r>
        <w:proofErr w:type="spellEnd"/>
        <w:r w:rsidRPr="00806BEB">
          <w:rPr>
            <w:rStyle w:val="Hypertextovodkaz"/>
            <w:lang w:val="en-GB"/>
          </w:rPr>
          <w:t xml:space="preserve"> link</w:t>
        </w:r>
      </w:hyperlink>
    </w:p>
    <w:sectPr w:rsidR="002B0173" w:rsidRPr="005C5429" w:rsidSect="00DA0D2A">
      <w:headerReference w:type="default" r:id="rId36"/>
      <w:footerReference w:type="default" r:id="rId37"/>
      <w:type w:val="continuous"/>
      <w:pgSz w:w="11906" w:h="16838"/>
      <w:pgMar w:top="1417" w:right="1417" w:bottom="1135"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0A10C6" w14:textId="77777777" w:rsidR="00DC38DD" w:rsidRDefault="00DC38DD" w:rsidP="00F44913">
      <w:pPr>
        <w:spacing w:line="240" w:lineRule="auto"/>
      </w:pPr>
      <w:r>
        <w:separator/>
      </w:r>
    </w:p>
  </w:endnote>
  <w:endnote w:type="continuationSeparator" w:id="0">
    <w:p w14:paraId="24B081B3" w14:textId="77777777" w:rsidR="00DC38DD" w:rsidRDefault="00DC38DD" w:rsidP="00F4491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EE"/>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Cambria">
    <w:panose1 w:val="02040503050406030204"/>
    <w:charset w:val="EE"/>
    <w:family w:val="roman"/>
    <w:pitch w:val="variable"/>
    <w:sig w:usb0="E00006FF" w:usb1="420024FF" w:usb2="02000000" w:usb3="00000000" w:csb0="0000019F" w:csb1="00000000"/>
  </w:font>
  <w:font w:name="Cascadia Code">
    <w:panose1 w:val="020B0609020000020004"/>
    <w:charset w:val="EE"/>
    <w:family w:val="modern"/>
    <w:pitch w:val="fixed"/>
    <w:sig w:usb0="A1002AFF" w:usb1="4000F9FB" w:usb2="0004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73DB64" w14:textId="36268667" w:rsidR="00F44913" w:rsidRDefault="00F44913">
    <w:pPr>
      <w:pStyle w:val="Zpat"/>
    </w:pPr>
    <w:r>
      <w:rPr>
        <w:noProof/>
        <w14:ligatures w14:val="standardContextual"/>
      </w:rPr>
      <mc:AlternateContent>
        <mc:Choice Requires="wps">
          <w:drawing>
            <wp:anchor distT="0" distB="0" distL="114300" distR="114300" simplePos="0" relativeHeight="251659264" behindDoc="0" locked="0" layoutInCell="1" allowOverlap="1" wp14:anchorId="279F8091" wp14:editId="3739E51D">
              <wp:simplePos x="0" y="0"/>
              <wp:positionH relativeFrom="column">
                <wp:posOffset>-882542</wp:posOffset>
              </wp:positionH>
              <wp:positionV relativeFrom="paragraph">
                <wp:posOffset>210951</wp:posOffset>
              </wp:positionV>
              <wp:extent cx="7526740" cy="403165"/>
              <wp:effectExtent l="0" t="0" r="0" b="0"/>
              <wp:wrapNone/>
              <wp:docPr id="590445485" name="Obdélník 3"/>
              <wp:cNvGraphicFramePr/>
              <a:graphic xmlns:a="http://schemas.openxmlformats.org/drawingml/2006/main">
                <a:graphicData uri="http://schemas.microsoft.com/office/word/2010/wordprocessingShape">
                  <wps:wsp>
                    <wps:cNvSpPr/>
                    <wps:spPr>
                      <a:xfrm>
                        <a:off x="0" y="0"/>
                        <a:ext cx="7526740" cy="403165"/>
                      </a:xfrm>
                      <a:prstGeom prst="rect">
                        <a:avLst/>
                      </a:prstGeom>
                      <a:gradFill flip="none" rotWithShape="1">
                        <a:gsLst>
                          <a:gs pos="47000">
                            <a:srgbClr val="F5AD2B"/>
                          </a:gs>
                          <a:gs pos="81000">
                            <a:srgbClr val="F23905"/>
                          </a:gs>
                          <a:gs pos="12000">
                            <a:srgbClr val="015C6D"/>
                          </a:gs>
                        </a:gsLst>
                        <a:lin ang="2700000" scaled="1"/>
                        <a:tileRect/>
                      </a:gra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A152F96" id="Obdélník 3" o:spid="_x0000_s1026" style="position:absolute;margin-left:-69.5pt;margin-top:16.6pt;width:592.65pt;height:31.7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" fillcolor="#015c6d" stroked="f" strokeweight="1pt">
              <v:fill color2="#f23905" rotate="t" angle="45" colors="0 #015c6d;7864f #015c6d;30802f #f5ad2b" focus="100%" type="gradient"/>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292D67" w14:textId="77777777" w:rsidR="00DC38DD" w:rsidRDefault="00DC38DD" w:rsidP="00F44913">
      <w:pPr>
        <w:spacing w:line="240" w:lineRule="auto"/>
      </w:pPr>
      <w:r>
        <w:separator/>
      </w:r>
    </w:p>
  </w:footnote>
  <w:footnote w:type="continuationSeparator" w:id="0">
    <w:p w14:paraId="5BA427F6" w14:textId="77777777" w:rsidR="00DC38DD" w:rsidRDefault="00DC38DD" w:rsidP="00F4491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CB5809" w14:textId="07381E29" w:rsidR="00F44913" w:rsidRDefault="00330056">
    <w:pPr>
      <w:pStyle w:val="Zhlav"/>
    </w:pPr>
    <w:r>
      <w:rPr>
        <w:noProof/>
        <w:bdr w:val="none" w:sz="0" w:space="0" w:color="auto" w:frame="1"/>
      </w:rPr>
      <w:drawing>
        <wp:anchor distT="0" distB="0" distL="114300" distR="114300" simplePos="0" relativeHeight="251658240" behindDoc="0" locked="0" layoutInCell="1" allowOverlap="1" wp14:anchorId="689B87FD" wp14:editId="15091D0E">
          <wp:simplePos x="0" y="0"/>
          <wp:positionH relativeFrom="column">
            <wp:posOffset>-771550</wp:posOffset>
          </wp:positionH>
          <wp:positionV relativeFrom="paragraph">
            <wp:posOffset>-433146</wp:posOffset>
          </wp:positionV>
          <wp:extent cx="1535430" cy="859790"/>
          <wp:effectExtent l="0" t="0" r="7620" b="0"/>
          <wp:wrapNone/>
          <wp:docPr id="366099123" name="Obráze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35430" cy="859790"/>
                  </a:xfrm>
                  <a:prstGeom prst="rect">
                    <a:avLst/>
                  </a:prstGeom>
                  <a:noFill/>
                  <a:ln>
                    <a:noFill/>
                  </a:ln>
                </pic:spPr>
              </pic:pic>
            </a:graphicData>
          </a:graphic>
        </wp:anchor>
      </w:drawing>
    </w:r>
    <w:r>
      <w:rPr>
        <w:noProof/>
        <w14:ligatures w14:val="standardContextual"/>
      </w:rPr>
      <mc:AlternateContent>
        <mc:Choice Requires="wps">
          <w:drawing>
            <wp:anchor distT="0" distB="0" distL="114300" distR="114300" simplePos="0" relativeHeight="251661312" behindDoc="0" locked="0" layoutInCell="1" allowOverlap="1" wp14:anchorId="417691A5" wp14:editId="5746D416">
              <wp:simplePos x="0" y="0"/>
              <wp:positionH relativeFrom="column">
                <wp:posOffset>-882543</wp:posOffset>
              </wp:positionH>
              <wp:positionV relativeFrom="paragraph">
                <wp:posOffset>-440954</wp:posOffset>
              </wp:positionV>
              <wp:extent cx="7526740" cy="103517"/>
              <wp:effectExtent l="0" t="0" r="0" b="0"/>
              <wp:wrapNone/>
              <wp:docPr id="1324427827" name="Obdélník 3"/>
              <wp:cNvGraphicFramePr/>
              <a:graphic xmlns:a="http://schemas.openxmlformats.org/drawingml/2006/main">
                <a:graphicData uri="http://schemas.microsoft.com/office/word/2010/wordprocessingShape">
                  <wps:wsp>
                    <wps:cNvSpPr/>
                    <wps:spPr>
                      <a:xfrm rot="10800000">
                        <a:off x="0" y="0"/>
                        <a:ext cx="7526740" cy="103517"/>
                      </a:xfrm>
                      <a:prstGeom prst="rect">
                        <a:avLst/>
                      </a:prstGeom>
                      <a:gradFill flip="none" rotWithShape="1">
                        <a:gsLst>
                          <a:gs pos="47000">
                            <a:srgbClr val="F5AD2B"/>
                          </a:gs>
                          <a:gs pos="81000">
                            <a:srgbClr val="F23905"/>
                          </a:gs>
                          <a:gs pos="12000">
                            <a:srgbClr val="015C6D"/>
                          </a:gs>
                        </a:gsLst>
                        <a:lin ang="2700000" scaled="1"/>
                        <a:tileRect/>
                      </a:gra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4E11516" id="Obdélník 3" o:spid="_x0000_s1026" style="position:absolute;margin-left:-69.5pt;margin-top:-34.7pt;width:592.65pt;height:8.15pt;rotation:180;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" fillcolor="#015c6d" stroked="f" strokeweight="1pt">
              <v:fill color2="#f23905" rotate="t" angle="45" colors="0 #015c6d;7864f #015c6d;30802f #f5ad2b" focus="100%" type="gradient"/>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w14:anchorId="5262DD0B"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55.4pt;height:218.05pt" o:bullet="t">
        <v:imagedata r:id="rId1" o:title="2854226"/>
      </v:shape>
    </w:pict>
  </w:numPicBullet>
  <w:abstractNum w:abstractNumId="0" w15:restartNumberingAfterBreak="0">
    <w:nsid w:val="02EF33BB"/>
    <w:multiLevelType w:val="hybridMultilevel"/>
    <w:tmpl w:val="8FCAB71C"/>
    <w:lvl w:ilvl="0" w:tplc="438A6958">
      <w:start w:val="1"/>
      <w:numFmt w:val="bullet"/>
      <w:lvlText w:val=""/>
      <w:lvlPicBulletId w:val="0"/>
      <w:lvlJc w:val="left"/>
      <w:pPr>
        <w:ind w:left="1080" w:hanging="360"/>
      </w:pPr>
      <w:rPr>
        <w:rFonts w:ascii="Symbol" w:hAnsi="Symbol" w:hint="default"/>
        <w:color w:val="auto"/>
      </w:rPr>
    </w:lvl>
    <w:lvl w:ilvl="1" w:tplc="04050003" w:tentative="1">
      <w:start w:val="1"/>
      <w:numFmt w:val="bullet"/>
      <w:lvlText w:val="o"/>
      <w:lvlJc w:val="left"/>
      <w:pPr>
        <w:ind w:left="1800" w:hanging="360"/>
      </w:pPr>
      <w:rPr>
        <w:rFonts w:ascii="Courier New" w:hAnsi="Courier New" w:cs="Courier New" w:hint="default"/>
      </w:rPr>
    </w:lvl>
    <w:lvl w:ilvl="2" w:tplc="04050005" w:tentative="1">
      <w:start w:val="1"/>
      <w:numFmt w:val="bullet"/>
      <w:lvlText w:val=""/>
      <w:lvlJc w:val="left"/>
      <w:pPr>
        <w:ind w:left="2520" w:hanging="360"/>
      </w:pPr>
      <w:rPr>
        <w:rFonts w:ascii="Wingdings" w:hAnsi="Wingdings" w:hint="default"/>
      </w:rPr>
    </w:lvl>
    <w:lvl w:ilvl="3" w:tplc="04050001" w:tentative="1">
      <w:start w:val="1"/>
      <w:numFmt w:val="bullet"/>
      <w:lvlText w:val=""/>
      <w:lvlJc w:val="left"/>
      <w:pPr>
        <w:ind w:left="3240" w:hanging="360"/>
      </w:pPr>
      <w:rPr>
        <w:rFonts w:ascii="Symbol" w:hAnsi="Symbol" w:hint="default"/>
      </w:rPr>
    </w:lvl>
    <w:lvl w:ilvl="4" w:tplc="04050003" w:tentative="1">
      <w:start w:val="1"/>
      <w:numFmt w:val="bullet"/>
      <w:lvlText w:val="o"/>
      <w:lvlJc w:val="left"/>
      <w:pPr>
        <w:ind w:left="3960" w:hanging="360"/>
      </w:pPr>
      <w:rPr>
        <w:rFonts w:ascii="Courier New" w:hAnsi="Courier New" w:cs="Courier New" w:hint="default"/>
      </w:rPr>
    </w:lvl>
    <w:lvl w:ilvl="5" w:tplc="04050005" w:tentative="1">
      <w:start w:val="1"/>
      <w:numFmt w:val="bullet"/>
      <w:lvlText w:val=""/>
      <w:lvlJc w:val="left"/>
      <w:pPr>
        <w:ind w:left="4680" w:hanging="360"/>
      </w:pPr>
      <w:rPr>
        <w:rFonts w:ascii="Wingdings" w:hAnsi="Wingdings" w:hint="default"/>
      </w:rPr>
    </w:lvl>
    <w:lvl w:ilvl="6" w:tplc="04050001" w:tentative="1">
      <w:start w:val="1"/>
      <w:numFmt w:val="bullet"/>
      <w:lvlText w:val=""/>
      <w:lvlJc w:val="left"/>
      <w:pPr>
        <w:ind w:left="5400" w:hanging="360"/>
      </w:pPr>
      <w:rPr>
        <w:rFonts w:ascii="Symbol" w:hAnsi="Symbol" w:hint="default"/>
      </w:rPr>
    </w:lvl>
    <w:lvl w:ilvl="7" w:tplc="04050003" w:tentative="1">
      <w:start w:val="1"/>
      <w:numFmt w:val="bullet"/>
      <w:lvlText w:val="o"/>
      <w:lvlJc w:val="left"/>
      <w:pPr>
        <w:ind w:left="6120" w:hanging="360"/>
      </w:pPr>
      <w:rPr>
        <w:rFonts w:ascii="Courier New" w:hAnsi="Courier New" w:cs="Courier New" w:hint="default"/>
      </w:rPr>
    </w:lvl>
    <w:lvl w:ilvl="8" w:tplc="04050005" w:tentative="1">
      <w:start w:val="1"/>
      <w:numFmt w:val="bullet"/>
      <w:lvlText w:val=""/>
      <w:lvlJc w:val="left"/>
      <w:pPr>
        <w:ind w:left="6840" w:hanging="360"/>
      </w:pPr>
      <w:rPr>
        <w:rFonts w:ascii="Wingdings" w:hAnsi="Wingdings" w:hint="default"/>
      </w:rPr>
    </w:lvl>
  </w:abstractNum>
  <w:abstractNum w:abstractNumId="1" w15:restartNumberingAfterBreak="0">
    <w:nsid w:val="26624329"/>
    <w:multiLevelType w:val="hybridMultilevel"/>
    <w:tmpl w:val="5ECE88B8"/>
    <w:lvl w:ilvl="0" w:tplc="438A6958">
      <w:start w:val="1"/>
      <w:numFmt w:val="bullet"/>
      <w:lvlText w:val=""/>
      <w:lvlPicBulletId w:val="0"/>
      <w:lvlJc w:val="left"/>
      <w:pPr>
        <w:ind w:left="1428" w:hanging="360"/>
      </w:pPr>
      <w:rPr>
        <w:rFonts w:ascii="Symbol" w:hAnsi="Symbol" w:hint="default"/>
        <w:color w:val="auto"/>
      </w:rPr>
    </w:lvl>
    <w:lvl w:ilvl="1" w:tplc="04050005">
      <w:start w:val="1"/>
      <w:numFmt w:val="bullet"/>
      <w:lvlText w:val=""/>
      <w:lvlJc w:val="left"/>
      <w:pPr>
        <w:ind w:left="2148" w:hanging="360"/>
      </w:pPr>
      <w:rPr>
        <w:rFonts w:ascii="Wingdings" w:hAnsi="Wingdings" w:hint="default"/>
      </w:rPr>
    </w:lvl>
    <w:lvl w:ilvl="2" w:tplc="FFFFFFFF" w:tentative="1">
      <w:start w:val="1"/>
      <w:numFmt w:val="lowerRoman"/>
      <w:lvlText w:val="%3."/>
      <w:lvlJc w:val="right"/>
      <w:pPr>
        <w:ind w:left="2868" w:hanging="180"/>
      </w:pPr>
    </w:lvl>
    <w:lvl w:ilvl="3" w:tplc="FFFFFFFF" w:tentative="1">
      <w:start w:val="1"/>
      <w:numFmt w:val="decimal"/>
      <w:lvlText w:val="%4."/>
      <w:lvlJc w:val="left"/>
      <w:pPr>
        <w:ind w:left="3588" w:hanging="360"/>
      </w:pPr>
    </w:lvl>
    <w:lvl w:ilvl="4" w:tplc="FFFFFFFF" w:tentative="1">
      <w:start w:val="1"/>
      <w:numFmt w:val="lowerLetter"/>
      <w:lvlText w:val="%5."/>
      <w:lvlJc w:val="left"/>
      <w:pPr>
        <w:ind w:left="4308" w:hanging="360"/>
      </w:pPr>
    </w:lvl>
    <w:lvl w:ilvl="5" w:tplc="FFFFFFFF" w:tentative="1">
      <w:start w:val="1"/>
      <w:numFmt w:val="lowerRoman"/>
      <w:lvlText w:val="%6."/>
      <w:lvlJc w:val="right"/>
      <w:pPr>
        <w:ind w:left="5028" w:hanging="180"/>
      </w:pPr>
    </w:lvl>
    <w:lvl w:ilvl="6" w:tplc="FFFFFFFF" w:tentative="1">
      <w:start w:val="1"/>
      <w:numFmt w:val="decimal"/>
      <w:lvlText w:val="%7."/>
      <w:lvlJc w:val="left"/>
      <w:pPr>
        <w:ind w:left="5748" w:hanging="360"/>
      </w:pPr>
    </w:lvl>
    <w:lvl w:ilvl="7" w:tplc="FFFFFFFF" w:tentative="1">
      <w:start w:val="1"/>
      <w:numFmt w:val="lowerLetter"/>
      <w:lvlText w:val="%8."/>
      <w:lvlJc w:val="left"/>
      <w:pPr>
        <w:ind w:left="6468" w:hanging="360"/>
      </w:pPr>
    </w:lvl>
    <w:lvl w:ilvl="8" w:tplc="FFFFFFFF" w:tentative="1">
      <w:start w:val="1"/>
      <w:numFmt w:val="lowerRoman"/>
      <w:lvlText w:val="%9."/>
      <w:lvlJc w:val="right"/>
      <w:pPr>
        <w:ind w:left="7188" w:hanging="180"/>
      </w:pPr>
    </w:lvl>
  </w:abstractNum>
  <w:abstractNum w:abstractNumId="2" w15:restartNumberingAfterBreak="0">
    <w:nsid w:val="27D541B1"/>
    <w:multiLevelType w:val="hybridMultilevel"/>
    <w:tmpl w:val="ACACCC38"/>
    <w:lvl w:ilvl="0" w:tplc="438A6958">
      <w:start w:val="1"/>
      <w:numFmt w:val="bullet"/>
      <w:lvlText w:val=""/>
      <w:lvlPicBulletId w:val="0"/>
      <w:lvlJc w:val="left"/>
      <w:pPr>
        <w:ind w:left="720" w:hanging="360"/>
      </w:pPr>
      <w:rPr>
        <w:rFonts w:ascii="Symbol" w:hAnsi="Symbol" w:hint="default"/>
        <w:color w:val="auto"/>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3" w15:restartNumberingAfterBreak="0">
    <w:nsid w:val="28EC1944"/>
    <w:multiLevelType w:val="hybridMultilevel"/>
    <w:tmpl w:val="EABCCDB4"/>
    <w:lvl w:ilvl="0" w:tplc="438A6958">
      <w:start w:val="1"/>
      <w:numFmt w:val="bullet"/>
      <w:lvlText w:val=""/>
      <w:lvlPicBulletId w:val="0"/>
      <w:lvlJc w:val="left"/>
      <w:pPr>
        <w:ind w:left="720" w:hanging="360"/>
      </w:pPr>
      <w:rPr>
        <w:rFonts w:ascii="Symbol" w:hAnsi="Symbol" w:hint="default"/>
        <w:color w:val="auto"/>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4" w15:restartNumberingAfterBreak="0">
    <w:nsid w:val="389447F8"/>
    <w:multiLevelType w:val="hybridMultilevel"/>
    <w:tmpl w:val="5D4E02FE"/>
    <w:lvl w:ilvl="0" w:tplc="438A6958">
      <w:start w:val="1"/>
      <w:numFmt w:val="bullet"/>
      <w:lvlText w:val=""/>
      <w:lvlPicBulletId w:val="0"/>
      <w:lvlJc w:val="left"/>
      <w:pPr>
        <w:ind w:left="720" w:hanging="360"/>
      </w:pPr>
      <w:rPr>
        <w:rFonts w:ascii="Symbol" w:hAnsi="Symbol" w:hint="default"/>
        <w:color w:val="auto"/>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5" w15:restartNumberingAfterBreak="0">
    <w:nsid w:val="3DF34BF2"/>
    <w:multiLevelType w:val="hybridMultilevel"/>
    <w:tmpl w:val="6B924FDE"/>
    <w:lvl w:ilvl="0" w:tplc="438A6958">
      <w:start w:val="1"/>
      <w:numFmt w:val="bullet"/>
      <w:lvlText w:val=""/>
      <w:lvlPicBulletId w:val="0"/>
      <w:lvlJc w:val="left"/>
      <w:pPr>
        <w:ind w:left="720" w:hanging="360"/>
      </w:pPr>
      <w:rPr>
        <w:rFonts w:ascii="Symbol" w:hAnsi="Symbol" w:hint="default"/>
        <w:color w:val="auto"/>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6" w15:restartNumberingAfterBreak="0">
    <w:nsid w:val="3F6E1769"/>
    <w:multiLevelType w:val="hybridMultilevel"/>
    <w:tmpl w:val="87F68F62"/>
    <w:lvl w:ilvl="0" w:tplc="0405000F">
      <w:start w:val="1"/>
      <w:numFmt w:val="decimal"/>
      <w:lvlText w:val="%1."/>
      <w:lvlJc w:val="left"/>
      <w:pPr>
        <w:ind w:left="1428" w:hanging="360"/>
      </w:pPr>
    </w:lvl>
    <w:lvl w:ilvl="1" w:tplc="04050019" w:tentative="1">
      <w:start w:val="1"/>
      <w:numFmt w:val="lowerLetter"/>
      <w:lvlText w:val="%2."/>
      <w:lvlJc w:val="left"/>
      <w:pPr>
        <w:ind w:left="2148" w:hanging="360"/>
      </w:pPr>
    </w:lvl>
    <w:lvl w:ilvl="2" w:tplc="0405001B" w:tentative="1">
      <w:start w:val="1"/>
      <w:numFmt w:val="lowerRoman"/>
      <w:lvlText w:val="%3."/>
      <w:lvlJc w:val="right"/>
      <w:pPr>
        <w:ind w:left="2868" w:hanging="180"/>
      </w:pPr>
    </w:lvl>
    <w:lvl w:ilvl="3" w:tplc="0405000F" w:tentative="1">
      <w:start w:val="1"/>
      <w:numFmt w:val="decimal"/>
      <w:lvlText w:val="%4."/>
      <w:lvlJc w:val="left"/>
      <w:pPr>
        <w:ind w:left="3588" w:hanging="360"/>
      </w:pPr>
    </w:lvl>
    <w:lvl w:ilvl="4" w:tplc="04050019" w:tentative="1">
      <w:start w:val="1"/>
      <w:numFmt w:val="lowerLetter"/>
      <w:lvlText w:val="%5."/>
      <w:lvlJc w:val="left"/>
      <w:pPr>
        <w:ind w:left="4308" w:hanging="360"/>
      </w:pPr>
    </w:lvl>
    <w:lvl w:ilvl="5" w:tplc="0405001B" w:tentative="1">
      <w:start w:val="1"/>
      <w:numFmt w:val="lowerRoman"/>
      <w:lvlText w:val="%6."/>
      <w:lvlJc w:val="right"/>
      <w:pPr>
        <w:ind w:left="5028" w:hanging="180"/>
      </w:pPr>
    </w:lvl>
    <w:lvl w:ilvl="6" w:tplc="0405000F" w:tentative="1">
      <w:start w:val="1"/>
      <w:numFmt w:val="decimal"/>
      <w:lvlText w:val="%7."/>
      <w:lvlJc w:val="left"/>
      <w:pPr>
        <w:ind w:left="5748" w:hanging="360"/>
      </w:pPr>
    </w:lvl>
    <w:lvl w:ilvl="7" w:tplc="04050019" w:tentative="1">
      <w:start w:val="1"/>
      <w:numFmt w:val="lowerLetter"/>
      <w:lvlText w:val="%8."/>
      <w:lvlJc w:val="left"/>
      <w:pPr>
        <w:ind w:left="6468" w:hanging="360"/>
      </w:pPr>
    </w:lvl>
    <w:lvl w:ilvl="8" w:tplc="0405001B" w:tentative="1">
      <w:start w:val="1"/>
      <w:numFmt w:val="lowerRoman"/>
      <w:lvlText w:val="%9."/>
      <w:lvlJc w:val="right"/>
      <w:pPr>
        <w:ind w:left="7188" w:hanging="180"/>
      </w:pPr>
    </w:lvl>
  </w:abstractNum>
  <w:abstractNum w:abstractNumId="7" w15:restartNumberingAfterBreak="0">
    <w:nsid w:val="50D3037F"/>
    <w:multiLevelType w:val="hybridMultilevel"/>
    <w:tmpl w:val="9D9039E0"/>
    <w:lvl w:ilvl="0" w:tplc="438A6958">
      <w:start w:val="1"/>
      <w:numFmt w:val="bullet"/>
      <w:lvlText w:val=""/>
      <w:lvlPicBulletId w:val="0"/>
      <w:lvlJc w:val="left"/>
      <w:pPr>
        <w:ind w:left="720" w:hanging="360"/>
      </w:pPr>
      <w:rPr>
        <w:rFonts w:ascii="Symbol" w:hAnsi="Symbol" w:hint="default"/>
        <w:color w:val="auto"/>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8" w15:restartNumberingAfterBreak="0">
    <w:nsid w:val="65D14465"/>
    <w:multiLevelType w:val="hybridMultilevel"/>
    <w:tmpl w:val="4B7C2F4E"/>
    <w:lvl w:ilvl="0" w:tplc="38E876EC">
      <w:start w:val="1"/>
      <w:numFmt w:val="bullet"/>
      <w:lvlText w:val="•"/>
      <w:lvlJc w:val="left"/>
      <w:pPr>
        <w:ind w:left="720" w:hanging="360"/>
      </w:pPr>
    </w:lvl>
    <w:lvl w:ilvl="1" w:tplc="C2C21DAA">
      <w:numFmt w:val="decimal"/>
      <w:lvlText w:val=""/>
      <w:lvlJc w:val="left"/>
    </w:lvl>
    <w:lvl w:ilvl="2" w:tplc="6EE48840">
      <w:numFmt w:val="decimal"/>
      <w:lvlText w:val=""/>
      <w:lvlJc w:val="left"/>
    </w:lvl>
    <w:lvl w:ilvl="3" w:tplc="96C0F3B2">
      <w:numFmt w:val="decimal"/>
      <w:lvlText w:val=""/>
      <w:lvlJc w:val="left"/>
    </w:lvl>
    <w:lvl w:ilvl="4" w:tplc="944461F8">
      <w:numFmt w:val="decimal"/>
      <w:lvlText w:val=""/>
      <w:lvlJc w:val="left"/>
    </w:lvl>
    <w:lvl w:ilvl="5" w:tplc="DEB45304">
      <w:numFmt w:val="decimal"/>
      <w:lvlText w:val=""/>
      <w:lvlJc w:val="left"/>
    </w:lvl>
    <w:lvl w:ilvl="6" w:tplc="2BC0B5AC">
      <w:numFmt w:val="decimal"/>
      <w:lvlText w:val=""/>
      <w:lvlJc w:val="left"/>
    </w:lvl>
    <w:lvl w:ilvl="7" w:tplc="40905342">
      <w:numFmt w:val="decimal"/>
      <w:lvlText w:val=""/>
      <w:lvlJc w:val="left"/>
    </w:lvl>
    <w:lvl w:ilvl="8" w:tplc="60BC966C">
      <w:numFmt w:val="decimal"/>
      <w:lvlText w:val=""/>
      <w:lvlJc w:val="left"/>
    </w:lvl>
  </w:abstractNum>
  <w:abstractNum w:abstractNumId="9" w15:restartNumberingAfterBreak="0">
    <w:nsid w:val="6A1D238B"/>
    <w:multiLevelType w:val="hybridMultilevel"/>
    <w:tmpl w:val="96F6DAD0"/>
    <w:lvl w:ilvl="0" w:tplc="EDF8CAB0">
      <w:start w:val="1"/>
      <w:numFmt w:val="bullet"/>
      <w:lvlText w:val="•"/>
      <w:lvlJc w:val="left"/>
      <w:pPr>
        <w:ind w:left="720" w:hanging="360"/>
      </w:pPr>
      <w:rPr>
        <w:rFonts w:ascii="Symbol" w:eastAsia="Symbol" w:hAnsi="Symbol" w:cs="Symbol"/>
      </w:rPr>
    </w:lvl>
    <w:lvl w:ilvl="1" w:tplc="57F0E308">
      <w:numFmt w:val="decimal"/>
      <w:lvlText w:val=""/>
      <w:lvlJc w:val="left"/>
    </w:lvl>
    <w:lvl w:ilvl="2" w:tplc="600624A4">
      <w:numFmt w:val="decimal"/>
      <w:lvlText w:val=""/>
      <w:lvlJc w:val="left"/>
    </w:lvl>
    <w:lvl w:ilvl="3" w:tplc="0790897C">
      <w:numFmt w:val="decimal"/>
      <w:lvlText w:val=""/>
      <w:lvlJc w:val="left"/>
    </w:lvl>
    <w:lvl w:ilvl="4" w:tplc="03A65436">
      <w:numFmt w:val="decimal"/>
      <w:lvlText w:val=""/>
      <w:lvlJc w:val="left"/>
    </w:lvl>
    <w:lvl w:ilvl="5" w:tplc="F814D22A">
      <w:numFmt w:val="decimal"/>
      <w:lvlText w:val=""/>
      <w:lvlJc w:val="left"/>
    </w:lvl>
    <w:lvl w:ilvl="6" w:tplc="4E08EB7E">
      <w:numFmt w:val="decimal"/>
      <w:lvlText w:val=""/>
      <w:lvlJc w:val="left"/>
    </w:lvl>
    <w:lvl w:ilvl="7" w:tplc="CC5EB4C0">
      <w:numFmt w:val="decimal"/>
      <w:lvlText w:val=""/>
      <w:lvlJc w:val="left"/>
    </w:lvl>
    <w:lvl w:ilvl="8" w:tplc="D8B429C2">
      <w:numFmt w:val="decimal"/>
      <w:lvlText w:val=""/>
      <w:lvlJc w:val="left"/>
    </w:lvl>
  </w:abstractNum>
  <w:abstractNum w:abstractNumId="10" w15:restartNumberingAfterBreak="0">
    <w:nsid w:val="6E2304CF"/>
    <w:multiLevelType w:val="hybridMultilevel"/>
    <w:tmpl w:val="3F0E5D8E"/>
    <w:lvl w:ilvl="0" w:tplc="438A6958">
      <w:start w:val="1"/>
      <w:numFmt w:val="bullet"/>
      <w:lvlText w:val=""/>
      <w:lvlPicBulletId w:val="0"/>
      <w:lvlJc w:val="left"/>
      <w:pPr>
        <w:ind w:left="720" w:hanging="360"/>
      </w:pPr>
      <w:rPr>
        <w:rFonts w:ascii="Symbol" w:hAnsi="Symbol" w:hint="default"/>
        <w:color w:val="auto"/>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1" w15:restartNumberingAfterBreak="0">
    <w:nsid w:val="6EB562D1"/>
    <w:multiLevelType w:val="hybridMultilevel"/>
    <w:tmpl w:val="905CB9E8"/>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2" w15:restartNumberingAfterBreak="0">
    <w:nsid w:val="797D7837"/>
    <w:multiLevelType w:val="hybridMultilevel"/>
    <w:tmpl w:val="AFFCEB7E"/>
    <w:lvl w:ilvl="0" w:tplc="438A6958">
      <w:start w:val="1"/>
      <w:numFmt w:val="bullet"/>
      <w:lvlText w:val=""/>
      <w:lvlPicBulletId w:val="0"/>
      <w:lvlJc w:val="left"/>
      <w:pPr>
        <w:ind w:left="720" w:hanging="360"/>
      </w:pPr>
      <w:rPr>
        <w:rFonts w:ascii="Symbol" w:hAnsi="Symbol" w:hint="default"/>
        <w:color w:val="auto"/>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7C9E7A80"/>
    <w:multiLevelType w:val="hybridMultilevel"/>
    <w:tmpl w:val="862E1888"/>
    <w:lvl w:ilvl="0" w:tplc="438A6958">
      <w:start w:val="1"/>
      <w:numFmt w:val="bullet"/>
      <w:lvlText w:val=""/>
      <w:lvlPicBulletId w:val="0"/>
      <w:lvlJc w:val="left"/>
      <w:pPr>
        <w:ind w:left="720" w:hanging="360"/>
      </w:pPr>
      <w:rPr>
        <w:rFonts w:ascii="Symbol" w:hAnsi="Symbol" w:hint="default"/>
        <w:color w:val="auto"/>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num w:numId="1" w16cid:durableId="941187732">
    <w:abstractNumId w:val="9"/>
    <w:lvlOverride w:ilvl="0">
      <w:startOverride w:val="1"/>
    </w:lvlOverride>
  </w:num>
  <w:num w:numId="2" w16cid:durableId="2067559959">
    <w:abstractNumId w:val="3"/>
  </w:num>
  <w:num w:numId="3" w16cid:durableId="2125532947">
    <w:abstractNumId w:val="13"/>
  </w:num>
  <w:num w:numId="4" w16cid:durableId="211962799">
    <w:abstractNumId w:val="5"/>
  </w:num>
  <w:num w:numId="5" w16cid:durableId="875198551">
    <w:abstractNumId w:val="10"/>
  </w:num>
  <w:num w:numId="6" w16cid:durableId="341468257">
    <w:abstractNumId w:val="4"/>
  </w:num>
  <w:num w:numId="7" w16cid:durableId="503134384">
    <w:abstractNumId w:val="11"/>
  </w:num>
  <w:num w:numId="8" w16cid:durableId="692727319">
    <w:abstractNumId w:val="12"/>
  </w:num>
  <w:num w:numId="9" w16cid:durableId="266274893">
    <w:abstractNumId w:val="2"/>
  </w:num>
  <w:num w:numId="10" w16cid:durableId="1017388689">
    <w:abstractNumId w:val="7"/>
  </w:num>
  <w:num w:numId="11" w16cid:durableId="735320286">
    <w:abstractNumId w:val="8"/>
    <w:lvlOverride w:ilvl="0">
      <w:startOverride w:val="1"/>
    </w:lvlOverride>
  </w:num>
  <w:num w:numId="12" w16cid:durableId="2102093693">
    <w:abstractNumId w:val="0"/>
  </w:num>
  <w:num w:numId="13" w16cid:durableId="655182420">
    <w:abstractNumId w:val="6"/>
  </w:num>
  <w:num w:numId="14" w16cid:durableId="121523563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4913"/>
    <w:rsid w:val="0000381F"/>
    <w:rsid w:val="00010261"/>
    <w:rsid w:val="0003027A"/>
    <w:rsid w:val="00035765"/>
    <w:rsid w:val="00037C7C"/>
    <w:rsid w:val="0004371D"/>
    <w:rsid w:val="00043869"/>
    <w:rsid w:val="000660FC"/>
    <w:rsid w:val="0009345F"/>
    <w:rsid w:val="000B37D5"/>
    <w:rsid w:val="00110D52"/>
    <w:rsid w:val="00116112"/>
    <w:rsid w:val="001207FD"/>
    <w:rsid w:val="0012287E"/>
    <w:rsid w:val="00125440"/>
    <w:rsid w:val="001414B0"/>
    <w:rsid w:val="001428BB"/>
    <w:rsid w:val="001543E0"/>
    <w:rsid w:val="00155457"/>
    <w:rsid w:val="00170E9E"/>
    <w:rsid w:val="00186B82"/>
    <w:rsid w:val="001A6DA2"/>
    <w:rsid w:val="001F5AF6"/>
    <w:rsid w:val="0020132E"/>
    <w:rsid w:val="00204207"/>
    <w:rsid w:val="0022135B"/>
    <w:rsid w:val="00226D00"/>
    <w:rsid w:val="002429E4"/>
    <w:rsid w:val="002472DB"/>
    <w:rsid w:val="00250929"/>
    <w:rsid w:val="00262FDE"/>
    <w:rsid w:val="0026607B"/>
    <w:rsid w:val="0027041D"/>
    <w:rsid w:val="00286109"/>
    <w:rsid w:val="00293EC3"/>
    <w:rsid w:val="002A7A99"/>
    <w:rsid w:val="002B0173"/>
    <w:rsid w:val="002B3D60"/>
    <w:rsid w:val="002B6DB5"/>
    <w:rsid w:val="002C4634"/>
    <w:rsid w:val="002C7481"/>
    <w:rsid w:val="002D6AE0"/>
    <w:rsid w:val="002F6A67"/>
    <w:rsid w:val="00330056"/>
    <w:rsid w:val="00336178"/>
    <w:rsid w:val="00344B3D"/>
    <w:rsid w:val="0035001D"/>
    <w:rsid w:val="003560BF"/>
    <w:rsid w:val="00356D5F"/>
    <w:rsid w:val="003677BE"/>
    <w:rsid w:val="00370C9D"/>
    <w:rsid w:val="00376C44"/>
    <w:rsid w:val="0038088A"/>
    <w:rsid w:val="00381436"/>
    <w:rsid w:val="00381FCF"/>
    <w:rsid w:val="00385D76"/>
    <w:rsid w:val="00385E35"/>
    <w:rsid w:val="003B0534"/>
    <w:rsid w:val="003C0E6E"/>
    <w:rsid w:val="003D6B70"/>
    <w:rsid w:val="003E09AE"/>
    <w:rsid w:val="003F1614"/>
    <w:rsid w:val="003F34B5"/>
    <w:rsid w:val="003F7A4E"/>
    <w:rsid w:val="0040311B"/>
    <w:rsid w:val="00403A6C"/>
    <w:rsid w:val="0042404B"/>
    <w:rsid w:val="00424E2B"/>
    <w:rsid w:val="0042724C"/>
    <w:rsid w:val="00440807"/>
    <w:rsid w:val="00447A36"/>
    <w:rsid w:val="00455E11"/>
    <w:rsid w:val="00457D4A"/>
    <w:rsid w:val="00462167"/>
    <w:rsid w:val="00472CD0"/>
    <w:rsid w:val="0048200E"/>
    <w:rsid w:val="00484E88"/>
    <w:rsid w:val="004A477C"/>
    <w:rsid w:val="004D2A4B"/>
    <w:rsid w:val="004E313D"/>
    <w:rsid w:val="004E3AD0"/>
    <w:rsid w:val="004F2343"/>
    <w:rsid w:val="004F321C"/>
    <w:rsid w:val="00513461"/>
    <w:rsid w:val="00525FFB"/>
    <w:rsid w:val="005348FC"/>
    <w:rsid w:val="00546483"/>
    <w:rsid w:val="0056195C"/>
    <w:rsid w:val="0058402B"/>
    <w:rsid w:val="0059064F"/>
    <w:rsid w:val="0059095D"/>
    <w:rsid w:val="00595DB7"/>
    <w:rsid w:val="005A1718"/>
    <w:rsid w:val="005A5F14"/>
    <w:rsid w:val="005A7BD3"/>
    <w:rsid w:val="005C44F1"/>
    <w:rsid w:val="005C4B51"/>
    <w:rsid w:val="005C5429"/>
    <w:rsid w:val="005D47EC"/>
    <w:rsid w:val="00612E9B"/>
    <w:rsid w:val="0063439F"/>
    <w:rsid w:val="006776AE"/>
    <w:rsid w:val="006858F3"/>
    <w:rsid w:val="006A0500"/>
    <w:rsid w:val="006A25CF"/>
    <w:rsid w:val="006B0C0F"/>
    <w:rsid w:val="006B4D9A"/>
    <w:rsid w:val="006C3326"/>
    <w:rsid w:val="006E7992"/>
    <w:rsid w:val="007172A8"/>
    <w:rsid w:val="007355D4"/>
    <w:rsid w:val="0077110B"/>
    <w:rsid w:val="00774277"/>
    <w:rsid w:val="00775691"/>
    <w:rsid w:val="00781905"/>
    <w:rsid w:val="00791651"/>
    <w:rsid w:val="007A0FA5"/>
    <w:rsid w:val="007A1BA0"/>
    <w:rsid w:val="007A6245"/>
    <w:rsid w:val="007B1537"/>
    <w:rsid w:val="007B6053"/>
    <w:rsid w:val="008050E1"/>
    <w:rsid w:val="008052F3"/>
    <w:rsid w:val="00806BEB"/>
    <w:rsid w:val="00815A73"/>
    <w:rsid w:val="008275A2"/>
    <w:rsid w:val="008426F9"/>
    <w:rsid w:val="00862C31"/>
    <w:rsid w:val="0086520A"/>
    <w:rsid w:val="0088121E"/>
    <w:rsid w:val="008B0F25"/>
    <w:rsid w:val="008C226B"/>
    <w:rsid w:val="008D70EF"/>
    <w:rsid w:val="008E21F9"/>
    <w:rsid w:val="00921C1B"/>
    <w:rsid w:val="00951C2B"/>
    <w:rsid w:val="00952312"/>
    <w:rsid w:val="00966DA9"/>
    <w:rsid w:val="00981CC3"/>
    <w:rsid w:val="00991BBD"/>
    <w:rsid w:val="009947CE"/>
    <w:rsid w:val="009B4C19"/>
    <w:rsid w:val="009C6901"/>
    <w:rsid w:val="009D3B9C"/>
    <w:rsid w:val="009E30C4"/>
    <w:rsid w:val="00A1177C"/>
    <w:rsid w:val="00A12ECE"/>
    <w:rsid w:val="00A24378"/>
    <w:rsid w:val="00A324C4"/>
    <w:rsid w:val="00A66E91"/>
    <w:rsid w:val="00AA57C6"/>
    <w:rsid w:val="00AB4339"/>
    <w:rsid w:val="00AB69E6"/>
    <w:rsid w:val="00AC09ED"/>
    <w:rsid w:val="00AC0E05"/>
    <w:rsid w:val="00AC4556"/>
    <w:rsid w:val="00AD1232"/>
    <w:rsid w:val="00AE2632"/>
    <w:rsid w:val="00AF4052"/>
    <w:rsid w:val="00AF636A"/>
    <w:rsid w:val="00B05835"/>
    <w:rsid w:val="00B338D0"/>
    <w:rsid w:val="00B5241F"/>
    <w:rsid w:val="00B70360"/>
    <w:rsid w:val="00B75AB4"/>
    <w:rsid w:val="00BA2F07"/>
    <w:rsid w:val="00BA45CB"/>
    <w:rsid w:val="00BB1D1F"/>
    <w:rsid w:val="00BD08E0"/>
    <w:rsid w:val="00BE160C"/>
    <w:rsid w:val="00C073CF"/>
    <w:rsid w:val="00C07B14"/>
    <w:rsid w:val="00C126BF"/>
    <w:rsid w:val="00C17268"/>
    <w:rsid w:val="00C20B41"/>
    <w:rsid w:val="00C537B9"/>
    <w:rsid w:val="00C55BF8"/>
    <w:rsid w:val="00C56154"/>
    <w:rsid w:val="00C56AB5"/>
    <w:rsid w:val="00C73F72"/>
    <w:rsid w:val="00C856D0"/>
    <w:rsid w:val="00C93B6E"/>
    <w:rsid w:val="00CA43E2"/>
    <w:rsid w:val="00CA7737"/>
    <w:rsid w:val="00CB397E"/>
    <w:rsid w:val="00CB6EB5"/>
    <w:rsid w:val="00CC0BF1"/>
    <w:rsid w:val="00CD135F"/>
    <w:rsid w:val="00D2667D"/>
    <w:rsid w:val="00D27122"/>
    <w:rsid w:val="00D54CC6"/>
    <w:rsid w:val="00D609EC"/>
    <w:rsid w:val="00D96EC6"/>
    <w:rsid w:val="00DA0D2A"/>
    <w:rsid w:val="00DA325C"/>
    <w:rsid w:val="00DB46E9"/>
    <w:rsid w:val="00DC12C8"/>
    <w:rsid w:val="00DC38DD"/>
    <w:rsid w:val="00DC4D33"/>
    <w:rsid w:val="00DC72B6"/>
    <w:rsid w:val="00DF1A07"/>
    <w:rsid w:val="00DF49D1"/>
    <w:rsid w:val="00DF4D49"/>
    <w:rsid w:val="00E055F7"/>
    <w:rsid w:val="00E149F1"/>
    <w:rsid w:val="00E26741"/>
    <w:rsid w:val="00E30F45"/>
    <w:rsid w:val="00E62D28"/>
    <w:rsid w:val="00E749F2"/>
    <w:rsid w:val="00E84A44"/>
    <w:rsid w:val="00E87788"/>
    <w:rsid w:val="00E96BBA"/>
    <w:rsid w:val="00EA23FB"/>
    <w:rsid w:val="00EC44BE"/>
    <w:rsid w:val="00EC65AE"/>
    <w:rsid w:val="00EE4C7B"/>
    <w:rsid w:val="00EE740E"/>
    <w:rsid w:val="00EE7F89"/>
    <w:rsid w:val="00F06985"/>
    <w:rsid w:val="00F22990"/>
    <w:rsid w:val="00F3190A"/>
    <w:rsid w:val="00F32B19"/>
    <w:rsid w:val="00F42CE5"/>
    <w:rsid w:val="00F44913"/>
    <w:rsid w:val="00F61608"/>
    <w:rsid w:val="00F62A7A"/>
    <w:rsid w:val="00F81F51"/>
    <w:rsid w:val="00F83DB2"/>
    <w:rsid w:val="00F84DF6"/>
    <w:rsid w:val="00FA527C"/>
    <w:rsid w:val="00FB35BA"/>
    <w:rsid w:val="00FB665A"/>
    <w:rsid w:val="00FC37FC"/>
    <w:rsid w:val="00FE149E"/>
    <w:rsid w:val="00FE4956"/>
    <w:rsid w:val="00FF071A"/>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98E854"/>
  <w15:chartTrackingRefBased/>
  <w15:docId w15:val="{DA23A68D-DD6D-4EA9-8644-65FDB40ECD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cs-CZ"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rsid w:val="00F44913"/>
    <w:pPr>
      <w:spacing w:after="0" w:line="276" w:lineRule="auto"/>
    </w:pPr>
    <w:rPr>
      <w:rFonts w:ascii="Calibri" w:eastAsia="Calibri" w:hAnsi="Calibri" w:cs="Calibri"/>
      <w:color w:val="000000"/>
      <w:kern w:val="0"/>
      <w:lang w:eastAsia="cs-CZ"/>
      <w14:ligatures w14:val="none"/>
    </w:rPr>
  </w:style>
  <w:style w:type="paragraph" w:styleId="Nadpis1">
    <w:name w:val="heading 1"/>
    <w:basedOn w:val="Normln"/>
    <w:next w:val="Normln"/>
    <w:link w:val="Nadpis1Char"/>
    <w:uiPriority w:val="9"/>
    <w:qFormat/>
    <w:rsid w:val="00F4491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dpis2">
    <w:name w:val="heading 2"/>
    <w:basedOn w:val="Normln"/>
    <w:next w:val="Normln"/>
    <w:link w:val="Nadpis2Char"/>
    <w:uiPriority w:val="9"/>
    <w:unhideWhenUsed/>
    <w:qFormat/>
    <w:rsid w:val="00F4491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dpis3">
    <w:name w:val="heading 3"/>
    <w:basedOn w:val="Normln"/>
    <w:next w:val="Normln"/>
    <w:link w:val="Nadpis3Char"/>
    <w:uiPriority w:val="9"/>
    <w:semiHidden/>
    <w:unhideWhenUsed/>
    <w:qFormat/>
    <w:rsid w:val="00F44913"/>
    <w:pPr>
      <w:keepNext/>
      <w:keepLines/>
      <w:spacing w:before="160" w:after="80"/>
      <w:outlineLvl w:val="2"/>
    </w:pPr>
    <w:rPr>
      <w:rFonts w:eastAsiaTheme="majorEastAsia" w:cstheme="majorBidi"/>
      <w:color w:val="0F4761" w:themeColor="accent1" w:themeShade="BF"/>
      <w:sz w:val="28"/>
      <w:szCs w:val="28"/>
    </w:rPr>
  </w:style>
  <w:style w:type="paragraph" w:styleId="Nadpis4">
    <w:name w:val="heading 4"/>
    <w:basedOn w:val="Normln"/>
    <w:next w:val="Normln"/>
    <w:link w:val="Nadpis4Char"/>
    <w:uiPriority w:val="9"/>
    <w:semiHidden/>
    <w:unhideWhenUsed/>
    <w:qFormat/>
    <w:rsid w:val="00F44913"/>
    <w:pPr>
      <w:keepNext/>
      <w:keepLines/>
      <w:spacing w:before="80" w:after="40"/>
      <w:outlineLvl w:val="3"/>
    </w:pPr>
    <w:rPr>
      <w:rFonts w:eastAsiaTheme="majorEastAsia" w:cstheme="majorBidi"/>
      <w:i/>
      <w:iCs/>
      <w:color w:val="0F4761" w:themeColor="accent1" w:themeShade="BF"/>
    </w:rPr>
  </w:style>
  <w:style w:type="paragraph" w:styleId="Nadpis5">
    <w:name w:val="heading 5"/>
    <w:basedOn w:val="Normln"/>
    <w:next w:val="Normln"/>
    <w:link w:val="Nadpis5Char"/>
    <w:uiPriority w:val="9"/>
    <w:semiHidden/>
    <w:unhideWhenUsed/>
    <w:qFormat/>
    <w:rsid w:val="00F44913"/>
    <w:pPr>
      <w:keepNext/>
      <w:keepLines/>
      <w:spacing w:before="80" w:after="40"/>
      <w:outlineLvl w:val="4"/>
    </w:pPr>
    <w:rPr>
      <w:rFonts w:eastAsiaTheme="majorEastAsia" w:cstheme="majorBidi"/>
      <w:color w:val="0F4761" w:themeColor="accent1" w:themeShade="BF"/>
    </w:rPr>
  </w:style>
  <w:style w:type="paragraph" w:styleId="Nadpis6">
    <w:name w:val="heading 6"/>
    <w:basedOn w:val="Normln"/>
    <w:next w:val="Normln"/>
    <w:link w:val="Nadpis6Char"/>
    <w:uiPriority w:val="9"/>
    <w:semiHidden/>
    <w:unhideWhenUsed/>
    <w:qFormat/>
    <w:rsid w:val="00F44913"/>
    <w:pPr>
      <w:keepNext/>
      <w:keepLines/>
      <w:spacing w:before="40"/>
      <w:outlineLvl w:val="5"/>
    </w:pPr>
    <w:rPr>
      <w:rFonts w:eastAsiaTheme="majorEastAsia" w:cstheme="majorBidi"/>
      <w:i/>
      <w:iCs/>
      <w:color w:val="595959" w:themeColor="text1" w:themeTint="A6"/>
    </w:rPr>
  </w:style>
  <w:style w:type="paragraph" w:styleId="Nadpis7">
    <w:name w:val="heading 7"/>
    <w:basedOn w:val="Normln"/>
    <w:next w:val="Normln"/>
    <w:link w:val="Nadpis7Char"/>
    <w:uiPriority w:val="9"/>
    <w:semiHidden/>
    <w:unhideWhenUsed/>
    <w:qFormat/>
    <w:rsid w:val="00F44913"/>
    <w:pPr>
      <w:keepNext/>
      <w:keepLines/>
      <w:spacing w:before="40"/>
      <w:outlineLvl w:val="6"/>
    </w:pPr>
    <w:rPr>
      <w:rFonts w:eastAsiaTheme="majorEastAsia" w:cstheme="majorBidi"/>
      <w:color w:val="595959" w:themeColor="text1" w:themeTint="A6"/>
    </w:rPr>
  </w:style>
  <w:style w:type="paragraph" w:styleId="Nadpis8">
    <w:name w:val="heading 8"/>
    <w:basedOn w:val="Normln"/>
    <w:next w:val="Normln"/>
    <w:link w:val="Nadpis8Char"/>
    <w:uiPriority w:val="9"/>
    <w:semiHidden/>
    <w:unhideWhenUsed/>
    <w:qFormat/>
    <w:rsid w:val="00F44913"/>
    <w:pPr>
      <w:keepNext/>
      <w:keepLines/>
      <w:outlineLvl w:val="7"/>
    </w:pPr>
    <w:rPr>
      <w:rFonts w:eastAsiaTheme="majorEastAsia" w:cstheme="majorBidi"/>
      <w:i/>
      <w:iCs/>
      <w:color w:val="272727" w:themeColor="text1" w:themeTint="D8"/>
    </w:rPr>
  </w:style>
  <w:style w:type="paragraph" w:styleId="Nadpis9">
    <w:name w:val="heading 9"/>
    <w:basedOn w:val="Normln"/>
    <w:next w:val="Normln"/>
    <w:link w:val="Nadpis9Char"/>
    <w:uiPriority w:val="9"/>
    <w:semiHidden/>
    <w:unhideWhenUsed/>
    <w:qFormat/>
    <w:rsid w:val="00F44913"/>
    <w:pPr>
      <w:keepNext/>
      <w:keepLines/>
      <w:outlineLvl w:val="8"/>
    </w:pPr>
    <w:rPr>
      <w:rFonts w:eastAsiaTheme="majorEastAsia" w:cstheme="majorBidi"/>
      <w:color w:val="272727" w:themeColor="text1" w:themeTint="D8"/>
    </w:rPr>
  </w:style>
  <w:style w:type="character" w:default="1" w:styleId="Standardnpsmoodstavce">
    <w:name w:val="Default Paragraph Font"/>
    <w:uiPriority w:val="1"/>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customStyle="1" w:styleId="Nadpis1Char">
    <w:name w:val="Nadpis 1 Char"/>
    <w:basedOn w:val="Standardnpsmoodstavce"/>
    <w:link w:val="Nadpis1"/>
    <w:uiPriority w:val="9"/>
    <w:rsid w:val="00F44913"/>
    <w:rPr>
      <w:rFonts w:asciiTheme="majorHAnsi" w:eastAsiaTheme="majorEastAsia" w:hAnsiTheme="majorHAnsi" w:cstheme="majorBidi"/>
      <w:color w:val="0F4761" w:themeColor="accent1" w:themeShade="BF"/>
      <w:sz w:val="40"/>
      <w:szCs w:val="40"/>
    </w:rPr>
  </w:style>
  <w:style w:type="character" w:customStyle="1" w:styleId="Nadpis2Char">
    <w:name w:val="Nadpis 2 Char"/>
    <w:basedOn w:val="Standardnpsmoodstavce"/>
    <w:link w:val="Nadpis2"/>
    <w:uiPriority w:val="9"/>
    <w:rsid w:val="00F44913"/>
    <w:rPr>
      <w:rFonts w:asciiTheme="majorHAnsi" w:eastAsiaTheme="majorEastAsia" w:hAnsiTheme="majorHAnsi" w:cstheme="majorBidi"/>
      <w:color w:val="0F4761" w:themeColor="accent1" w:themeShade="BF"/>
      <w:sz w:val="32"/>
      <w:szCs w:val="32"/>
    </w:rPr>
  </w:style>
  <w:style w:type="character" w:customStyle="1" w:styleId="Nadpis3Char">
    <w:name w:val="Nadpis 3 Char"/>
    <w:basedOn w:val="Standardnpsmoodstavce"/>
    <w:link w:val="Nadpis3"/>
    <w:uiPriority w:val="9"/>
    <w:semiHidden/>
    <w:rsid w:val="00F44913"/>
    <w:rPr>
      <w:rFonts w:eastAsiaTheme="majorEastAsia" w:cstheme="majorBidi"/>
      <w:color w:val="0F4761" w:themeColor="accent1" w:themeShade="BF"/>
      <w:sz w:val="28"/>
      <w:szCs w:val="28"/>
    </w:rPr>
  </w:style>
  <w:style w:type="character" w:customStyle="1" w:styleId="Nadpis4Char">
    <w:name w:val="Nadpis 4 Char"/>
    <w:basedOn w:val="Standardnpsmoodstavce"/>
    <w:link w:val="Nadpis4"/>
    <w:uiPriority w:val="9"/>
    <w:semiHidden/>
    <w:rsid w:val="00F44913"/>
    <w:rPr>
      <w:rFonts w:eastAsiaTheme="majorEastAsia" w:cstheme="majorBidi"/>
      <w:i/>
      <w:iCs/>
      <w:color w:val="0F4761" w:themeColor="accent1" w:themeShade="BF"/>
    </w:rPr>
  </w:style>
  <w:style w:type="character" w:customStyle="1" w:styleId="Nadpis5Char">
    <w:name w:val="Nadpis 5 Char"/>
    <w:basedOn w:val="Standardnpsmoodstavce"/>
    <w:link w:val="Nadpis5"/>
    <w:uiPriority w:val="9"/>
    <w:semiHidden/>
    <w:rsid w:val="00F44913"/>
    <w:rPr>
      <w:rFonts w:eastAsiaTheme="majorEastAsia" w:cstheme="majorBidi"/>
      <w:color w:val="0F4761" w:themeColor="accent1" w:themeShade="BF"/>
    </w:rPr>
  </w:style>
  <w:style w:type="character" w:customStyle="1" w:styleId="Nadpis6Char">
    <w:name w:val="Nadpis 6 Char"/>
    <w:basedOn w:val="Standardnpsmoodstavce"/>
    <w:link w:val="Nadpis6"/>
    <w:uiPriority w:val="9"/>
    <w:semiHidden/>
    <w:rsid w:val="00F44913"/>
    <w:rPr>
      <w:rFonts w:eastAsiaTheme="majorEastAsia" w:cstheme="majorBidi"/>
      <w:i/>
      <w:iCs/>
      <w:color w:val="595959" w:themeColor="text1" w:themeTint="A6"/>
    </w:rPr>
  </w:style>
  <w:style w:type="character" w:customStyle="1" w:styleId="Nadpis7Char">
    <w:name w:val="Nadpis 7 Char"/>
    <w:basedOn w:val="Standardnpsmoodstavce"/>
    <w:link w:val="Nadpis7"/>
    <w:uiPriority w:val="9"/>
    <w:semiHidden/>
    <w:rsid w:val="00F44913"/>
    <w:rPr>
      <w:rFonts w:eastAsiaTheme="majorEastAsia" w:cstheme="majorBidi"/>
      <w:color w:val="595959" w:themeColor="text1" w:themeTint="A6"/>
    </w:rPr>
  </w:style>
  <w:style w:type="character" w:customStyle="1" w:styleId="Nadpis8Char">
    <w:name w:val="Nadpis 8 Char"/>
    <w:basedOn w:val="Standardnpsmoodstavce"/>
    <w:link w:val="Nadpis8"/>
    <w:uiPriority w:val="9"/>
    <w:semiHidden/>
    <w:rsid w:val="00F44913"/>
    <w:rPr>
      <w:rFonts w:eastAsiaTheme="majorEastAsia" w:cstheme="majorBidi"/>
      <w:i/>
      <w:iCs/>
      <w:color w:val="272727" w:themeColor="text1" w:themeTint="D8"/>
    </w:rPr>
  </w:style>
  <w:style w:type="character" w:customStyle="1" w:styleId="Nadpis9Char">
    <w:name w:val="Nadpis 9 Char"/>
    <w:basedOn w:val="Standardnpsmoodstavce"/>
    <w:link w:val="Nadpis9"/>
    <w:uiPriority w:val="9"/>
    <w:semiHidden/>
    <w:rsid w:val="00F44913"/>
    <w:rPr>
      <w:rFonts w:eastAsiaTheme="majorEastAsia" w:cstheme="majorBidi"/>
      <w:color w:val="272727" w:themeColor="text1" w:themeTint="D8"/>
    </w:rPr>
  </w:style>
  <w:style w:type="paragraph" w:styleId="Nzev">
    <w:name w:val="Title"/>
    <w:basedOn w:val="Normln"/>
    <w:next w:val="Normln"/>
    <w:link w:val="NzevChar"/>
    <w:uiPriority w:val="10"/>
    <w:qFormat/>
    <w:rsid w:val="00F449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NzevChar">
    <w:name w:val="Název Char"/>
    <w:basedOn w:val="Standardnpsmoodstavce"/>
    <w:link w:val="Nzev"/>
    <w:uiPriority w:val="10"/>
    <w:rsid w:val="00F44913"/>
    <w:rPr>
      <w:rFonts w:asciiTheme="majorHAnsi" w:eastAsiaTheme="majorEastAsia" w:hAnsiTheme="majorHAnsi" w:cstheme="majorBidi"/>
      <w:spacing w:val="-10"/>
      <w:kern w:val="28"/>
      <w:sz w:val="56"/>
      <w:szCs w:val="56"/>
    </w:rPr>
  </w:style>
  <w:style w:type="paragraph" w:styleId="Podnadpis">
    <w:name w:val="Subtitle"/>
    <w:basedOn w:val="Normln"/>
    <w:next w:val="Normln"/>
    <w:link w:val="PodnadpisChar"/>
    <w:uiPriority w:val="11"/>
    <w:qFormat/>
    <w:rsid w:val="00F44913"/>
    <w:pPr>
      <w:numPr>
        <w:ilvl w:val="1"/>
      </w:numPr>
    </w:pPr>
    <w:rPr>
      <w:rFonts w:eastAsiaTheme="majorEastAsia" w:cstheme="majorBidi"/>
      <w:color w:val="595959" w:themeColor="text1" w:themeTint="A6"/>
      <w:spacing w:val="15"/>
      <w:sz w:val="28"/>
      <w:szCs w:val="28"/>
    </w:rPr>
  </w:style>
  <w:style w:type="character" w:customStyle="1" w:styleId="PodnadpisChar">
    <w:name w:val="Podnadpis Char"/>
    <w:basedOn w:val="Standardnpsmoodstavce"/>
    <w:link w:val="Podnadpis"/>
    <w:uiPriority w:val="11"/>
    <w:rsid w:val="00F44913"/>
    <w:rPr>
      <w:rFonts w:eastAsiaTheme="majorEastAsia" w:cstheme="majorBidi"/>
      <w:color w:val="595959" w:themeColor="text1" w:themeTint="A6"/>
      <w:spacing w:val="15"/>
      <w:sz w:val="28"/>
      <w:szCs w:val="28"/>
    </w:rPr>
  </w:style>
  <w:style w:type="paragraph" w:styleId="Citt">
    <w:name w:val="Quote"/>
    <w:basedOn w:val="Normln"/>
    <w:next w:val="Normln"/>
    <w:link w:val="CittChar"/>
    <w:uiPriority w:val="29"/>
    <w:qFormat/>
    <w:rsid w:val="00F44913"/>
    <w:pPr>
      <w:spacing w:before="160"/>
      <w:jc w:val="center"/>
    </w:pPr>
    <w:rPr>
      <w:i/>
      <w:iCs/>
      <w:color w:val="404040" w:themeColor="text1" w:themeTint="BF"/>
    </w:rPr>
  </w:style>
  <w:style w:type="character" w:customStyle="1" w:styleId="CittChar">
    <w:name w:val="Citát Char"/>
    <w:basedOn w:val="Standardnpsmoodstavce"/>
    <w:link w:val="Citt"/>
    <w:uiPriority w:val="29"/>
    <w:rsid w:val="00F44913"/>
    <w:rPr>
      <w:i/>
      <w:iCs/>
      <w:color w:val="404040" w:themeColor="text1" w:themeTint="BF"/>
    </w:rPr>
  </w:style>
  <w:style w:type="paragraph" w:styleId="Odstavecseseznamem">
    <w:name w:val="List Paragraph"/>
    <w:basedOn w:val="Normln"/>
    <w:qFormat/>
    <w:rsid w:val="00F44913"/>
    <w:pPr>
      <w:ind w:left="720"/>
      <w:contextualSpacing/>
    </w:pPr>
  </w:style>
  <w:style w:type="character" w:styleId="Zdraznnintenzivn">
    <w:name w:val="Intense Emphasis"/>
    <w:basedOn w:val="Standardnpsmoodstavce"/>
    <w:uiPriority w:val="21"/>
    <w:qFormat/>
    <w:rsid w:val="00F44913"/>
    <w:rPr>
      <w:i/>
      <w:iCs/>
      <w:color w:val="0F4761" w:themeColor="accent1" w:themeShade="BF"/>
    </w:rPr>
  </w:style>
  <w:style w:type="paragraph" w:styleId="Vrazncitt">
    <w:name w:val="Intense Quote"/>
    <w:basedOn w:val="Normln"/>
    <w:next w:val="Normln"/>
    <w:link w:val="VrazncittChar"/>
    <w:uiPriority w:val="30"/>
    <w:qFormat/>
    <w:rsid w:val="00F449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VrazncittChar">
    <w:name w:val="Výrazný citát Char"/>
    <w:basedOn w:val="Standardnpsmoodstavce"/>
    <w:link w:val="Vrazncitt"/>
    <w:uiPriority w:val="30"/>
    <w:rsid w:val="00F44913"/>
    <w:rPr>
      <w:i/>
      <w:iCs/>
      <w:color w:val="0F4761" w:themeColor="accent1" w:themeShade="BF"/>
    </w:rPr>
  </w:style>
  <w:style w:type="character" w:styleId="Odkazintenzivn">
    <w:name w:val="Intense Reference"/>
    <w:basedOn w:val="Standardnpsmoodstavce"/>
    <w:uiPriority w:val="32"/>
    <w:qFormat/>
    <w:rsid w:val="00F44913"/>
    <w:rPr>
      <w:b/>
      <w:bCs/>
      <w:smallCaps/>
      <w:color w:val="0F4761" w:themeColor="accent1" w:themeShade="BF"/>
      <w:spacing w:val="5"/>
    </w:rPr>
  </w:style>
  <w:style w:type="paragraph" w:styleId="Zhlav">
    <w:name w:val="header"/>
    <w:basedOn w:val="Normln"/>
    <w:link w:val="ZhlavChar"/>
    <w:uiPriority w:val="99"/>
    <w:unhideWhenUsed/>
    <w:rsid w:val="00F44913"/>
    <w:pPr>
      <w:tabs>
        <w:tab w:val="center" w:pos="4536"/>
        <w:tab w:val="right" w:pos="9072"/>
      </w:tabs>
      <w:spacing w:line="240" w:lineRule="auto"/>
    </w:pPr>
  </w:style>
  <w:style w:type="character" w:customStyle="1" w:styleId="ZhlavChar">
    <w:name w:val="Záhlaví Char"/>
    <w:basedOn w:val="Standardnpsmoodstavce"/>
    <w:link w:val="Zhlav"/>
    <w:uiPriority w:val="99"/>
    <w:rsid w:val="00F44913"/>
    <w:rPr>
      <w:rFonts w:ascii="Calibri" w:eastAsia="Calibri" w:hAnsi="Calibri" w:cs="Calibri"/>
      <w:color w:val="000000"/>
      <w:kern w:val="0"/>
      <w:lang w:eastAsia="cs-CZ"/>
      <w14:ligatures w14:val="none"/>
    </w:rPr>
  </w:style>
  <w:style w:type="paragraph" w:styleId="Zpat">
    <w:name w:val="footer"/>
    <w:basedOn w:val="Normln"/>
    <w:link w:val="ZpatChar"/>
    <w:uiPriority w:val="99"/>
    <w:unhideWhenUsed/>
    <w:rsid w:val="00F44913"/>
    <w:pPr>
      <w:tabs>
        <w:tab w:val="center" w:pos="4536"/>
        <w:tab w:val="right" w:pos="9072"/>
      </w:tabs>
      <w:spacing w:line="240" w:lineRule="auto"/>
    </w:pPr>
  </w:style>
  <w:style w:type="character" w:customStyle="1" w:styleId="ZpatChar">
    <w:name w:val="Zápatí Char"/>
    <w:basedOn w:val="Standardnpsmoodstavce"/>
    <w:link w:val="Zpat"/>
    <w:uiPriority w:val="99"/>
    <w:rsid w:val="00F44913"/>
    <w:rPr>
      <w:rFonts w:ascii="Calibri" w:eastAsia="Calibri" w:hAnsi="Calibri" w:cs="Calibri"/>
      <w:color w:val="000000"/>
      <w:kern w:val="0"/>
      <w:lang w:eastAsia="cs-CZ"/>
      <w14:ligatures w14:val="none"/>
    </w:rPr>
  </w:style>
  <w:style w:type="paragraph" w:styleId="Nadpisobsahu">
    <w:name w:val="TOC Heading"/>
    <w:basedOn w:val="Nadpis1"/>
    <w:next w:val="Normln"/>
    <w:uiPriority w:val="39"/>
    <w:unhideWhenUsed/>
    <w:qFormat/>
    <w:rsid w:val="005D47EC"/>
    <w:pPr>
      <w:spacing w:before="240" w:after="0" w:line="259" w:lineRule="auto"/>
      <w:outlineLvl w:val="9"/>
    </w:pPr>
    <w:rPr>
      <w:sz w:val="32"/>
      <w:szCs w:val="32"/>
    </w:rPr>
  </w:style>
  <w:style w:type="paragraph" w:styleId="Obsah1">
    <w:name w:val="toc 1"/>
    <w:basedOn w:val="Normln"/>
    <w:next w:val="Normln"/>
    <w:autoRedefine/>
    <w:uiPriority w:val="39"/>
    <w:unhideWhenUsed/>
    <w:rsid w:val="00462167"/>
    <w:pPr>
      <w:tabs>
        <w:tab w:val="right" w:leader="dot" w:pos="9062"/>
      </w:tabs>
      <w:spacing w:after="100"/>
    </w:pPr>
    <w:rPr>
      <w:rFonts w:ascii="Times New Roman" w:eastAsia="Times New Roman" w:hAnsi="Times New Roman" w:cs="Times New Roman"/>
      <w:noProof/>
      <w:color w:val="auto"/>
      <w:lang w:val="en-GB"/>
    </w:rPr>
  </w:style>
  <w:style w:type="paragraph" w:styleId="Obsah2">
    <w:name w:val="toc 2"/>
    <w:basedOn w:val="Normln"/>
    <w:next w:val="Normln"/>
    <w:autoRedefine/>
    <w:uiPriority w:val="39"/>
    <w:unhideWhenUsed/>
    <w:rsid w:val="005D47EC"/>
    <w:pPr>
      <w:spacing w:after="100"/>
      <w:ind w:left="220"/>
    </w:pPr>
  </w:style>
  <w:style w:type="character" w:styleId="Hypertextovodkaz">
    <w:name w:val="Hyperlink"/>
    <w:basedOn w:val="Standardnpsmoodstavce"/>
    <w:uiPriority w:val="99"/>
    <w:unhideWhenUsed/>
    <w:rsid w:val="005D47EC"/>
    <w:rPr>
      <w:color w:val="467886" w:themeColor="hyperlink"/>
      <w:u w:val="single"/>
    </w:rPr>
  </w:style>
  <w:style w:type="character" w:styleId="Zdraznnjemn">
    <w:name w:val="Subtle Emphasis"/>
    <w:basedOn w:val="Standardnpsmoodstavce"/>
    <w:uiPriority w:val="19"/>
    <w:qFormat/>
    <w:rsid w:val="0000381F"/>
    <w:rPr>
      <w:i/>
      <w:iCs/>
      <w:color w:val="404040" w:themeColor="text1" w:themeTint="BF"/>
    </w:rPr>
  </w:style>
  <w:style w:type="character" w:styleId="Nevyeenzmnka">
    <w:name w:val="Unresolved Mention"/>
    <w:basedOn w:val="Standardnpsmoodstavce"/>
    <w:uiPriority w:val="99"/>
    <w:semiHidden/>
    <w:unhideWhenUsed/>
    <w:rsid w:val="00DC72B6"/>
    <w:rPr>
      <w:color w:val="605E5C"/>
      <w:shd w:val="clear" w:color="auto" w:fill="E1DFDD"/>
    </w:rPr>
  </w:style>
  <w:style w:type="paragraph" w:styleId="Bezmezer">
    <w:name w:val="No Spacing"/>
    <w:uiPriority w:val="1"/>
    <w:qFormat/>
    <w:rsid w:val="00043869"/>
    <w:pPr>
      <w:spacing w:after="0" w:line="240" w:lineRule="auto"/>
    </w:pPr>
    <w:rPr>
      <w:rFonts w:ascii="Calibri" w:eastAsia="Calibri" w:hAnsi="Calibri" w:cs="Calibri"/>
      <w:color w:val="000000"/>
      <w:kern w:val="0"/>
      <w:lang w:eastAsia="cs-CZ"/>
      <w14:ligatures w14:val="none"/>
    </w:rPr>
  </w:style>
  <w:style w:type="character" w:styleId="Sledovanodkaz">
    <w:name w:val="FollowedHyperlink"/>
    <w:basedOn w:val="Standardnpsmoodstavce"/>
    <w:uiPriority w:val="99"/>
    <w:semiHidden/>
    <w:unhideWhenUsed/>
    <w:rsid w:val="0086520A"/>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theme" Target="theme/theme1.xml"/><Relationship Id="rId21" Type="http://schemas.openxmlformats.org/officeDocument/2006/relationships/image" Target="media/image15.png"/><Relationship Id="rId34" Type="http://schemas.openxmlformats.org/officeDocument/2006/relationships/hyperlink" Target="https://doi.org/10.18637/jss.v014.i06" TargetMode="External"/><Relationship Id="rId7" Type="http://schemas.openxmlformats.org/officeDocument/2006/relationships/endnotes" Target="endnote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hyperlink" Target="https://github.com/stetev/data_visualisation/tree/272fa0ecd8b646eb17b830f17283f40c088eacad/vaccines" TargetMode="External"/><Relationship Id="rId8" Type="http://schemas.openxmlformats.org/officeDocument/2006/relationships/image" Target="media/image2.jpeg"/><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28.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491756-7C7A-49FA-A230-FBA275A707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642</TotalTime>
  <Pages>33</Pages>
  <Words>5125</Words>
  <Characters>30244</Characters>
  <Application>Microsoft Office Word</Application>
  <DocSecurity>0</DocSecurity>
  <Lines>252</Lines>
  <Paragraphs>70</Paragraphs>
  <ScaleCrop>false</ScaleCrop>
  <HeadingPairs>
    <vt:vector size="2" baseType="variant">
      <vt:variant>
        <vt:lpstr>Název</vt:lpstr>
      </vt:variant>
      <vt:variant>
        <vt:i4>1</vt:i4>
      </vt:variant>
    </vt:vector>
  </HeadingPairs>
  <TitlesOfParts>
    <vt:vector size="1" baseType="lpstr">
      <vt:lpstr/>
    </vt:vector>
  </TitlesOfParts>
  <Company/>
  <LinksUpToDate>false</LinksUpToDate>
  <CharactersWithSpaces>35299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user_38</dc:creator>
  <cp:keywords/>
  <dc:description/>
  <cp:lastModifiedBy>user_38</cp:lastModifiedBy>
  <cp:revision>214</cp:revision>
  <cp:lastPrinted>2026-07-11T18:08:00Z</cp:lastPrinted>
  <dcterms:created xsi:type="dcterms:W3CDTF">2026-07-04T14:08:00Z</dcterms:created>
  <dcterms:modified xsi:type="dcterms:W3CDTF">2026-07-11T18:10:00Z</dcterms:modified>
</cp:coreProperties>
</file>