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Incident</w:t>
      </w: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 report analysis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organization suffered a DDoS attack which compromised the internal network for 2 hours. The network services suddenly stopped responding due to an incoming flood of ICMP packets.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Identify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company’s cybersecurity team investigation found that a malicious actor had sent a flood of ICMP pings into the company’s network through an unconfigured firewall. This vulnerability allowed the malicious attacker to overwhelm the company’s network through a distributed denial of service (DDoS) attack.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 address this security event the network security team implemented a new firewall rule to limit the rate of the incoming ICMP packets and set the firewall to check for spoofed IP addresses on incoming ICMP packets.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 detect any upcoming abnormal traffic patterns, the network security has set up a network monitoring software to detect abnormal traffic patterns.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0f1114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f1114"/>
                <w:highlight w:val="white"/>
                <w:rtl w:val="0"/>
              </w:rPr>
              <w:t xml:space="preserve">The incident management team responded by using An IDS/IPS system to filter out some ICMP traffic based on suspicious characteristics.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0f11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Recover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team restored the critical network services. </w:t>
            </w:r>
          </w:p>
        </w:tc>
      </w:tr>
    </w:tbl>
    <w:p w:rsidR="00000000" w:rsidDel="00000000" w:rsidP="00000000" w:rsidRDefault="00000000" w:rsidRPr="00000000" w14:paraId="0000001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drawing>
        <wp:inline distB="114300" distT="114300" distL="114300" distR="114300">
          <wp:extent cx="1096601" cy="8143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77" l="13942" r="18910" t="28613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