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DAE03" w14:textId="77777777" w:rsidR="009A1653" w:rsidRDefault="009A1653" w:rsidP="001D17DB">
      <w:pPr>
        <w:keepNext/>
        <w:keepLines/>
        <w:spacing w:before="120" w:after="80" w:line="240" w:lineRule="auto"/>
        <w:outlineLvl w:val="3"/>
        <w:rPr>
          <w:rFonts w:ascii="Times New Roman" w:eastAsia="Times New Roman" w:hAnsi="Times New Roman" w:cs="Times New Roman"/>
          <w:b/>
          <w:i/>
          <w:kern w:val="28"/>
          <w:sz w:val="24"/>
          <w:szCs w:val="20"/>
        </w:rPr>
      </w:pPr>
    </w:p>
    <w:p w14:paraId="50AA20DE" w14:textId="77777777" w:rsidR="00197DF0" w:rsidRDefault="00197DF0" w:rsidP="00197DF0">
      <w:pPr>
        <w:jc w:val="center"/>
        <w:rPr>
          <w:rFonts w:ascii="Times New Roman" w:eastAsia="Times New Roman" w:hAnsi="Times New Roman" w:cs="Times New Roman"/>
          <w:b/>
          <w:i/>
          <w:kern w:val="28"/>
          <w:sz w:val="24"/>
          <w:szCs w:val="20"/>
        </w:rPr>
      </w:pPr>
      <w:r>
        <w:rPr>
          <w:b/>
          <w:i/>
          <w:noProof/>
          <w:kern w:val="28"/>
          <w:szCs w:val="20"/>
        </w:rPr>
        <w:drawing>
          <wp:inline distT="0" distB="0" distL="0" distR="0" wp14:anchorId="62C6FF3D" wp14:editId="073AB383">
            <wp:extent cx="284797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8BD8" w14:textId="77777777" w:rsidR="00197DF0" w:rsidRDefault="00197DF0" w:rsidP="00197DF0">
      <w:pPr>
        <w:jc w:val="center"/>
        <w:rPr>
          <w:rFonts w:ascii="Times New Roman" w:eastAsia="Times New Roman" w:hAnsi="Times New Roman" w:cs="Times New Roman"/>
          <w:b/>
          <w:i/>
          <w:kern w:val="28"/>
          <w:sz w:val="24"/>
          <w:szCs w:val="20"/>
        </w:rPr>
      </w:pPr>
    </w:p>
    <w:p w14:paraId="42E82A69" w14:textId="77777777" w:rsidR="00197DF0" w:rsidRDefault="00197DF0" w:rsidP="00197DF0">
      <w:pPr>
        <w:jc w:val="center"/>
        <w:rPr>
          <w:rFonts w:eastAsia="Times New Roman" w:cstheme="minorHAnsi"/>
          <w:b/>
          <w:iCs/>
          <w:kern w:val="28"/>
          <w:sz w:val="48"/>
          <w:szCs w:val="48"/>
        </w:rPr>
      </w:pPr>
      <w:r w:rsidRPr="00197DF0">
        <w:rPr>
          <w:rFonts w:eastAsia="Times New Roman" w:cstheme="minorHAnsi"/>
          <w:b/>
          <w:iCs/>
          <w:kern w:val="28"/>
          <w:sz w:val="48"/>
          <w:szCs w:val="48"/>
        </w:rPr>
        <w:t>Technical Assessment</w:t>
      </w:r>
    </w:p>
    <w:p w14:paraId="754EAF20" w14:textId="77777777" w:rsidR="00197DF0" w:rsidRDefault="00197DF0" w:rsidP="00197DF0">
      <w:pPr>
        <w:jc w:val="center"/>
        <w:rPr>
          <w:rFonts w:eastAsia="Times New Roman" w:cstheme="minorHAnsi"/>
          <w:b/>
          <w:iCs/>
          <w:kern w:val="28"/>
          <w:sz w:val="48"/>
          <w:szCs w:val="48"/>
        </w:rPr>
      </w:pPr>
    </w:p>
    <w:p w14:paraId="3505BC48" w14:textId="5DF8EF13" w:rsidR="00197DF0" w:rsidRDefault="00197DF0" w:rsidP="00197DF0">
      <w:pPr>
        <w:jc w:val="center"/>
        <w:rPr>
          <w:rFonts w:eastAsia="Times New Roman" w:cstheme="minorHAnsi"/>
          <w:b/>
          <w:iCs/>
          <w:kern w:val="28"/>
          <w:sz w:val="48"/>
          <w:szCs w:val="48"/>
        </w:rPr>
      </w:pPr>
      <w:r>
        <w:rPr>
          <w:rFonts w:eastAsia="Times New Roman" w:cstheme="minorHAnsi"/>
          <w:b/>
          <w:iCs/>
          <w:kern w:val="28"/>
          <w:sz w:val="48"/>
          <w:szCs w:val="48"/>
        </w:rPr>
        <w:t>Vince Iarusci</w:t>
      </w:r>
    </w:p>
    <w:p w14:paraId="13E676BB" w14:textId="4A269866" w:rsidR="00197DF0" w:rsidRPr="00197DF0" w:rsidRDefault="00197DF0" w:rsidP="00197DF0">
      <w:pPr>
        <w:jc w:val="center"/>
        <w:rPr>
          <w:rFonts w:eastAsia="Times New Roman" w:cstheme="minorHAnsi"/>
          <w:b/>
          <w:iCs/>
          <w:kern w:val="28"/>
          <w:sz w:val="24"/>
          <w:szCs w:val="24"/>
        </w:rPr>
      </w:pPr>
      <w:r w:rsidRPr="00197DF0">
        <w:rPr>
          <w:rFonts w:eastAsia="Times New Roman" w:cstheme="minorHAnsi"/>
          <w:b/>
          <w:iCs/>
          <w:kern w:val="28"/>
          <w:sz w:val="24"/>
          <w:szCs w:val="24"/>
        </w:rPr>
        <w:t>Friday May 15, 2020</w:t>
      </w:r>
    </w:p>
    <w:p w14:paraId="268488B0" w14:textId="66A151DD" w:rsidR="009A1653" w:rsidRPr="00197DF0" w:rsidRDefault="009A1653" w:rsidP="00197DF0">
      <w:pPr>
        <w:jc w:val="center"/>
        <w:rPr>
          <w:rFonts w:eastAsia="Times New Roman" w:cstheme="minorHAnsi"/>
          <w:b/>
          <w:iCs/>
          <w:kern w:val="28"/>
          <w:sz w:val="48"/>
          <w:szCs w:val="48"/>
        </w:rPr>
      </w:pPr>
      <w:r w:rsidRPr="00197DF0">
        <w:rPr>
          <w:rFonts w:eastAsia="Times New Roman" w:cstheme="minorHAnsi"/>
          <w:b/>
          <w:iCs/>
          <w:kern w:val="28"/>
          <w:sz w:val="48"/>
          <w:szCs w:val="48"/>
        </w:rPr>
        <w:br w:type="page"/>
      </w:r>
    </w:p>
    <w:p w14:paraId="27B969FB" w14:textId="77777777" w:rsidR="00197DF0" w:rsidRDefault="00197DF0" w:rsidP="001D17DB">
      <w:pPr>
        <w:keepNext/>
        <w:keepLines/>
        <w:spacing w:before="120" w:after="80" w:line="240" w:lineRule="auto"/>
        <w:outlineLvl w:val="3"/>
        <w:rPr>
          <w:rFonts w:ascii="Times New Roman" w:eastAsia="Times New Roman" w:hAnsi="Times New Roman" w:cs="Times New Roman"/>
          <w:b/>
          <w:i/>
          <w:kern w:val="28"/>
          <w:sz w:val="24"/>
          <w:szCs w:val="20"/>
        </w:rPr>
      </w:pPr>
    </w:p>
    <w:sdt>
      <w:sdtPr>
        <w:id w:val="-9581784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426CB1D" w14:textId="2281AA62" w:rsidR="008B2FED" w:rsidRDefault="008B2FED">
          <w:pPr>
            <w:pStyle w:val="TOCHeading"/>
          </w:pPr>
          <w:r>
            <w:t>Contents</w:t>
          </w:r>
        </w:p>
        <w:p w14:paraId="2792CFD8" w14:textId="6A858584" w:rsidR="00293AAB" w:rsidRDefault="008B2FE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84640" w:history="1">
            <w:r w:rsidR="00293AAB" w:rsidRPr="00C50BBC">
              <w:rPr>
                <w:rStyle w:val="Hyperlink"/>
                <w:noProof/>
              </w:rPr>
              <w:t>Overview</w:t>
            </w:r>
            <w:r w:rsidR="00293AAB">
              <w:rPr>
                <w:noProof/>
                <w:webHidden/>
              </w:rPr>
              <w:tab/>
            </w:r>
            <w:r w:rsidR="00293AAB">
              <w:rPr>
                <w:noProof/>
                <w:webHidden/>
              </w:rPr>
              <w:fldChar w:fldCharType="begin"/>
            </w:r>
            <w:r w:rsidR="00293AAB">
              <w:rPr>
                <w:noProof/>
                <w:webHidden/>
              </w:rPr>
              <w:instrText xml:space="preserve"> PAGEREF _Toc40384640 \h </w:instrText>
            </w:r>
            <w:r w:rsidR="00293AAB">
              <w:rPr>
                <w:noProof/>
                <w:webHidden/>
              </w:rPr>
            </w:r>
            <w:r w:rsidR="00293AAB">
              <w:rPr>
                <w:noProof/>
                <w:webHidden/>
              </w:rPr>
              <w:fldChar w:fldCharType="separate"/>
            </w:r>
            <w:r w:rsidR="00293AAB">
              <w:rPr>
                <w:noProof/>
                <w:webHidden/>
              </w:rPr>
              <w:t>3</w:t>
            </w:r>
            <w:r w:rsidR="00293AAB">
              <w:rPr>
                <w:noProof/>
                <w:webHidden/>
              </w:rPr>
              <w:fldChar w:fldCharType="end"/>
            </w:r>
          </w:hyperlink>
        </w:p>
        <w:p w14:paraId="463C48EA" w14:textId="266ECB38" w:rsidR="00293AAB" w:rsidRDefault="00293A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384641" w:history="1">
            <w:r w:rsidRPr="00C50BBC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622BC" w14:textId="3E0F58C0" w:rsidR="00293AAB" w:rsidRDefault="00293A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384642" w:history="1">
            <w:r w:rsidRPr="00C50BBC">
              <w:rPr>
                <w:rStyle w:val="Hyperlink"/>
                <w:noProof/>
              </w:rPr>
              <w:t>Main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4515" w14:textId="7E16AC58" w:rsidR="00293AAB" w:rsidRDefault="00293A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384643" w:history="1">
            <w:r w:rsidRPr="00C50BBC">
              <w:rPr>
                <w:rStyle w:val="Hyperlink"/>
                <w:noProof/>
              </w:rPr>
              <w:t>Examples of Expected Visualizations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A3F13" w14:textId="46F1590C" w:rsidR="00293AAB" w:rsidRDefault="00293AA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384644" w:history="1">
            <w:r w:rsidRPr="00C50BBC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28CE6" w14:textId="4EB5BEF6" w:rsidR="00293AAB" w:rsidRDefault="00293AA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384645" w:history="1">
            <w:r w:rsidRPr="00C50BBC">
              <w:rPr>
                <w:rStyle w:val="Hyperlink"/>
                <w:noProof/>
              </w:rPr>
              <w:t>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B162B" w14:textId="71743AF4" w:rsidR="008B2FED" w:rsidRDefault="008B2FED">
          <w:r>
            <w:rPr>
              <w:b/>
              <w:bCs/>
              <w:noProof/>
            </w:rPr>
            <w:fldChar w:fldCharType="end"/>
          </w:r>
        </w:p>
      </w:sdtContent>
    </w:sdt>
    <w:p w14:paraId="5FF53417" w14:textId="77777777" w:rsidR="00197DF0" w:rsidRDefault="00197DF0">
      <w:pPr>
        <w:rPr>
          <w:rFonts w:ascii="Times New Roman" w:eastAsia="Times New Roman" w:hAnsi="Times New Roman" w:cs="Times New Roman"/>
          <w:b/>
          <w:i/>
          <w:kern w:val="28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i/>
          <w:kern w:val="28"/>
          <w:sz w:val="24"/>
          <w:szCs w:val="20"/>
        </w:rPr>
        <w:br w:type="page"/>
      </w:r>
    </w:p>
    <w:p w14:paraId="39BE6128" w14:textId="7CB12D90" w:rsidR="008B2FED" w:rsidRDefault="00BA293D" w:rsidP="008B2FED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>Technical Assessment Requirements</w:t>
      </w:r>
    </w:p>
    <w:p w14:paraId="342DEBB8" w14:textId="3CCE3981" w:rsidR="00BA293D" w:rsidRDefault="00BA293D" w:rsidP="00BA293D"/>
    <w:p w14:paraId="64DC4162" w14:textId="7F2A2376" w:rsidR="00005AFF" w:rsidRDefault="00A671F2" w:rsidP="00A671F2">
      <w:pPr>
        <w:pStyle w:val="Heading1"/>
      </w:pPr>
      <w:bookmarkStart w:id="0" w:name="_Toc40384640"/>
      <w:r>
        <w:t>Overview</w:t>
      </w:r>
      <w:bookmarkEnd w:id="0"/>
    </w:p>
    <w:p w14:paraId="70C54755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 xml:space="preserve">One of the biggest European company focused on e-commerce would like to better understand </w:t>
      </w:r>
      <w:proofErr w:type="gramStart"/>
      <w:r>
        <w:rPr>
          <w:rFonts w:ascii="GillSansMT" w:hAnsi="GillSansMT" w:cs="GillSansMT"/>
          <w:color w:val="000000"/>
          <w:sz w:val="20"/>
          <w:szCs w:val="20"/>
        </w:rPr>
        <w:t>their</w:t>
      </w:r>
      <w:proofErr w:type="gramEnd"/>
    </w:p>
    <w:p w14:paraId="5B4E75F2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customers purchase profile and be more successful on upcoming marketing campaigns that include but no</w:t>
      </w:r>
    </w:p>
    <w:p w14:paraId="6C0FBEAC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limited to market basket analysis. A dataset representing a sample of their B2B transactions was shared</w:t>
      </w:r>
    </w:p>
    <w:p w14:paraId="3312ACB2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with you (BI Engineer) and it was requested end-to-end analytical solution that will support the decision</w:t>
      </w:r>
    </w:p>
    <w:p w14:paraId="6E77E4D4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making of SLT group.</w:t>
      </w:r>
    </w:p>
    <w:p w14:paraId="209E8200" w14:textId="77777777" w:rsidR="00A671F2" w:rsidRDefault="00A671F2" w:rsidP="00005AFF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000000"/>
          <w:sz w:val="20"/>
          <w:szCs w:val="20"/>
        </w:rPr>
      </w:pPr>
    </w:p>
    <w:p w14:paraId="089293C0" w14:textId="1A3C914A" w:rsidR="00005AFF" w:rsidRDefault="00005AFF" w:rsidP="00A671F2">
      <w:pPr>
        <w:pStyle w:val="Heading2"/>
      </w:pPr>
      <w:bookmarkStart w:id="1" w:name="_Toc40384641"/>
      <w:r>
        <w:t>Dataset</w:t>
      </w:r>
      <w:bookmarkEnd w:id="1"/>
    </w:p>
    <w:p w14:paraId="7A3AF49A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File Name: Dataset.xlsx</w:t>
      </w:r>
    </w:p>
    <w:p w14:paraId="42C6BF91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Attributes Information:</w:t>
      </w:r>
    </w:p>
    <w:p w14:paraId="5DAFEED2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000000"/>
          <w:sz w:val="20"/>
          <w:szCs w:val="20"/>
        </w:rPr>
      </w:pPr>
      <w:proofErr w:type="spellStart"/>
      <w:r>
        <w:rPr>
          <w:rFonts w:ascii="GillSansMT-Bold" w:hAnsi="GillSansMT-Bold" w:cs="GillSansMT-Bold"/>
          <w:b/>
          <w:bCs/>
          <w:color w:val="000000"/>
          <w:sz w:val="20"/>
          <w:szCs w:val="20"/>
        </w:rPr>
        <w:t>InvoiceNo</w:t>
      </w:r>
      <w:proofErr w:type="spellEnd"/>
    </w:p>
    <w:p w14:paraId="4169E3A1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Invoice number. Nominal, a 6-digit integral number uniquely assigned to each transaction.</w:t>
      </w:r>
    </w:p>
    <w:p w14:paraId="164E5C33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If this code starts with letter 'c', it indicates a cancellation.</w:t>
      </w:r>
    </w:p>
    <w:p w14:paraId="5733D9A8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000000"/>
          <w:sz w:val="20"/>
          <w:szCs w:val="20"/>
        </w:rPr>
      </w:pPr>
      <w:proofErr w:type="spellStart"/>
      <w:r>
        <w:rPr>
          <w:rFonts w:ascii="GillSansMT-Bold" w:hAnsi="GillSansMT-Bold" w:cs="GillSansMT-Bold"/>
          <w:b/>
          <w:bCs/>
          <w:color w:val="000000"/>
          <w:sz w:val="20"/>
          <w:szCs w:val="20"/>
        </w:rPr>
        <w:t>StockCode</w:t>
      </w:r>
      <w:proofErr w:type="spellEnd"/>
    </w:p>
    <w:p w14:paraId="7B31E6A8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Product (item) code. Nominal, a 5-digit integral number uniquely assigned to each distinct product.</w:t>
      </w:r>
    </w:p>
    <w:p w14:paraId="446AB910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000000"/>
          <w:sz w:val="20"/>
          <w:szCs w:val="20"/>
        </w:rPr>
      </w:pPr>
      <w:r>
        <w:rPr>
          <w:rFonts w:ascii="GillSansMT-Bold" w:hAnsi="GillSansMT-Bold" w:cs="GillSansMT-Bold"/>
          <w:b/>
          <w:bCs/>
          <w:color w:val="000000"/>
          <w:sz w:val="20"/>
          <w:szCs w:val="20"/>
        </w:rPr>
        <w:t>Description</w:t>
      </w:r>
    </w:p>
    <w:p w14:paraId="4D4A625E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Product (item) name. Nominal.</w:t>
      </w:r>
    </w:p>
    <w:p w14:paraId="39AC9BE5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000000"/>
          <w:sz w:val="20"/>
          <w:szCs w:val="20"/>
        </w:rPr>
      </w:pPr>
      <w:r>
        <w:rPr>
          <w:rFonts w:ascii="GillSansMT-Bold" w:hAnsi="GillSansMT-Bold" w:cs="GillSansMT-Bold"/>
          <w:b/>
          <w:bCs/>
          <w:color w:val="000000"/>
          <w:sz w:val="20"/>
          <w:szCs w:val="20"/>
        </w:rPr>
        <w:t>Quantity</w:t>
      </w:r>
    </w:p>
    <w:p w14:paraId="2DE581AD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The quantities of each product (item) per transaction. Numeric.</w:t>
      </w:r>
    </w:p>
    <w:p w14:paraId="58AC8963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000000"/>
          <w:sz w:val="20"/>
          <w:szCs w:val="20"/>
        </w:rPr>
      </w:pPr>
      <w:proofErr w:type="spellStart"/>
      <w:r>
        <w:rPr>
          <w:rFonts w:ascii="GillSansMT-Bold" w:hAnsi="GillSansMT-Bold" w:cs="GillSansMT-Bold"/>
          <w:b/>
          <w:bCs/>
          <w:color w:val="000000"/>
          <w:sz w:val="20"/>
          <w:szCs w:val="20"/>
        </w:rPr>
        <w:t>InvoiceDate</w:t>
      </w:r>
      <w:proofErr w:type="spellEnd"/>
    </w:p>
    <w:p w14:paraId="6E1F7600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Invoice Date and time. Numeric, the day and time when each transaction was generated.</w:t>
      </w:r>
    </w:p>
    <w:p w14:paraId="47FED270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000000"/>
          <w:sz w:val="20"/>
          <w:szCs w:val="20"/>
        </w:rPr>
      </w:pPr>
      <w:proofErr w:type="spellStart"/>
      <w:r>
        <w:rPr>
          <w:rFonts w:ascii="GillSansMT-Bold" w:hAnsi="GillSansMT-Bold" w:cs="GillSansMT-Bold"/>
          <w:b/>
          <w:bCs/>
          <w:color w:val="000000"/>
          <w:sz w:val="20"/>
          <w:szCs w:val="20"/>
        </w:rPr>
        <w:t>UnitPrice</w:t>
      </w:r>
      <w:proofErr w:type="spellEnd"/>
    </w:p>
    <w:p w14:paraId="15DBF705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Unit price. Numeric, Product price per unit.</w:t>
      </w:r>
    </w:p>
    <w:p w14:paraId="32A0369C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000000"/>
          <w:sz w:val="20"/>
          <w:szCs w:val="20"/>
        </w:rPr>
      </w:pPr>
      <w:proofErr w:type="spellStart"/>
      <w:r>
        <w:rPr>
          <w:rFonts w:ascii="GillSansMT-Bold" w:hAnsi="GillSansMT-Bold" w:cs="GillSansMT-Bold"/>
          <w:b/>
          <w:bCs/>
          <w:color w:val="000000"/>
          <w:sz w:val="20"/>
          <w:szCs w:val="20"/>
        </w:rPr>
        <w:t>CustomerID</w:t>
      </w:r>
      <w:proofErr w:type="spellEnd"/>
    </w:p>
    <w:p w14:paraId="475BD690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Customer number. Nominal, a 5-digit integral number uniquely assigned to each customer.</w:t>
      </w:r>
    </w:p>
    <w:p w14:paraId="29432EA0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000000"/>
          <w:sz w:val="20"/>
          <w:szCs w:val="20"/>
        </w:rPr>
      </w:pPr>
      <w:r>
        <w:rPr>
          <w:rFonts w:ascii="GillSansMT-Bold" w:hAnsi="GillSansMT-Bold" w:cs="GillSansMT-Bold"/>
          <w:b/>
          <w:bCs/>
          <w:color w:val="000000"/>
          <w:sz w:val="20"/>
          <w:szCs w:val="20"/>
        </w:rPr>
        <w:t>Country</w:t>
      </w:r>
    </w:p>
    <w:p w14:paraId="11608193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Country name. Nominal, the name of the country where each customer resides.</w:t>
      </w:r>
    </w:p>
    <w:p w14:paraId="1559346A" w14:textId="77777777" w:rsidR="00A671F2" w:rsidRDefault="00A671F2" w:rsidP="00005AFF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000000"/>
          <w:sz w:val="20"/>
          <w:szCs w:val="20"/>
        </w:rPr>
      </w:pPr>
    </w:p>
    <w:p w14:paraId="5518CAF7" w14:textId="2B60E6D9" w:rsidR="00A671F2" w:rsidRPr="00A671F2" w:rsidRDefault="00005AFF" w:rsidP="00A671F2">
      <w:pPr>
        <w:pStyle w:val="Heading2"/>
      </w:pPr>
      <w:bookmarkStart w:id="2" w:name="_Toc40384642"/>
      <w:r>
        <w:t>Main Tasks</w:t>
      </w:r>
      <w:bookmarkEnd w:id="2"/>
    </w:p>
    <w:p w14:paraId="43F6E70E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The solution includes:</w:t>
      </w:r>
    </w:p>
    <w:p w14:paraId="720ACEB6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 xml:space="preserve">1) The dataset should be loaded on a </w:t>
      </w:r>
      <w:proofErr w:type="gramStart"/>
      <w:r>
        <w:rPr>
          <w:rFonts w:ascii="GillSansMT" w:hAnsi="GillSansMT" w:cs="GillSansMT"/>
          <w:color w:val="000000"/>
          <w:sz w:val="20"/>
          <w:szCs w:val="20"/>
        </w:rPr>
        <w:t>RDBMS,</w:t>
      </w:r>
      <w:proofErr w:type="gramEnd"/>
      <w:r>
        <w:rPr>
          <w:rFonts w:ascii="GillSansMT" w:hAnsi="GillSansMT" w:cs="GillSansMT"/>
          <w:color w:val="000000"/>
          <w:sz w:val="20"/>
          <w:szCs w:val="20"/>
        </w:rPr>
        <w:t xml:space="preserve"> you can use free versions available like MySQL.</w:t>
      </w:r>
    </w:p>
    <w:p w14:paraId="23A91906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2) The dataset has potentially missing or non-expected values based on the columns definition that will be</w:t>
      </w:r>
    </w:p>
    <w:p w14:paraId="2931CD3A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presented later. It means that a data cleansing process should be applied first, and these purged data must</w:t>
      </w:r>
    </w:p>
    <w:p w14:paraId="769AFFEF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be moved to a temporary data structure to be analyzed and manually fixed. This process will create a new</w:t>
      </w:r>
    </w:p>
    <w:p w14:paraId="33597A2C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and filtered dataset that should be loaded on the same RDBMS.</w:t>
      </w:r>
    </w:p>
    <w:p w14:paraId="0AB0B7B0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Note: The data purge process(es) and the populated data structure are part of the solution and</w:t>
      </w:r>
    </w:p>
    <w:p w14:paraId="38839C47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should be part of the deliverable.</w:t>
      </w:r>
    </w:p>
    <w:p w14:paraId="2C0F1242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3) To better support data analysis, a dimensional data model (s) should be created and a set of ETL</w:t>
      </w:r>
    </w:p>
    <w:p w14:paraId="593C25DF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processes developed to feed this model.</w:t>
      </w:r>
    </w:p>
    <w:p w14:paraId="7385C92E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Note: The data model diagram and the ETL scripts are part of the solution and should be part of the</w:t>
      </w:r>
    </w:p>
    <w:p w14:paraId="6E83DC80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deliverable. The ETL scripts should be part of a job or similar functional object to support a one-shot</w:t>
      </w:r>
    </w:p>
    <w:p w14:paraId="53AEFED4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load considering dependencies. It means that a "job call" can load the dimensional data model with no</w:t>
      </w:r>
    </w:p>
    <w:p w14:paraId="7B72ED3E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 xml:space="preserve">need to start ETLs one by one. It must be considered in this job the possibility to perform a full </w:t>
      </w:r>
      <w:proofErr w:type="spellStart"/>
      <w:r>
        <w:rPr>
          <w:rFonts w:ascii="GillSansMT" w:hAnsi="GillSansMT" w:cs="GillSansMT"/>
          <w:color w:val="000000"/>
          <w:sz w:val="20"/>
          <w:szCs w:val="20"/>
        </w:rPr>
        <w:t>dataload</w:t>
      </w:r>
      <w:proofErr w:type="spellEnd"/>
    </w:p>
    <w:p w14:paraId="030468C0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or incremental data-load as well.</w:t>
      </w:r>
    </w:p>
    <w:p w14:paraId="5B333FBA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4) The use of a BI Tool (Power BI, Tableau, ...) to build up reports and dashboards (Sales Book) is</w:t>
      </w:r>
    </w:p>
    <w:p w14:paraId="5820A254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mandatory (you can use free versions available) to give a self-service experience to the final user. The</w:t>
      </w:r>
    </w:p>
    <w:p w14:paraId="77006699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lastRenderedPageBreak/>
        <w:t>expertise of the BI Engineer to design valuable data analysis is a key asset in this technical assessment</w:t>
      </w:r>
    </w:p>
    <w:p w14:paraId="656D05F9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considering all the attributes belonging to the dataset, but additionally the SLT group would like to see</w:t>
      </w:r>
    </w:p>
    <w:p w14:paraId="228B0E2E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important charts like:</w:t>
      </w:r>
    </w:p>
    <w:p w14:paraId="4BABC3B1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What time do people often purchase online?</w:t>
      </w:r>
    </w:p>
    <w:p w14:paraId="177F33FF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How many items each customer buy?</w:t>
      </w:r>
    </w:p>
    <w:p w14:paraId="05FA772F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Top 10 best sellers’ products?</w:t>
      </w:r>
    </w:p>
    <w:p w14:paraId="74BB0CBB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Average transaction value (total revenue / number of transactions) Year over year.</w:t>
      </w:r>
    </w:p>
    <w:p w14:paraId="46E446C9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Note: A high dollar amount could mean that shoppers are purchasing your more expensive</w:t>
      </w:r>
    </w:p>
    <w:p w14:paraId="3E7C79BE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 xml:space="preserve">products or </w:t>
      </w:r>
      <w:proofErr w:type="gramStart"/>
      <w:r>
        <w:rPr>
          <w:rFonts w:ascii="GillSansMT" w:hAnsi="GillSansMT" w:cs="GillSansMT"/>
          <w:color w:val="000000"/>
          <w:sz w:val="20"/>
          <w:szCs w:val="20"/>
        </w:rPr>
        <w:t>they’re</w:t>
      </w:r>
      <w:proofErr w:type="gramEnd"/>
      <w:r>
        <w:rPr>
          <w:rFonts w:ascii="GillSansMT" w:hAnsi="GillSansMT" w:cs="GillSansMT"/>
          <w:color w:val="000000"/>
          <w:sz w:val="20"/>
          <w:szCs w:val="20"/>
        </w:rPr>
        <w:t xml:space="preserve"> buying larger quantities.</w:t>
      </w:r>
    </w:p>
    <w:p w14:paraId="48573701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Basket Analysis including average size of basket and the set of common products purchased.</w:t>
      </w:r>
    </w:p>
    <w:p w14:paraId="54E5F80E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The frequency of cancelation (number of cancelled invoices) and average amount of cancelation. Is</w:t>
      </w:r>
    </w:p>
    <w:p w14:paraId="156A10FF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 xml:space="preserve">there any common product associated with </w:t>
      </w:r>
      <w:proofErr w:type="gramStart"/>
      <w:r>
        <w:rPr>
          <w:rFonts w:ascii="GillSansMT" w:hAnsi="GillSansMT" w:cs="GillSansMT"/>
          <w:color w:val="000000"/>
          <w:sz w:val="20"/>
          <w:szCs w:val="20"/>
        </w:rPr>
        <w:t>cancelations?</w:t>
      </w:r>
      <w:proofErr w:type="gramEnd"/>
    </w:p>
    <w:p w14:paraId="211ACD4C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Note: Histograms, Time-series (day, month, quarter, year), maps / heat-maps visualizations and the use</w:t>
      </w:r>
    </w:p>
    <w:p w14:paraId="1C429B1A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FF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 xml:space="preserve">dimensional filters are well appreciated technical features in analytical “books”. </w:t>
      </w:r>
      <w:r>
        <w:rPr>
          <w:rFonts w:ascii="GillSansMT" w:hAnsi="GillSansMT" w:cs="GillSansMT"/>
          <w:color w:val="FF0000"/>
          <w:sz w:val="20"/>
          <w:szCs w:val="20"/>
        </w:rPr>
        <w:t>Tip: Data Analysis is</w:t>
      </w:r>
    </w:p>
    <w:p w14:paraId="4244FAA7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FF0000"/>
          <w:sz w:val="20"/>
          <w:szCs w:val="20"/>
        </w:rPr>
      </w:pPr>
      <w:r>
        <w:rPr>
          <w:rFonts w:ascii="GillSansMT" w:hAnsi="GillSansMT" w:cs="GillSansMT"/>
          <w:color w:val="FF0000"/>
          <w:sz w:val="20"/>
          <w:szCs w:val="20"/>
        </w:rPr>
        <w:t>composed of a balanced set of reports and dashboards that creates a compelling Storytelling.</w:t>
      </w:r>
    </w:p>
    <w:p w14:paraId="1172C496" w14:textId="77777777" w:rsidR="00A671F2" w:rsidRDefault="00A671F2" w:rsidP="00005AFF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000000"/>
          <w:sz w:val="20"/>
          <w:szCs w:val="20"/>
        </w:rPr>
      </w:pPr>
    </w:p>
    <w:p w14:paraId="12FF49D7" w14:textId="77777777" w:rsidR="00005AFF" w:rsidRDefault="00005AFF" w:rsidP="00293AAB">
      <w:pPr>
        <w:pStyle w:val="Heading2"/>
      </w:pPr>
      <w:bookmarkStart w:id="3" w:name="_Toc40384644"/>
      <w:r>
        <w:t>Timeline</w:t>
      </w:r>
      <w:bookmarkEnd w:id="3"/>
    </w:p>
    <w:p w14:paraId="66C075F9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May.05 (noon): Send Technical assessment to the candidates (</w:t>
      </w:r>
      <w:r>
        <w:rPr>
          <w:rFonts w:ascii="GillSansMT" w:hAnsi="GillSansMT" w:cs="GillSansMT"/>
          <w:color w:val="FF0000"/>
          <w:sz w:val="20"/>
          <w:szCs w:val="20"/>
        </w:rPr>
        <w:t>this document</w:t>
      </w:r>
      <w:r>
        <w:rPr>
          <w:rFonts w:ascii="GillSansMT" w:hAnsi="GillSansMT" w:cs="GillSansMT"/>
          <w:color w:val="000000"/>
          <w:sz w:val="20"/>
          <w:szCs w:val="20"/>
        </w:rPr>
        <w:t>)</w:t>
      </w:r>
    </w:p>
    <w:p w14:paraId="007ACC7E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 xml:space="preserve">May.06 (noon): The candidate can send a suggested hour for a </w:t>
      </w:r>
      <w:proofErr w:type="gramStart"/>
      <w:r>
        <w:rPr>
          <w:rFonts w:ascii="GillSansMT" w:hAnsi="GillSansMT" w:cs="GillSansMT"/>
          <w:color w:val="000000"/>
          <w:sz w:val="20"/>
          <w:szCs w:val="20"/>
        </w:rPr>
        <w:t>call in</w:t>
      </w:r>
      <w:proofErr w:type="gramEnd"/>
      <w:r>
        <w:rPr>
          <w:rFonts w:ascii="GillSansMT" w:hAnsi="GillSansMT" w:cs="GillSansMT"/>
          <w:color w:val="000000"/>
          <w:sz w:val="20"/>
          <w:szCs w:val="20"/>
        </w:rPr>
        <w:t xml:space="preserve"> case of doubts or questions.</w:t>
      </w:r>
    </w:p>
    <w:p w14:paraId="0203BAFE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May.07 (afternoon): Call Marcos-Candidate (dismiss potential technical doubts).</w:t>
      </w:r>
    </w:p>
    <w:p w14:paraId="6429651C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May.14: Due Date to deliver the solution (send the hyperlink)</w:t>
      </w:r>
    </w:p>
    <w:p w14:paraId="2318C969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May.15: Solution Presentation (1 hour). To be scheduled.</w:t>
      </w:r>
    </w:p>
    <w:p w14:paraId="08F39165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May.18: Candidates will have their solutions ranked, and results send to hiring manager.</w:t>
      </w:r>
    </w:p>
    <w:p w14:paraId="031D97C7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proofErr w:type="gramStart"/>
      <w:r>
        <w:rPr>
          <w:rFonts w:ascii="GillSansMT" w:hAnsi="GillSansMT" w:cs="GillSansMT"/>
          <w:color w:val="000000"/>
          <w:sz w:val="20"/>
          <w:szCs w:val="20"/>
        </w:rPr>
        <w:t>Final Result</w:t>
      </w:r>
      <w:proofErr w:type="gramEnd"/>
      <w:r>
        <w:rPr>
          <w:rFonts w:ascii="GillSansMT" w:hAnsi="GillSansMT" w:cs="GillSansMT"/>
          <w:color w:val="000000"/>
          <w:sz w:val="20"/>
          <w:szCs w:val="20"/>
        </w:rPr>
        <w:t xml:space="preserve"> (Expected Date): Until the end of May the selected candidate will be notified.</w:t>
      </w:r>
    </w:p>
    <w:p w14:paraId="215456BB" w14:textId="77777777" w:rsidR="00005AFF" w:rsidRDefault="00005AFF" w:rsidP="00293AAB">
      <w:pPr>
        <w:pStyle w:val="Heading2"/>
      </w:pPr>
      <w:bookmarkStart w:id="4" w:name="_Toc40384645"/>
      <w:r>
        <w:t>Information</w:t>
      </w:r>
      <w:bookmarkEnd w:id="4"/>
    </w:p>
    <w:p w14:paraId="3B900892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Each candidate will have 1-hour call-conference to present a detailed solution (May.15).</w:t>
      </w:r>
    </w:p>
    <w:p w14:paraId="1FA5A235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Each candidate should send a hyperlink where all deliverables can be accessed by WVC (May.14).</w:t>
      </w:r>
    </w:p>
    <w:p w14:paraId="304C8493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 xml:space="preserve">Deliverables: Database Scripts, Reports/Dashboards (pdfs) and a </w:t>
      </w:r>
      <w:r>
        <w:rPr>
          <w:rFonts w:ascii="GillSansMT" w:hAnsi="GillSansMT" w:cs="GillSansMT"/>
          <w:color w:val="FF0000"/>
          <w:sz w:val="20"/>
          <w:szCs w:val="20"/>
        </w:rPr>
        <w:t xml:space="preserve">readme file </w:t>
      </w:r>
      <w:r>
        <w:rPr>
          <w:rFonts w:ascii="GillSansMT" w:hAnsi="GillSansMT" w:cs="GillSansMT"/>
          <w:color w:val="000000"/>
          <w:sz w:val="20"/>
          <w:szCs w:val="20"/>
        </w:rPr>
        <w:t>with instructions or</w:t>
      </w:r>
    </w:p>
    <w:p w14:paraId="4E80D8C3" w14:textId="0286D386" w:rsidR="00005AFF" w:rsidRDefault="00005AFF" w:rsidP="00005AFF">
      <w:r>
        <w:rPr>
          <w:rFonts w:ascii="GillSansMT" w:hAnsi="GillSansMT" w:cs="GillSansMT"/>
          <w:color w:val="000000"/>
          <w:sz w:val="20"/>
          <w:szCs w:val="20"/>
        </w:rPr>
        <w:t>orientation to the WVC-evaluator to support the solution understanding and evaluation.</w:t>
      </w:r>
    </w:p>
    <w:p w14:paraId="29237003" w14:textId="37B1378A" w:rsidR="00BA293D" w:rsidRDefault="00824DC5" w:rsidP="00824DC5">
      <w:pPr>
        <w:pStyle w:val="Title"/>
      </w:pPr>
      <w:r>
        <w:t>Toolsets Used</w:t>
      </w:r>
    </w:p>
    <w:p w14:paraId="24AC6886" w14:textId="0532A9C9" w:rsidR="00E52D8A" w:rsidRDefault="00E52D8A" w:rsidP="00E52D8A"/>
    <w:p w14:paraId="03A833FA" w14:textId="681C1F1F" w:rsidR="00E52D8A" w:rsidRDefault="00E52D8A" w:rsidP="00E52D8A">
      <w:pPr>
        <w:pStyle w:val="Heading1"/>
      </w:pPr>
      <w:r>
        <w:t>Database</w:t>
      </w:r>
    </w:p>
    <w:p w14:paraId="19E2E40C" w14:textId="796A5614" w:rsidR="00E52D8A" w:rsidRDefault="00E52D8A" w:rsidP="00E52D8A">
      <w:pPr>
        <w:pStyle w:val="Heading1"/>
      </w:pPr>
      <w:r>
        <w:t>ETL</w:t>
      </w:r>
    </w:p>
    <w:p w14:paraId="7F7523B0" w14:textId="5037FE0C" w:rsidR="00E52D8A" w:rsidRPr="00E52D8A" w:rsidRDefault="00E52D8A" w:rsidP="00E52D8A">
      <w:pPr>
        <w:pStyle w:val="Heading1"/>
      </w:pPr>
      <w:r>
        <w:t>Reporting and Analysis</w:t>
      </w:r>
    </w:p>
    <w:p w14:paraId="71B74563" w14:textId="1EEDDE2E" w:rsidR="00824DC5" w:rsidRDefault="00824DC5" w:rsidP="00824DC5"/>
    <w:p w14:paraId="5BB5C13C" w14:textId="77777777" w:rsidR="00BF296D" w:rsidRDefault="00BF296D" w:rsidP="00575649">
      <w:pPr>
        <w:pStyle w:val="Title"/>
      </w:pPr>
    </w:p>
    <w:p w14:paraId="6235629C" w14:textId="77777777" w:rsidR="00BF296D" w:rsidRDefault="00BF296D" w:rsidP="00575649">
      <w:pPr>
        <w:pStyle w:val="Title"/>
      </w:pPr>
    </w:p>
    <w:p w14:paraId="26713DE4" w14:textId="66C30220" w:rsidR="00824DC5" w:rsidRDefault="00575649" w:rsidP="00575649">
      <w:pPr>
        <w:pStyle w:val="Title"/>
      </w:pPr>
      <w:r>
        <w:lastRenderedPageBreak/>
        <w:t>Database Structure</w:t>
      </w:r>
    </w:p>
    <w:p w14:paraId="3CCE9522" w14:textId="5C3C0B52" w:rsidR="00E52D8A" w:rsidRDefault="00E52D8A" w:rsidP="00E52D8A"/>
    <w:p w14:paraId="068B3E0E" w14:textId="6AF46176" w:rsidR="00E52D8A" w:rsidRDefault="00BF296D" w:rsidP="00BF296D">
      <w:pPr>
        <w:pStyle w:val="Heading1"/>
      </w:pPr>
      <w:r>
        <w:t>Source Data</w:t>
      </w:r>
    </w:p>
    <w:p w14:paraId="1B616523" w14:textId="24286B48" w:rsidR="00663013" w:rsidRDefault="00BF296D" w:rsidP="00B329D9">
      <w:pPr>
        <w:pStyle w:val="Heading1"/>
      </w:pPr>
      <w:r>
        <w:t>Data Analysis and Profiling</w:t>
      </w:r>
    </w:p>
    <w:p w14:paraId="60097861" w14:textId="07998AB2" w:rsidR="00663013" w:rsidRDefault="00663013" w:rsidP="00B329D9">
      <w:pPr>
        <w:pStyle w:val="Heading1"/>
      </w:pPr>
      <w:r>
        <w:t xml:space="preserve">Data </w:t>
      </w:r>
      <w:r w:rsidR="00B329D9">
        <w:t>Model Diagram</w:t>
      </w:r>
    </w:p>
    <w:p w14:paraId="286A74E1" w14:textId="77253B90" w:rsidR="00781DC7" w:rsidRPr="00781DC7" w:rsidRDefault="00781DC7" w:rsidP="00781DC7">
      <w:pPr>
        <w:pStyle w:val="Heading1"/>
      </w:pPr>
      <w:r>
        <w:t>SQL Scripts</w:t>
      </w:r>
    </w:p>
    <w:p w14:paraId="219B8E59" w14:textId="67B0BEFA" w:rsidR="00575649" w:rsidRDefault="00575649" w:rsidP="00824DC5"/>
    <w:p w14:paraId="029B6413" w14:textId="4D978FE3" w:rsidR="00575649" w:rsidRDefault="00575649" w:rsidP="00575649">
      <w:pPr>
        <w:pStyle w:val="Title"/>
      </w:pPr>
      <w:r>
        <w:t>ETL Processes</w:t>
      </w:r>
    </w:p>
    <w:p w14:paraId="4A77E3E3" w14:textId="746E4EEF" w:rsidR="00781DC7" w:rsidRDefault="00781DC7" w:rsidP="00781DC7"/>
    <w:p w14:paraId="46D70E00" w14:textId="62CD22CA" w:rsidR="00781DC7" w:rsidRDefault="00587081" w:rsidP="00587081">
      <w:pPr>
        <w:pStyle w:val="Heading1"/>
      </w:pPr>
      <w:r>
        <w:t>Components</w:t>
      </w:r>
    </w:p>
    <w:p w14:paraId="72BC8B47" w14:textId="339A7D83" w:rsidR="00587081" w:rsidRDefault="00587081" w:rsidP="00587081">
      <w:pPr>
        <w:pStyle w:val="Heading1"/>
      </w:pPr>
      <w:r>
        <w:t>Transformations</w:t>
      </w:r>
    </w:p>
    <w:p w14:paraId="48CDDD89" w14:textId="23BD2B73" w:rsidR="00587081" w:rsidRDefault="00587081" w:rsidP="00587081">
      <w:pPr>
        <w:pStyle w:val="Heading1"/>
      </w:pPr>
      <w:r>
        <w:t>Jobs</w:t>
      </w:r>
    </w:p>
    <w:p w14:paraId="2B38A8C7" w14:textId="77777777" w:rsidR="00587081" w:rsidRPr="00781DC7" w:rsidRDefault="00587081" w:rsidP="00781DC7"/>
    <w:p w14:paraId="3B4C62FD" w14:textId="7C7E695C" w:rsidR="00575649" w:rsidRDefault="00575649" w:rsidP="00824DC5"/>
    <w:p w14:paraId="189CEC61" w14:textId="20414D33" w:rsidR="00575649" w:rsidRPr="00824DC5" w:rsidRDefault="00575649" w:rsidP="00575649">
      <w:pPr>
        <w:pStyle w:val="Title"/>
      </w:pPr>
      <w:r>
        <w:t>Reports and Dashboard</w:t>
      </w:r>
    </w:p>
    <w:p w14:paraId="00D2A6E9" w14:textId="62D6AA67" w:rsidR="008B2FED" w:rsidRDefault="00CB1AF1" w:rsidP="008762B8">
      <w:pPr>
        <w:pStyle w:val="Heading1"/>
        <w:rPr>
          <w:rFonts w:eastAsia="Times New Roman"/>
        </w:rPr>
      </w:pPr>
      <w:r>
        <w:rPr>
          <w:rFonts w:eastAsia="Times New Roman"/>
        </w:rPr>
        <w:t>Reports List</w:t>
      </w:r>
    </w:p>
    <w:p w14:paraId="60541B71" w14:textId="0866AFB1" w:rsidR="00CB1AF1" w:rsidRDefault="00CB1AF1" w:rsidP="001D17DB">
      <w:pPr>
        <w:keepNext/>
        <w:keepLines/>
        <w:spacing w:before="120" w:after="80" w:line="240" w:lineRule="auto"/>
        <w:outlineLvl w:val="3"/>
        <w:rPr>
          <w:rFonts w:ascii="Times New Roman" w:eastAsia="Times New Roman" w:hAnsi="Times New Roman" w:cs="Times New Roman"/>
          <w:bCs/>
          <w:iCs/>
          <w:kern w:val="28"/>
          <w:sz w:val="24"/>
          <w:szCs w:val="20"/>
        </w:rPr>
      </w:pPr>
    </w:p>
    <w:p w14:paraId="666EC548" w14:textId="44856A29" w:rsidR="00CB1AF1" w:rsidRDefault="008762B8" w:rsidP="008762B8">
      <w:pPr>
        <w:pStyle w:val="Heading1"/>
        <w:rPr>
          <w:rFonts w:eastAsia="Times New Roman"/>
        </w:rPr>
      </w:pPr>
      <w:r>
        <w:rPr>
          <w:rFonts w:eastAsia="Times New Roman"/>
        </w:rPr>
        <w:t>Dashboard</w:t>
      </w:r>
    </w:p>
    <w:p w14:paraId="4D466EC0" w14:textId="77777777" w:rsidR="008762B8" w:rsidRPr="00CB1AF1" w:rsidRDefault="008762B8" w:rsidP="001D17DB">
      <w:pPr>
        <w:keepNext/>
        <w:keepLines/>
        <w:spacing w:before="120" w:after="80" w:line="240" w:lineRule="auto"/>
        <w:outlineLvl w:val="3"/>
        <w:rPr>
          <w:rFonts w:ascii="Times New Roman" w:eastAsia="Times New Roman" w:hAnsi="Times New Roman" w:cs="Times New Roman"/>
          <w:bCs/>
          <w:iCs/>
          <w:kern w:val="28"/>
          <w:sz w:val="24"/>
          <w:szCs w:val="20"/>
        </w:rPr>
      </w:pPr>
    </w:p>
    <w:p w14:paraId="116AEB70" w14:textId="77777777" w:rsidR="008B2FED" w:rsidRDefault="008B2FED" w:rsidP="001D17DB">
      <w:pPr>
        <w:keepNext/>
        <w:keepLines/>
        <w:spacing w:before="120" w:after="80" w:line="240" w:lineRule="auto"/>
        <w:outlineLvl w:val="3"/>
        <w:rPr>
          <w:rFonts w:ascii="Times New Roman" w:eastAsia="Times New Roman" w:hAnsi="Times New Roman" w:cs="Times New Roman"/>
          <w:b/>
          <w:i/>
          <w:kern w:val="28"/>
          <w:sz w:val="24"/>
          <w:szCs w:val="20"/>
        </w:rPr>
      </w:pPr>
    </w:p>
    <w:p w14:paraId="2E6BCC5B" w14:textId="2C59F078" w:rsidR="001D17DB" w:rsidRPr="001D17DB" w:rsidRDefault="001D17DB" w:rsidP="001D17DB">
      <w:pPr>
        <w:keepNext/>
        <w:keepLines/>
        <w:spacing w:before="120" w:after="80" w:line="240" w:lineRule="auto"/>
        <w:outlineLvl w:val="3"/>
        <w:rPr>
          <w:rFonts w:ascii="Times New Roman" w:eastAsia="Times New Roman" w:hAnsi="Times New Roman" w:cs="Times New Roman"/>
          <w:b/>
          <w:i/>
          <w:kern w:val="28"/>
          <w:sz w:val="24"/>
          <w:szCs w:val="20"/>
        </w:rPr>
      </w:pPr>
      <w:r w:rsidRPr="001D17DB">
        <w:rPr>
          <w:rFonts w:ascii="Times New Roman" w:eastAsia="Times New Roman" w:hAnsi="Times New Roman" w:cs="Times New Roman"/>
          <w:b/>
          <w:i/>
          <w:kern w:val="28"/>
          <w:sz w:val="24"/>
          <w:szCs w:val="20"/>
        </w:rPr>
        <w:t>Tabular summary of Null/Blank Columns</w:t>
      </w:r>
    </w:p>
    <w:p w14:paraId="788B7D2C" w14:textId="77777777" w:rsidR="001D17DB" w:rsidRPr="001D17DB" w:rsidRDefault="001D17DB" w:rsidP="001D17D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90"/>
        <w:gridCol w:w="2520"/>
        <w:gridCol w:w="1440"/>
        <w:gridCol w:w="1620"/>
        <w:gridCol w:w="1440"/>
      </w:tblGrid>
      <w:tr w:rsidR="001D17DB" w:rsidRPr="001D17DB" w14:paraId="31301D8F" w14:textId="77777777" w:rsidTr="00B54689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90" w:type="dxa"/>
            <w:shd w:val="clear" w:color="auto" w:fill="000080"/>
          </w:tcPr>
          <w:p w14:paraId="1A4DF114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</w:pPr>
            <w:r w:rsidRPr="001D17DB"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  <w:t>Table Name</w:t>
            </w:r>
          </w:p>
        </w:tc>
        <w:tc>
          <w:tcPr>
            <w:tcW w:w="2520" w:type="dxa"/>
            <w:shd w:val="clear" w:color="auto" w:fill="000080"/>
          </w:tcPr>
          <w:p w14:paraId="3B265BEA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</w:pPr>
            <w:r w:rsidRPr="001D17DB"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  <w:t>Column Name</w:t>
            </w:r>
          </w:p>
        </w:tc>
        <w:tc>
          <w:tcPr>
            <w:tcW w:w="1440" w:type="dxa"/>
            <w:shd w:val="clear" w:color="auto" w:fill="000080"/>
          </w:tcPr>
          <w:p w14:paraId="49A0FD12" w14:textId="77777777" w:rsidR="001D17DB" w:rsidRPr="001D17DB" w:rsidRDefault="001D17DB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</w:pPr>
            <w:r w:rsidRPr="001D17DB"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  <w:t>Total Records</w:t>
            </w:r>
          </w:p>
        </w:tc>
        <w:tc>
          <w:tcPr>
            <w:tcW w:w="1620" w:type="dxa"/>
            <w:shd w:val="clear" w:color="auto" w:fill="000080"/>
          </w:tcPr>
          <w:p w14:paraId="401965F1" w14:textId="77777777" w:rsidR="001D17DB" w:rsidRPr="001D17DB" w:rsidRDefault="001D17DB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</w:pPr>
            <w:r w:rsidRPr="001D17DB"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  <w:t>Invalid Records</w:t>
            </w:r>
          </w:p>
        </w:tc>
        <w:tc>
          <w:tcPr>
            <w:tcW w:w="1440" w:type="dxa"/>
            <w:shd w:val="clear" w:color="auto" w:fill="000080"/>
          </w:tcPr>
          <w:p w14:paraId="2968B68E" w14:textId="77777777" w:rsidR="001D17DB" w:rsidRPr="001D17DB" w:rsidRDefault="001D17DB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</w:pPr>
            <w:r w:rsidRPr="001D17DB"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  <w:t>% Null/Blank</w:t>
            </w:r>
          </w:p>
        </w:tc>
      </w:tr>
      <w:tr w:rsidR="001D17DB" w:rsidRPr="001D17DB" w14:paraId="2C0F8414" w14:textId="77777777" w:rsidTr="00B54689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90" w:type="dxa"/>
          </w:tcPr>
          <w:p w14:paraId="1DEAC4BA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dataset</w:t>
            </w:r>
          </w:p>
        </w:tc>
        <w:tc>
          <w:tcPr>
            <w:tcW w:w="2520" w:type="dxa"/>
          </w:tcPr>
          <w:p w14:paraId="5289DBE0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Invoiceno</w:t>
            </w:r>
            <w:proofErr w:type="spellEnd"/>
          </w:p>
        </w:tc>
        <w:tc>
          <w:tcPr>
            <w:tcW w:w="1440" w:type="dxa"/>
          </w:tcPr>
          <w:p w14:paraId="0DC50515" w14:textId="77777777" w:rsidR="001D17DB" w:rsidRPr="001D17DB" w:rsidRDefault="001D17DB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541909</w:t>
            </w:r>
          </w:p>
        </w:tc>
        <w:tc>
          <w:tcPr>
            <w:tcW w:w="1620" w:type="dxa"/>
          </w:tcPr>
          <w:p w14:paraId="5A60AEE6" w14:textId="77777777" w:rsidR="001D17DB" w:rsidRPr="001D17DB" w:rsidRDefault="005E6F3A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1440" w:type="dxa"/>
            <w:shd w:val="clear" w:color="FFFF00" w:fill="00FFFF"/>
          </w:tcPr>
          <w:p w14:paraId="4A229734" w14:textId="109936A1" w:rsidR="001D17DB" w:rsidRPr="001D17DB" w:rsidRDefault="00613E63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  <w:r w:rsidR="001D17DB" w:rsidRPr="001D17DB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%</w:t>
            </w:r>
          </w:p>
        </w:tc>
      </w:tr>
      <w:tr w:rsidR="001D17DB" w:rsidRPr="001D17DB" w14:paraId="53F8FA77" w14:textId="77777777" w:rsidTr="00B54689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90" w:type="dxa"/>
          </w:tcPr>
          <w:p w14:paraId="6A4AB31A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</w:p>
        </w:tc>
        <w:tc>
          <w:tcPr>
            <w:tcW w:w="2520" w:type="dxa"/>
          </w:tcPr>
          <w:p w14:paraId="4EC5E35B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invoicedate</w:t>
            </w:r>
            <w:proofErr w:type="spellEnd"/>
          </w:p>
        </w:tc>
        <w:tc>
          <w:tcPr>
            <w:tcW w:w="1440" w:type="dxa"/>
          </w:tcPr>
          <w:p w14:paraId="18AFFE04" w14:textId="77777777" w:rsidR="001D17DB" w:rsidRPr="001D17DB" w:rsidRDefault="005E6F3A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541909</w:t>
            </w:r>
          </w:p>
        </w:tc>
        <w:tc>
          <w:tcPr>
            <w:tcW w:w="1620" w:type="dxa"/>
          </w:tcPr>
          <w:p w14:paraId="32B09EC5" w14:textId="77777777" w:rsidR="001D17DB" w:rsidRPr="001D17DB" w:rsidRDefault="005E6F3A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1440" w:type="dxa"/>
            <w:shd w:val="clear" w:color="FFFF00" w:fill="00FFFF"/>
          </w:tcPr>
          <w:p w14:paraId="3CC7B1B3" w14:textId="5E4A3FAF" w:rsidR="001D17DB" w:rsidRPr="001D17DB" w:rsidRDefault="00613E63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  <w:r w:rsidR="001D17DB" w:rsidRPr="001D17DB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%</w:t>
            </w:r>
          </w:p>
        </w:tc>
      </w:tr>
      <w:tr w:rsidR="001D17DB" w:rsidRPr="001D17DB" w14:paraId="3B26B008" w14:textId="77777777" w:rsidTr="00B54689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90" w:type="dxa"/>
          </w:tcPr>
          <w:p w14:paraId="11AD8A4A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</w:p>
        </w:tc>
        <w:tc>
          <w:tcPr>
            <w:tcW w:w="2520" w:type="dxa"/>
          </w:tcPr>
          <w:p w14:paraId="499EF14E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customerid</w:t>
            </w:r>
            <w:proofErr w:type="spellEnd"/>
          </w:p>
        </w:tc>
        <w:tc>
          <w:tcPr>
            <w:tcW w:w="1440" w:type="dxa"/>
          </w:tcPr>
          <w:p w14:paraId="719C0E8E" w14:textId="77777777" w:rsidR="001D17DB" w:rsidRPr="001D17DB" w:rsidRDefault="005E6F3A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541909</w:t>
            </w:r>
          </w:p>
        </w:tc>
        <w:tc>
          <w:tcPr>
            <w:tcW w:w="1620" w:type="dxa"/>
          </w:tcPr>
          <w:p w14:paraId="0AE759E5" w14:textId="77777777" w:rsidR="001D17DB" w:rsidRPr="001D17DB" w:rsidRDefault="005E6F3A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135080</w:t>
            </w:r>
          </w:p>
        </w:tc>
        <w:tc>
          <w:tcPr>
            <w:tcW w:w="1440" w:type="dxa"/>
            <w:shd w:val="clear" w:color="FFFF00" w:fill="00FFFF"/>
          </w:tcPr>
          <w:p w14:paraId="687066DA" w14:textId="111892BB" w:rsidR="001D17DB" w:rsidRPr="001D17DB" w:rsidRDefault="00274B18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24.9</w:t>
            </w:r>
            <w:r w:rsidR="00F22171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3</w:t>
            </w:r>
            <w:r w:rsidR="001D17DB" w:rsidRPr="001D17DB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%</w:t>
            </w:r>
          </w:p>
        </w:tc>
      </w:tr>
      <w:tr w:rsidR="001D17DB" w:rsidRPr="001D17DB" w14:paraId="6A1A2FE6" w14:textId="77777777" w:rsidTr="00B54689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1290" w:type="dxa"/>
          </w:tcPr>
          <w:p w14:paraId="563BFFE4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</w:p>
        </w:tc>
        <w:tc>
          <w:tcPr>
            <w:tcW w:w="2520" w:type="dxa"/>
          </w:tcPr>
          <w:p w14:paraId="56D4B7A0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country</w:t>
            </w:r>
          </w:p>
        </w:tc>
        <w:tc>
          <w:tcPr>
            <w:tcW w:w="1440" w:type="dxa"/>
          </w:tcPr>
          <w:p w14:paraId="3995613F" w14:textId="77777777" w:rsidR="001D17DB" w:rsidRPr="001D17DB" w:rsidRDefault="005E6F3A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541909</w:t>
            </w:r>
          </w:p>
        </w:tc>
        <w:tc>
          <w:tcPr>
            <w:tcW w:w="1620" w:type="dxa"/>
          </w:tcPr>
          <w:p w14:paraId="32C08BD9" w14:textId="77777777" w:rsidR="001D17DB" w:rsidRPr="001D17DB" w:rsidRDefault="005E6F3A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1440" w:type="dxa"/>
            <w:shd w:val="clear" w:color="FFFF00" w:fill="00FFFF"/>
          </w:tcPr>
          <w:p w14:paraId="1FC1D522" w14:textId="232501AF" w:rsidR="001D17DB" w:rsidRPr="001D17DB" w:rsidRDefault="00613E63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  <w:r w:rsidR="001D17DB" w:rsidRPr="001D17DB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%</w:t>
            </w:r>
          </w:p>
        </w:tc>
      </w:tr>
      <w:tr w:rsidR="001D17DB" w:rsidRPr="001D17DB" w14:paraId="3D446F48" w14:textId="77777777" w:rsidTr="00B54689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90" w:type="dxa"/>
          </w:tcPr>
          <w:p w14:paraId="09AC6D64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</w:p>
        </w:tc>
        <w:tc>
          <w:tcPr>
            <w:tcW w:w="2520" w:type="dxa"/>
          </w:tcPr>
          <w:p w14:paraId="36ED38D8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stockcode</w:t>
            </w:r>
            <w:proofErr w:type="spellEnd"/>
          </w:p>
        </w:tc>
        <w:tc>
          <w:tcPr>
            <w:tcW w:w="1440" w:type="dxa"/>
          </w:tcPr>
          <w:p w14:paraId="45AA940E" w14:textId="77777777" w:rsidR="001D17DB" w:rsidRPr="001D17DB" w:rsidRDefault="005E6F3A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541909</w:t>
            </w:r>
          </w:p>
        </w:tc>
        <w:tc>
          <w:tcPr>
            <w:tcW w:w="1620" w:type="dxa"/>
          </w:tcPr>
          <w:p w14:paraId="3BFEB1E8" w14:textId="1A68E4C6" w:rsidR="001D17DB" w:rsidRPr="001D17DB" w:rsidRDefault="00EF5A00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1440" w:type="dxa"/>
            <w:shd w:val="clear" w:color="FFFF00" w:fill="00FFFF"/>
          </w:tcPr>
          <w:p w14:paraId="34FBDC6F" w14:textId="6C3957B5" w:rsidR="001D17DB" w:rsidRPr="001D17DB" w:rsidRDefault="00613E63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  <w:r w:rsidR="001D17DB" w:rsidRPr="001D17DB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%</w:t>
            </w:r>
          </w:p>
        </w:tc>
      </w:tr>
      <w:tr w:rsidR="001D17DB" w:rsidRPr="001D17DB" w14:paraId="7EA8A304" w14:textId="77777777" w:rsidTr="00B54689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90" w:type="dxa"/>
          </w:tcPr>
          <w:p w14:paraId="056DF8A6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</w:p>
        </w:tc>
        <w:tc>
          <w:tcPr>
            <w:tcW w:w="2520" w:type="dxa"/>
          </w:tcPr>
          <w:p w14:paraId="66E8A376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440" w:type="dxa"/>
          </w:tcPr>
          <w:p w14:paraId="05D3D7B0" w14:textId="77777777" w:rsidR="001D17DB" w:rsidRPr="001D17DB" w:rsidRDefault="005E6F3A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541909</w:t>
            </w:r>
          </w:p>
        </w:tc>
        <w:tc>
          <w:tcPr>
            <w:tcW w:w="1620" w:type="dxa"/>
          </w:tcPr>
          <w:p w14:paraId="2B062B0B" w14:textId="3D2C875F" w:rsidR="001D17DB" w:rsidRPr="001D17DB" w:rsidRDefault="00EF5A00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1454</w:t>
            </w:r>
          </w:p>
        </w:tc>
        <w:tc>
          <w:tcPr>
            <w:tcW w:w="1440" w:type="dxa"/>
            <w:shd w:val="clear" w:color="FFFF00" w:fill="00FFFF"/>
          </w:tcPr>
          <w:p w14:paraId="26AE1000" w14:textId="54F65E6A" w:rsidR="001D17DB" w:rsidRPr="001D17DB" w:rsidRDefault="00EA66E7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0.27</w:t>
            </w:r>
            <w:r w:rsidR="001D17DB" w:rsidRPr="001D17DB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%</w:t>
            </w:r>
          </w:p>
        </w:tc>
      </w:tr>
      <w:tr w:rsidR="001D17DB" w:rsidRPr="001D17DB" w14:paraId="6B40B76C" w14:textId="77777777" w:rsidTr="00B54689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90" w:type="dxa"/>
          </w:tcPr>
          <w:p w14:paraId="2682DA8C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</w:p>
        </w:tc>
        <w:tc>
          <w:tcPr>
            <w:tcW w:w="2520" w:type="dxa"/>
          </w:tcPr>
          <w:p w14:paraId="0506FDB6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quantity</w:t>
            </w:r>
          </w:p>
        </w:tc>
        <w:tc>
          <w:tcPr>
            <w:tcW w:w="1440" w:type="dxa"/>
          </w:tcPr>
          <w:p w14:paraId="783FE237" w14:textId="77777777" w:rsidR="001D17DB" w:rsidRPr="001D17DB" w:rsidRDefault="005E6F3A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541909</w:t>
            </w:r>
          </w:p>
        </w:tc>
        <w:tc>
          <w:tcPr>
            <w:tcW w:w="1620" w:type="dxa"/>
          </w:tcPr>
          <w:p w14:paraId="45D6538A" w14:textId="0F3B0C93" w:rsidR="001D17DB" w:rsidRPr="001D17DB" w:rsidRDefault="00EF5A00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1440" w:type="dxa"/>
            <w:shd w:val="clear" w:color="FFFF00" w:fill="00FFFF"/>
          </w:tcPr>
          <w:p w14:paraId="4A4F9CD7" w14:textId="2012EF34" w:rsidR="001D17DB" w:rsidRPr="001D17DB" w:rsidRDefault="00613E63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  <w:r w:rsidR="001D17DB" w:rsidRPr="001D17DB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%</w:t>
            </w:r>
          </w:p>
        </w:tc>
      </w:tr>
      <w:tr w:rsidR="001D17DB" w:rsidRPr="001D17DB" w14:paraId="78C7BECE" w14:textId="77777777" w:rsidTr="00B54689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1290" w:type="dxa"/>
          </w:tcPr>
          <w:p w14:paraId="2CC9A9D7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</w:p>
        </w:tc>
        <w:tc>
          <w:tcPr>
            <w:tcW w:w="2520" w:type="dxa"/>
          </w:tcPr>
          <w:p w14:paraId="4F855D78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unitprice</w:t>
            </w:r>
            <w:proofErr w:type="spellEnd"/>
          </w:p>
        </w:tc>
        <w:tc>
          <w:tcPr>
            <w:tcW w:w="1440" w:type="dxa"/>
          </w:tcPr>
          <w:p w14:paraId="4A5F9F8E" w14:textId="77777777" w:rsidR="001D17DB" w:rsidRPr="001D17DB" w:rsidRDefault="005E6F3A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541909</w:t>
            </w:r>
          </w:p>
        </w:tc>
        <w:tc>
          <w:tcPr>
            <w:tcW w:w="1620" w:type="dxa"/>
          </w:tcPr>
          <w:p w14:paraId="5178F80E" w14:textId="1EBA91C2" w:rsidR="001D17DB" w:rsidRPr="001D17DB" w:rsidRDefault="00EF5A00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1440" w:type="dxa"/>
            <w:shd w:val="clear" w:color="FFFF00" w:fill="00FFFF"/>
          </w:tcPr>
          <w:p w14:paraId="28D11963" w14:textId="7B821BEA" w:rsidR="001D17DB" w:rsidRPr="001D17DB" w:rsidRDefault="00613E63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  <w:r w:rsidR="001D17DB" w:rsidRPr="001D17DB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%</w:t>
            </w:r>
          </w:p>
        </w:tc>
      </w:tr>
    </w:tbl>
    <w:p w14:paraId="21EFEEDB" w14:textId="751C5804" w:rsidR="00363163" w:rsidRDefault="00026250" w:rsidP="00026250">
      <w:pPr>
        <w:pStyle w:val="ListParagraph"/>
        <w:numPr>
          <w:ilvl w:val="0"/>
          <w:numId w:val="1"/>
        </w:numPr>
      </w:pPr>
      <w:r>
        <w:t>1454 null values</w:t>
      </w:r>
      <w:r w:rsidR="004A32FE">
        <w:t xml:space="preserve"> for description are included in the </w:t>
      </w:r>
      <w:proofErr w:type="spellStart"/>
      <w:r w:rsidR="004A32FE">
        <w:t>customerid</w:t>
      </w:r>
      <w:proofErr w:type="spellEnd"/>
      <w:r w:rsidR="004A32FE">
        <w:t xml:space="preserve"> invalid records</w:t>
      </w:r>
    </w:p>
    <w:p w14:paraId="3C7D65C6" w14:textId="3FE3A98C" w:rsidR="00EF5A00" w:rsidRDefault="00EF5A00"/>
    <w:p w14:paraId="1BEC294B" w14:textId="4DF8D605" w:rsidR="00042497" w:rsidRDefault="00042497"/>
    <w:p w14:paraId="5E376B5C" w14:textId="3CAEFC35" w:rsidR="00042497" w:rsidRDefault="00042497">
      <w:proofErr w:type="spellStart"/>
      <w:r>
        <w:t>Stockcode</w:t>
      </w:r>
      <w:proofErr w:type="spellEnd"/>
      <w:r w:rsidR="00BA0A17">
        <w:t xml:space="preserve"> Duplicate Descriptions</w:t>
      </w:r>
    </w:p>
    <w:p w14:paraId="200E54C6" w14:textId="60D6E966" w:rsidR="00BA0A17" w:rsidRDefault="00BA0A17"/>
    <w:p w14:paraId="2FC4D41C" w14:textId="080C8BC4" w:rsidR="00BA0A17" w:rsidRDefault="00BA0A17">
      <w:r>
        <w:t xml:space="preserve">Used the following query to identify </w:t>
      </w:r>
      <w:r w:rsidR="006816AF">
        <w:t xml:space="preserve">duplicate </w:t>
      </w:r>
      <w:proofErr w:type="spellStart"/>
      <w:r w:rsidR="006816AF">
        <w:t>stockcode</w:t>
      </w:r>
      <w:proofErr w:type="spellEnd"/>
      <w:r w:rsidR="006816AF">
        <w:t xml:space="preserve"> descriptions</w:t>
      </w:r>
    </w:p>
    <w:p w14:paraId="515D7DAE" w14:textId="77777777" w:rsidR="006816AF" w:rsidRDefault="006816AF" w:rsidP="006816AF"/>
    <w:p w14:paraId="33F3EA42" w14:textId="67F8DDAF" w:rsidR="006816AF" w:rsidRDefault="006816AF" w:rsidP="006816AF">
      <w:r>
        <w:t xml:space="preserve">SELECT </w:t>
      </w:r>
      <w:proofErr w:type="spellStart"/>
      <w:r>
        <w:t>stockcode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description) </w:t>
      </w:r>
    </w:p>
    <w:p w14:paraId="2F6EAA2A" w14:textId="77777777" w:rsidR="006816AF" w:rsidRDefault="006816AF" w:rsidP="006816AF">
      <w:r>
        <w:t xml:space="preserve">FROM </w:t>
      </w:r>
      <w:proofErr w:type="spellStart"/>
      <w:proofErr w:type="gramStart"/>
      <w:r>
        <w:t>ods.d</w:t>
      </w:r>
      <w:proofErr w:type="gramEnd"/>
      <w:r>
        <w:t>_product</w:t>
      </w:r>
      <w:proofErr w:type="spellEnd"/>
    </w:p>
    <w:p w14:paraId="4382CBF9" w14:textId="77777777" w:rsidR="006816AF" w:rsidRDefault="006816AF" w:rsidP="006816AF">
      <w:r>
        <w:t xml:space="preserve">GROUP BY </w:t>
      </w:r>
      <w:proofErr w:type="spellStart"/>
      <w:r>
        <w:t>stockcode</w:t>
      </w:r>
      <w:proofErr w:type="spellEnd"/>
    </w:p>
    <w:p w14:paraId="0BD7EA93" w14:textId="77777777" w:rsidR="006816AF" w:rsidRDefault="006816AF" w:rsidP="006816AF">
      <w:r>
        <w:t xml:space="preserve">HAVING </w:t>
      </w:r>
      <w:proofErr w:type="gramStart"/>
      <w:r>
        <w:t>COUNT(</w:t>
      </w:r>
      <w:proofErr w:type="spellStart"/>
      <w:proofErr w:type="gramEnd"/>
      <w:r>
        <w:t>stockcode</w:t>
      </w:r>
      <w:proofErr w:type="spellEnd"/>
      <w:r>
        <w:t>) &gt; 1</w:t>
      </w:r>
    </w:p>
    <w:p w14:paraId="645A974C" w14:textId="754EB814" w:rsidR="006816AF" w:rsidRDefault="006816AF" w:rsidP="006816AF">
      <w:r>
        <w:t xml:space="preserve">order by </w:t>
      </w:r>
      <w:proofErr w:type="spellStart"/>
      <w:r>
        <w:t>stockcode</w:t>
      </w:r>
      <w:proofErr w:type="spellEnd"/>
    </w:p>
    <w:p w14:paraId="3E6D4977" w14:textId="0AAB66C3" w:rsidR="00A76144" w:rsidRDefault="00A76144"/>
    <w:p w14:paraId="6C92058D" w14:textId="29BB4E30" w:rsidR="006816AF" w:rsidRDefault="006816AF">
      <w:r>
        <w:t xml:space="preserve">Solution – added </w:t>
      </w:r>
      <w:r w:rsidR="001F1484">
        <w:t xml:space="preserve">Unique Rows step to sort on the </w:t>
      </w:r>
      <w:proofErr w:type="spellStart"/>
      <w:r w:rsidR="001F1484">
        <w:t>stockcode</w:t>
      </w:r>
      <w:proofErr w:type="spellEnd"/>
      <w:r w:rsidR="001F1484">
        <w:t xml:space="preserve"> and select the first record in the </w:t>
      </w:r>
      <w:proofErr w:type="spellStart"/>
      <w:r w:rsidR="001F1484">
        <w:t>dupcate</w:t>
      </w:r>
      <w:proofErr w:type="spellEnd"/>
      <w:r w:rsidR="001F1484">
        <w:t xml:space="preserve"> list</w:t>
      </w:r>
    </w:p>
    <w:p w14:paraId="2EB13364" w14:textId="77777777" w:rsidR="00A76144" w:rsidRDefault="00A76144"/>
    <w:sectPr w:rsidR="00A7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Sans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M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437EC"/>
    <w:multiLevelType w:val="hybridMultilevel"/>
    <w:tmpl w:val="FBDE3DD0"/>
    <w:lvl w:ilvl="0" w:tplc="BCD02FEC">
      <w:start w:val="7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DB"/>
    <w:rsid w:val="00005AFF"/>
    <w:rsid w:val="00026250"/>
    <w:rsid w:val="00042497"/>
    <w:rsid w:val="00197DF0"/>
    <w:rsid w:val="001D17DB"/>
    <w:rsid w:val="001F1484"/>
    <w:rsid w:val="00274B18"/>
    <w:rsid w:val="00293AAB"/>
    <w:rsid w:val="00363163"/>
    <w:rsid w:val="004A32FE"/>
    <w:rsid w:val="00575649"/>
    <w:rsid w:val="00587081"/>
    <w:rsid w:val="005E6F3A"/>
    <w:rsid w:val="00613E63"/>
    <w:rsid w:val="00663013"/>
    <w:rsid w:val="006816AF"/>
    <w:rsid w:val="00781DC7"/>
    <w:rsid w:val="00824DC5"/>
    <w:rsid w:val="008762B8"/>
    <w:rsid w:val="008B2FED"/>
    <w:rsid w:val="0090747D"/>
    <w:rsid w:val="009A1653"/>
    <w:rsid w:val="00A671F2"/>
    <w:rsid w:val="00A76144"/>
    <w:rsid w:val="00B329D9"/>
    <w:rsid w:val="00BA0A17"/>
    <w:rsid w:val="00BA293D"/>
    <w:rsid w:val="00BF296D"/>
    <w:rsid w:val="00CB1AF1"/>
    <w:rsid w:val="00E52D8A"/>
    <w:rsid w:val="00EA66E7"/>
    <w:rsid w:val="00EF5A00"/>
    <w:rsid w:val="00F2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1D52"/>
  <w15:chartTrackingRefBased/>
  <w15:docId w15:val="{DBBD6479-8A1B-4077-8636-5B2F808D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1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2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2FE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8B2F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671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1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93A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3A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3AA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3A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40A768EE156E4E80A490500D0481A0" ma:contentTypeVersion="13" ma:contentTypeDescription="Create a new document." ma:contentTypeScope="" ma:versionID="830c75e88c7391af5c0dccb77ca3e10b">
  <xsd:schema xmlns:xsd="http://www.w3.org/2001/XMLSchema" xmlns:xs="http://www.w3.org/2001/XMLSchema" xmlns:p="http://schemas.microsoft.com/office/2006/metadata/properties" xmlns:ns2="abc673ad-1f1e-4680-9df7-f090cd406dba" xmlns:ns3="6c7e1c76-7af7-46d3-8d8f-67810b86aba8" targetNamespace="http://schemas.microsoft.com/office/2006/metadata/properties" ma:root="true" ma:fieldsID="be47611bd0c0961437241d511db4ebb8" ns2:_="" ns3:_="">
    <xsd:import namespace="abc673ad-1f1e-4680-9df7-f090cd406dba"/>
    <xsd:import namespace="6c7e1c76-7af7-46d3-8d8f-67810b86aba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673ad-1f1e-4680-9df7-f090cd406d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e1c76-7af7-46d3-8d8f-67810b86ab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408F7-D622-4032-A3EE-0D98393F0B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c673ad-1f1e-4680-9df7-f090cd406dba"/>
    <ds:schemaRef ds:uri="6c7e1c76-7af7-46d3-8d8f-67810b86ab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C1BA33-267A-4020-B94B-9DC4B2B316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7C88B-6583-4602-A158-CA910C637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77B459-C522-42D2-8F45-34700471E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3103</TotalTime>
  <Pages>6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 Iarusci</dc:creator>
  <cp:keywords/>
  <dc:description/>
  <cp:lastModifiedBy>Vine Iarusci</cp:lastModifiedBy>
  <cp:revision>31</cp:revision>
  <dcterms:created xsi:type="dcterms:W3CDTF">2020-05-12T21:59:00Z</dcterms:created>
  <dcterms:modified xsi:type="dcterms:W3CDTF">2020-05-15T01:42:00Z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0x010100BD40A768EE156E4E80A490500D0481A0</vt:lpwstr>
  </property>
</Properties>
</file>