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before="3000"/>
        <w:jc w:val="center"/>
      </w:pPr>
      <w:r>
        <w:rPr>
          <w:b/>
          <w:bCs/>
          <w:color w:val="1F3864"/>
          <w:sz w:val="56"/>
          <w:szCs w:val="56"/>
        </w:rPr>
        <w:t xml:space="preserve">CLOSING ACTUARIEL</w:t>
      </w:r>
    </w:p>
    <w:p>
      <w:pPr>
        <w:spacing w:after="1200"/>
        <w:jc w:val="center"/>
      </w:pPr>
      <w:r>
        <w:rPr>
          <w:b/>
          <w:bCs/>
          <w:color w:val="1F3864"/>
          <w:sz w:val="40"/>
          <w:szCs w:val="40"/>
        </w:rPr>
        <w:t xml:space="preserve">ET SUIVI DES RISQUES TECHNIQUES</w:t>
      </w:r>
    </w:p>
    <w:p>
      <w:pPr>
        <w:spacing w:after="600"/>
        <w:jc w:val="center"/>
      </w:pPr>
      <w:r>
        <w:rPr>
          <w:i/>
          <w:iCs/>
          <w:color w:val="595959"/>
          <w:sz w:val="28"/>
          <w:szCs w:val="28"/>
        </w:rPr>
        <w:t xml:space="preserve">Étude actuarielle complète d'un portefeuille MTPL</w:t>
      </w:r>
    </w:p>
    <w:p>
      <w:pPr>
        <w:spacing w:after="2400"/>
        <w:jc w:val="center"/>
      </w:pPr>
      <w:r>
        <w:rPr>
          <w:i/>
          <w:iCs/>
          <w:color w:val="595959"/>
          <w:sz w:val="22"/>
          <w:szCs w:val="22"/>
        </w:rPr>
        <w:t xml:space="preserve">Provisionnement · Adéquation IFRS 4 · Boni-mali · Compte technique · Automatisation BAU</w:t>
      </w:r>
    </w:p>
    <w:p>
      <w:pPr>
        <w:spacing w:after="200"/>
        <w:jc w:val="center"/>
      </w:pPr>
      <w:r>
        <w:rPr>
          <w:b/>
          <w:bCs/>
          <w:sz w:val="24"/>
          <w:szCs w:val="24"/>
        </w:rPr>
        <w:t xml:space="preserve">Document de présentation du portfolio</w:t>
      </w:r>
    </w:p>
    <w:p>
      <w:pPr>
        <w:spacing w:after="200"/>
        <w:jc w:val="center"/>
      </w:pPr>
      <w:r>
        <w:rPr>
          <w:sz w:val="22"/>
          <w:szCs w:val="22"/>
        </w:rPr>
        <w:t xml:space="preserve">Mai 2026</w:t>
      </w:r>
    </w:p>
    <w:p>
      <w:r>
        <w:br w:type="page"/>
      </w:r>
    </w:p>
    <w:p>
      <w:pPr>
        <w:pStyle w:val="Heading1"/>
      </w:pPr>
      <w:r>
        <w:t xml:space="preserve">Sommaire</w:t>
      </w:r>
    </w:p>
    <w:sdt>
      <w:sdtPr>
        <w:alias w:val="Sommaire"/>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Résumé exécutif</w:t>
      </w:r>
    </w:p>
    <w:p>
      <w:pPr>
        <w:spacing w:after="120" w:line="300"/>
        <w:jc w:val="both"/>
      </w:pPr>
      <w:r>
        <w:rPr>
          <w:b w:val="false"/>
          <w:bCs w:val="false"/>
          <w:i w:val="false"/>
          <w:iCs w:val="false"/>
          <w:color w:val="000000"/>
          <w:sz w:val="22"/>
          <w:szCs w:val="22"/>
        </w:rPr>
        <w:t xml:space="preserve">Ce projet construit, de bout en bout, le processus de clôture actuarielle d'un portefeuille non-vie en responsabilité civile automobile (MTPL). Il couvre l'intégralité de la chaîne d'analyse demandée à une équipe de Technical Risk Monitoring : ingestion des données, provisionnement des sinistres, test d'adéquation des provisions sous référentiel IFRS 4, analyse boni-mali, production du compte technique, et industrialisation du processus de clôture sous forme d'un pipeline rejouable trimestriellement.</w:t>
      </w:r>
    </w:p>
    <w:p>
      <w:pPr>
        <w:spacing w:after="120" w:line="300"/>
        <w:jc w:val="both"/>
      </w:pPr>
      <w:r>
        <w:rPr>
          <w:b w:val="false"/>
          <w:bCs w:val="false"/>
          <w:i w:val="false"/>
          <w:iCs w:val="false"/>
          <w:color w:val="000000"/>
          <w:sz w:val="22"/>
          <w:szCs w:val="22"/>
        </w:rPr>
        <w:t xml:space="preserve">Le portefeuille analysé compte 50 000 polices sur cinq années de survenance (2021-2025), pour des primes acquises totales de 32,7 millions d'euros et une charge ultime estimée à 18,9 millions d'euros. La clôture 2025 fait ressortir un résultat technique net de +253 k€, soit un ratio combiné global de 96,1 % qui masque un fort contraste entre les segments : les Flottes affichent un ratio combiné de 79,2 % (très rentables), tandis que les Particuliers ressortent à 108,2 % (en perte technique).</w:t>
      </w:r>
    </w:p>
    <w:tbl>
      <w:tblPr>
        <w:tblW w:type="dxa" w:w="9026"/>
        <w:tblBorders>
          <w:top w:val="none" w:color="FFFFFF" w:sz="0"/>
          <w:left w:val="single" w:color="2E5496" w:sz="24"/>
          <w:bottom w:val="none" w:color="FFFFFF" w:sz="0"/>
          <w:right w:val="none" w:color="FFFFFF" w:sz="0"/>
          <w:insideH w:val="none" w:color="FFFFFF" w:sz="0"/>
          <w:insideV w:val="none" w:color="FFFFFF" w:sz="0"/>
        </w:tblBorders>
      </w:tblPr>
      <w:tblGrid>
        <w:gridCol w:w="9026"/>
      </w:tblGrid>
      <w:tr>
        <w:tc>
          <w:tcPr>
            <w:tcW w:type="dxa" w:w="9026"/>
            <w:shd w:fill="D6E0F0" w:val="clear"/>
            <w:tcMar>
              <w:top w:type="dxa" w:w="120"/>
              <w:left w:type="dxa" w:w="200"/>
              <w:bottom w:type="dxa" w:w="120"/>
              <w:right w:type="dxa" w:w="200"/>
            </w:tcMar>
          </w:tcPr>
          <w:p>
            <w:pPr>
              <w:spacing w:after="80"/>
            </w:pPr>
            <w:r>
              <w:rPr>
                <w:b/>
                <w:bCs/>
                <w:color w:val="1F3864"/>
                <w:sz w:val="22"/>
                <w:szCs w:val="22"/>
              </w:rPr>
              <w:t xml:space="preserve">Diagnostic central</w:t>
            </w:r>
          </w:p>
          <w:p>
            <w:pPr>
              <w:jc w:val="both"/>
            </w:pPr>
            <w:r>
              <w:rPr>
                <w:i/>
                <w:iCs/>
                <w:sz w:val="22"/>
                <w:szCs w:val="22"/>
              </w:rPr>
              <w:t xml:space="preserve">Quatre analyses indépendantes (provisionnement, adéquation IFRS 4, boni-mali, résultat technique) convergent vers le même constat : le segment Particuliers, cohorte 2023, est simultanément sous-provisionné, sous-tarifé et en perte technique. Cette triangulation cohérente confère au diagnostic une robustesse opérationnelle qu'aucune analyse isolée ne pourrait offrir.</w:t>
            </w:r>
          </w:p>
        </w:tc>
      </w:tr>
    </w:tbl>
    <w:p>
      <w:pPr>
        <w:spacing w:after="120"/>
      </w:pPr>
      <w:r>
        <w:t xml:space="preserve"/>
      </w:r>
    </w:p>
    <w:p>
      <w:pPr>
        <w:spacing w:after="120" w:line="300"/>
        <w:jc w:val="both"/>
      </w:pPr>
      <w:r>
        <w:rPr>
          <w:b w:val="false"/>
          <w:bCs w:val="false"/>
          <w:i w:val="false"/>
          <w:iCs w:val="false"/>
          <w:color w:val="000000"/>
          <w:sz w:val="22"/>
          <w:szCs w:val="22"/>
        </w:rPr>
        <w:t xml:space="preserve">La chaîne complète est encapsulée dans un pipeline Python orchestrant six modules. Ce pipeline produit en une commande l'ensemble des livrables et exécute six contrôles de cohérence automatiques avec seuils d'alerte. Le livrable de pilotage final est un classeur Excel formaté en sept onglets standardisés, avec 56 formules vivantes et zéro erreur de calcul, prêt à être présenté au management.</w:t>
      </w:r>
    </w:p>
    <w:p>
      <w:r>
        <w:br w:type="page"/>
      </w:r>
    </w:p>
    <w:p>
      <w:pPr>
        <w:pStyle w:val="Heading1"/>
      </w:pPr>
      <w:r>
        <w:t xml:space="preserve">2. Vue d'ensemble du projet</w:t>
      </w:r>
    </w:p>
    <w:p>
      <w:pPr>
        <w:pStyle w:val="Heading2"/>
      </w:pPr>
      <w:r>
        <w:t xml:space="preserve">2.1 Objectifs</w:t>
      </w:r>
    </w:p>
    <w:p>
      <w:pPr>
        <w:spacing w:after="120" w:line="300"/>
        <w:jc w:val="both"/>
      </w:pPr>
      <w:r>
        <w:rPr>
          <w:b w:val="false"/>
          <w:bCs w:val="false"/>
          <w:i w:val="false"/>
          <w:iCs w:val="false"/>
          <w:color w:val="000000"/>
          <w:sz w:val="22"/>
          <w:szCs w:val="22"/>
        </w:rPr>
        <w:t xml:space="preserve">Le projet vise à démontrer la maîtrise concrète, livrable par livrable, des cinq grandes missions confiées à un Closing and Risk Monitoring Actuary dans un environnement de bancassurance européen. Chaque module produit un artefact tangible (script, données, note technique, figure, classeur Excel) directement réutilisable comme support d'entretien ou comme base de discussion technique.</w:t>
      </w:r>
    </w:p>
    <w:p>
      <w:pPr>
        <w:pStyle w:val="ListParagraph"/>
        <w:numPr>
          <w:ilvl w:val="0"/>
          <w:numId w:val="2"/>
        </w:numPr>
        <w:spacing w:after="80"/>
      </w:pPr>
      <w:r>
        <w:rPr>
          <w:sz w:val="22"/>
          <w:szCs w:val="22"/>
        </w:rPr>
        <w:t xml:space="preserve">Piloter le processus de clôture trimestrielle de manière reproductible et auditable.</w:t>
      </w:r>
    </w:p>
    <w:p>
      <w:pPr>
        <w:pStyle w:val="ListParagraph"/>
        <w:numPr>
          <w:ilvl w:val="0"/>
          <w:numId w:val="2"/>
        </w:numPr>
        <w:spacing w:after="80"/>
      </w:pPr>
      <w:r>
        <w:rPr>
          <w:sz w:val="22"/>
          <w:szCs w:val="22"/>
        </w:rPr>
        <w:t xml:space="preserve">Évaluer l'adéquation des provisions techniques par triangulation et test IFRS 4.</w:t>
      </w:r>
    </w:p>
    <w:p>
      <w:pPr>
        <w:pStyle w:val="ListParagraph"/>
        <w:numPr>
          <w:ilvl w:val="0"/>
          <w:numId w:val="2"/>
        </w:numPr>
        <w:spacing w:after="80"/>
      </w:pPr>
      <w:r>
        <w:rPr>
          <w:sz w:val="22"/>
          <w:szCs w:val="22"/>
        </w:rPr>
        <w:t xml:space="preserve">Décomposer les boni-mali par cohorte et par segment pour détecter les dérives de réserves.</w:t>
      </w:r>
    </w:p>
    <w:p>
      <w:pPr>
        <w:pStyle w:val="ListParagraph"/>
        <w:numPr>
          <w:ilvl w:val="0"/>
          <w:numId w:val="2"/>
        </w:numPr>
        <w:spacing w:after="80"/>
      </w:pPr>
      <w:r>
        <w:rPr>
          <w:sz w:val="22"/>
          <w:szCs w:val="22"/>
        </w:rPr>
        <w:t xml:space="preserve">Produire le résultat technique trimestriel ventilé avec ses ratios de pilotage.</w:t>
      </w:r>
    </w:p>
    <w:p>
      <w:pPr>
        <w:pStyle w:val="ListParagraph"/>
        <w:numPr>
          <w:ilvl w:val="0"/>
          <w:numId w:val="2"/>
        </w:numPr>
        <w:spacing w:after="80"/>
      </w:pPr>
      <w:r>
        <w:rPr>
          <w:sz w:val="22"/>
          <w:szCs w:val="22"/>
        </w:rPr>
        <w:t xml:space="preserve">Automatiser le BAU sous forme d'un pipeline rejouable assorti de contrôles de cohérence.</w:t>
      </w:r>
    </w:p>
    <w:p>
      <w:pPr>
        <w:pStyle w:val="Heading2"/>
      </w:pPr>
      <w:r>
        <w:t xml:space="preserve">2.2 Architecture en six modules</w:t>
      </w:r>
    </w:p>
    <w:p>
      <w:pPr>
        <w:spacing w:after="120" w:line="300"/>
        <w:jc w:val="both"/>
      </w:pPr>
      <w:r>
        <w:rPr>
          <w:b w:val="false"/>
          <w:bCs w:val="false"/>
          <w:i w:val="false"/>
          <w:iCs w:val="false"/>
          <w:color w:val="000000"/>
          <w:sz w:val="22"/>
          <w:szCs w:val="22"/>
        </w:rPr>
        <w:t xml:space="preserve">Le projet est structuré en six modules séquentiels, chacun produisant les données d'entrée du suivant. Cette modularité reproduit l'organisation type d'une chaîne de clôture en production : chaque étape est isolée, testable et documentée, ce qui permet à un actuaire réviseur de comprendre rapidement le périmètre exact de chaque traitement.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4500"/>
        <w:gridCol w:w="3526"/>
      </w:tblGrid>
      <w:tr>
        <w:trPr>
          <w:tblHeader/>
        </w:trPr>
        <w:tc>
          <w:tcPr>
            <w:tcW w:type="dxa" w:w="1000"/>
            <w:tcBorders>
              <w:top w:val="single" w:color="BFBFBF" w:sz="4"/>
              <w:left w:val="single" w:color="BFBFBF" w:sz="4"/>
              <w:bottom w:val="single" w:color="BFBFBF" w:sz="4"/>
              <w:right w:val="single" w:color="BFBFBF" w:sz="4"/>
            </w:tcBorders>
            <w:shd w:fill="2E5496" w:val="clear"/>
            <w:tcMar>
              <w:top w:type="dxa" w:w="80"/>
              <w:left w:type="dxa" w:w="120"/>
              <w:bottom w:type="dxa" w:w="80"/>
              <w:right w:type="dxa" w:w="120"/>
            </w:tcMar>
          </w:tcPr>
          <w:p>
            <w:pPr>
              <w:jc w:val="center"/>
            </w:pPr>
            <w:r>
              <w:rPr>
                <w:b/>
                <w:bCs/>
                <w:color w:val="FFFFFF"/>
                <w:sz w:val="20"/>
                <w:szCs w:val="20"/>
              </w:rPr>
              <w:t xml:space="preserve">Module</w:t>
            </w:r>
          </w:p>
        </w:tc>
        <w:tc>
          <w:tcPr>
            <w:tcW w:type="dxa" w:w="4500"/>
            <w:tcBorders>
              <w:top w:val="single" w:color="BFBFBF" w:sz="4"/>
              <w:left w:val="single" w:color="BFBFBF" w:sz="4"/>
              <w:bottom w:val="single" w:color="BFBFBF" w:sz="4"/>
              <w:right w:val="single" w:color="BFBFBF" w:sz="4"/>
            </w:tcBorders>
            <w:shd w:fill="2E5496" w:val="clear"/>
            <w:tcMar>
              <w:top w:type="dxa" w:w="80"/>
              <w:left w:type="dxa" w:w="120"/>
              <w:bottom w:type="dxa" w:w="80"/>
              <w:right w:type="dxa" w:w="120"/>
            </w:tcMar>
          </w:tcPr>
          <w:p>
            <w:pPr>
              <w:jc w:val="center"/>
            </w:pPr>
            <w:r>
              <w:rPr>
                <w:b/>
                <w:bCs/>
                <w:color w:val="FFFFFF"/>
                <w:sz w:val="20"/>
                <w:szCs w:val="20"/>
              </w:rPr>
              <w:t xml:space="preserve">Objet</w:t>
            </w:r>
          </w:p>
        </w:tc>
        <w:tc>
          <w:tcPr>
            <w:tcW w:type="dxa" w:w="3526"/>
            <w:tcBorders>
              <w:top w:val="single" w:color="BFBFBF" w:sz="4"/>
              <w:left w:val="single" w:color="BFBFBF" w:sz="4"/>
              <w:bottom w:val="single" w:color="BFBFBF" w:sz="4"/>
              <w:right w:val="single" w:color="BFBFBF" w:sz="4"/>
            </w:tcBorders>
            <w:shd w:fill="2E5496" w:val="clear"/>
            <w:tcMar>
              <w:top w:type="dxa" w:w="80"/>
              <w:left w:type="dxa" w:w="120"/>
              <w:bottom w:type="dxa" w:w="80"/>
              <w:right w:type="dxa" w:w="120"/>
            </w:tcMar>
          </w:tcPr>
          <w:p>
            <w:pPr>
              <w:jc w:val="center"/>
            </w:pPr>
            <w:r>
              <w:rPr>
                <w:b/>
                <w:bCs/>
                <w:color w:val="FFFFFF"/>
                <w:sz w:val="20"/>
                <w:szCs w:val="20"/>
              </w:rPr>
              <w:t xml:space="preserve">Livrable principal</w:t>
            </w:r>
          </w:p>
        </w:tc>
      </w:tr>
      <w:tr>
        <w:tc>
          <w:tcPr>
            <w:tcW w:type="dxa" w:w="10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jc w:val="left"/>
            </w:pPr>
            <w:r>
              <w:rPr>
                <w:b w:val="false"/>
                <w:bCs w:val="false"/>
                <w:color w:val="000000"/>
                <w:sz w:val="20"/>
                <w:szCs w:val="20"/>
              </w:rPr>
              <w:t xml:space="preserve">M1</w:t>
            </w:r>
          </w:p>
        </w:tc>
        <w:tc>
          <w:tcPr>
            <w:tcW w:type="dxa" w:w="45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jc w:val="right"/>
            </w:pPr>
            <w:r>
              <w:rPr>
                <w:b w:val="false"/>
                <w:bCs w:val="false"/>
                <w:color w:val="000000"/>
                <w:sz w:val="20"/>
                <w:szCs w:val="20"/>
              </w:rPr>
              <w:t xml:space="preserve">Simulation du portefeuille MTPL avec développement temporel</w:t>
            </w:r>
          </w:p>
        </w:tc>
        <w:tc>
          <w:tcPr>
            <w:tcW w:type="dxa" w:w="3526"/>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jc w:val="right"/>
            </w:pPr>
            <w:r>
              <w:rPr>
                <w:b w:val="false"/>
                <w:bCs w:val="false"/>
                <w:color w:val="000000"/>
                <w:sz w:val="20"/>
                <w:szCs w:val="20"/>
              </w:rPr>
              <w:t xml:space="preserve">Triangle des paiements + vérité terrain</w:t>
            </w:r>
          </w:p>
        </w:tc>
      </w:tr>
      <w:tr>
        <w:tc>
          <w:tcPr>
            <w:tcW w:type="dxa" w:w="10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b w:val="false"/>
                <w:bCs w:val="false"/>
                <w:color w:val="000000"/>
                <w:sz w:val="20"/>
                <w:szCs w:val="20"/>
              </w:rPr>
              <w:t xml:space="preserve">M2</w:t>
            </w:r>
          </w:p>
        </w:tc>
        <w:tc>
          <w:tcPr>
            <w:tcW w:type="dxa" w:w="45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right"/>
            </w:pPr>
            <w:r>
              <w:rPr>
                <w:b w:val="false"/>
                <w:bCs w:val="false"/>
                <w:color w:val="000000"/>
                <w:sz w:val="20"/>
                <w:szCs w:val="20"/>
              </w:rPr>
              <w:t xml:space="preserve">Provisionnement : Chain-Ladder, Bornhuetter-Ferguson, Mack stochastique</w:t>
            </w:r>
          </w:p>
        </w:tc>
        <w:tc>
          <w:tcPr>
            <w:tcW w:type="dxa" w:w="3526"/>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right"/>
            </w:pPr>
            <w:r>
              <w:rPr>
                <w:b w:val="false"/>
                <w:bCs w:val="false"/>
                <w:color w:val="000000"/>
                <w:sz w:val="20"/>
                <w:szCs w:val="20"/>
              </w:rPr>
              <w:t xml:space="preserve">Estimation de l'Ultimate et des IBNR par méthode</w:t>
            </w:r>
          </w:p>
        </w:tc>
      </w:tr>
      <w:tr>
        <w:tc>
          <w:tcPr>
            <w:tcW w:type="dxa" w:w="10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jc w:val="left"/>
            </w:pPr>
            <w:r>
              <w:rPr>
                <w:b w:val="false"/>
                <w:bCs w:val="false"/>
                <w:color w:val="000000"/>
                <w:sz w:val="20"/>
                <w:szCs w:val="20"/>
              </w:rPr>
              <w:t xml:space="preserve">M3</w:t>
            </w:r>
          </w:p>
        </w:tc>
        <w:tc>
          <w:tcPr>
            <w:tcW w:type="dxa" w:w="45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jc w:val="right"/>
            </w:pPr>
            <w:r>
              <w:rPr>
                <w:b w:val="false"/>
                <w:bCs w:val="false"/>
                <w:color w:val="000000"/>
                <w:sz w:val="20"/>
                <w:szCs w:val="20"/>
              </w:rPr>
              <w:t xml:space="preserve">Test d'adéquation des provisions sous IFRS 4 (LAT)</w:t>
            </w:r>
          </w:p>
        </w:tc>
        <w:tc>
          <w:tcPr>
            <w:tcW w:type="dxa" w:w="3526"/>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jc w:val="right"/>
            </w:pPr>
            <w:r>
              <w:rPr>
                <w:b w:val="false"/>
                <w:bCs w:val="false"/>
                <w:color w:val="000000"/>
                <w:sz w:val="20"/>
                <w:szCs w:val="20"/>
              </w:rPr>
              <w:t xml:space="preserve">UPR, DAC, URR par segment</w:t>
            </w:r>
          </w:p>
        </w:tc>
      </w:tr>
      <w:tr>
        <w:tc>
          <w:tcPr>
            <w:tcW w:type="dxa" w:w="10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b w:val="false"/>
                <w:bCs w:val="false"/>
                <w:color w:val="000000"/>
                <w:sz w:val="20"/>
                <w:szCs w:val="20"/>
              </w:rPr>
              <w:t xml:space="preserve">M4</w:t>
            </w:r>
          </w:p>
        </w:tc>
        <w:tc>
          <w:tcPr>
            <w:tcW w:type="dxa" w:w="45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right"/>
            </w:pPr>
            <w:r>
              <w:rPr>
                <w:b w:val="false"/>
                <w:bCs w:val="false"/>
                <w:color w:val="000000"/>
                <w:sz w:val="20"/>
                <w:szCs w:val="20"/>
              </w:rPr>
              <w:t xml:space="preserve">Analyse boni-mali entre clôtures successives</w:t>
            </w:r>
          </w:p>
        </w:tc>
        <w:tc>
          <w:tcPr>
            <w:tcW w:type="dxa" w:w="3526"/>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right"/>
            </w:pPr>
            <w:r>
              <w:rPr>
                <w:b w:val="false"/>
                <w:bCs w:val="false"/>
                <w:color w:val="000000"/>
                <w:sz w:val="20"/>
                <w:szCs w:val="20"/>
              </w:rPr>
              <w:t xml:space="preserve">Run-off par cohorte et par segment</w:t>
            </w:r>
          </w:p>
        </w:tc>
      </w:tr>
      <w:tr>
        <w:tc>
          <w:tcPr>
            <w:tcW w:type="dxa" w:w="10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jc w:val="left"/>
            </w:pPr>
            <w:r>
              <w:rPr>
                <w:b w:val="false"/>
                <w:bCs w:val="false"/>
                <w:color w:val="000000"/>
                <w:sz w:val="20"/>
                <w:szCs w:val="20"/>
              </w:rPr>
              <w:t xml:space="preserve">M5</w:t>
            </w:r>
          </w:p>
        </w:tc>
        <w:tc>
          <w:tcPr>
            <w:tcW w:type="dxa" w:w="45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jc w:val="right"/>
            </w:pPr>
            <w:r>
              <w:rPr>
                <w:b w:val="false"/>
                <w:bCs w:val="false"/>
                <w:color w:val="000000"/>
                <w:sz w:val="20"/>
                <w:szCs w:val="20"/>
              </w:rPr>
              <w:t xml:space="preserve">Compte technique non-vie, brut et net de réassurance</w:t>
            </w:r>
          </w:p>
        </w:tc>
        <w:tc>
          <w:tcPr>
            <w:tcW w:type="dxa" w:w="3526"/>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jc w:val="right"/>
            </w:pPr>
            <w:r>
              <w:rPr>
                <w:b w:val="false"/>
                <w:bCs w:val="false"/>
                <w:color w:val="000000"/>
                <w:sz w:val="20"/>
                <w:szCs w:val="20"/>
              </w:rPr>
              <w:t xml:space="preserve">P&amp;L technique avec ratios S/P, frais et combiné</w:t>
            </w:r>
          </w:p>
        </w:tc>
      </w:tr>
      <w:tr>
        <w:tc>
          <w:tcPr>
            <w:tcW w:type="dxa" w:w="10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b w:val="false"/>
                <w:bCs w:val="false"/>
                <w:color w:val="000000"/>
                <w:sz w:val="20"/>
                <w:szCs w:val="20"/>
              </w:rPr>
              <w:t xml:space="preserve">M6</w:t>
            </w:r>
          </w:p>
        </w:tc>
        <w:tc>
          <w:tcPr>
            <w:tcW w:type="dxa" w:w="45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right"/>
            </w:pPr>
            <w:r>
              <w:rPr>
                <w:b w:val="false"/>
                <w:bCs w:val="false"/>
                <w:color w:val="000000"/>
                <w:sz w:val="20"/>
                <w:szCs w:val="20"/>
              </w:rPr>
              <w:t xml:space="preserve">Automatisation BAU et contrôles de cohérence</w:t>
            </w:r>
          </w:p>
        </w:tc>
        <w:tc>
          <w:tcPr>
            <w:tcW w:type="dxa" w:w="3526"/>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right"/>
            </w:pPr>
            <w:r>
              <w:rPr>
                <w:b w:val="false"/>
                <w:bCs w:val="false"/>
                <w:color w:val="000000"/>
                <w:sz w:val="20"/>
                <w:szCs w:val="20"/>
              </w:rPr>
              <w:t xml:space="preserve">Pipeline rejouable et classeur Excel de pilotage</w:t>
            </w:r>
          </w:p>
        </w:tc>
      </w:tr>
    </w:tbl>
    <w:p>
      <w:pPr>
        <w:spacing w:after="120"/>
      </w:pPr>
      <w:r>
        <w:t xml:space="preserve"/>
      </w:r>
    </w:p>
    <w:p>
      <w:pPr>
        <w:pStyle w:val="Heading2"/>
      </w:pPr>
      <w:r>
        <w:t xml:space="preserve">2.3 Cadre de simulation</w:t>
      </w:r>
    </w:p>
    <w:p>
      <w:pPr>
        <w:spacing w:after="120" w:line="300"/>
        <w:jc w:val="both"/>
      </w:pPr>
      <w:r>
        <w:rPr>
          <w:b w:val="false"/>
          <w:bCs w:val="false"/>
          <w:i w:val="false"/>
          <w:iCs w:val="false"/>
          <w:sz w:val="22"/>
          <w:szCs w:val="22"/>
        </w:rPr>
        <w:t xml:space="preserve">Le portefeuille utilisé est </w:t>
      </w:r>
      <w:r>
        <w:rPr>
          <w:b/>
          <w:bCs/>
          <w:i w:val="false"/>
          <w:iCs w:val="false"/>
          <w:sz w:val="22"/>
          <w:szCs w:val="22"/>
        </w:rPr>
        <w:t xml:space="preserve">entièrement simulé</w:t>
      </w:r>
      <w:r>
        <w:rPr>
          <w:b w:val="false"/>
          <w:bCs w:val="false"/>
          <w:i w:val="false"/>
          <w:iCs w:val="false"/>
          <w:sz w:val="22"/>
          <w:szCs w:val="22"/>
        </w:rPr>
        <w:t xml:space="preserve"> à des fins pédagogiques. Les paramètres ont été calibrés pour reproduire le comportement réaliste d'un portefeuille MTPL belge : 50 000 polices générées sur cinq années avec une croissance commerciale légère, un mix Particuliers / Flottes de 80/20, deux garanties (Matériel court-tail et Corporel long-tail) avec des patterns de développement distincts, et une inflation des coûts calée à 2,5 % par an. La </w:t>
      </w:r>
      <w:r>
        <w:rPr>
          <w:b/>
          <w:bCs/>
          <w:i w:val="false"/>
          <w:iCs w:val="false"/>
          <w:sz w:val="22"/>
          <w:szCs w:val="22"/>
        </w:rPr>
        <w:t xml:space="preserve">vérité terrain</w:t>
      </w:r>
      <w:r>
        <w:rPr>
          <w:b w:val="false"/>
          <w:bCs w:val="false"/>
          <w:i w:val="false"/>
          <w:iCs w:val="false"/>
          <w:sz w:val="22"/>
          <w:szCs w:val="22"/>
        </w:rPr>
        <w:t xml:space="preserve"> (Ultimate vrai par cohorte) est conservée afin de pouvoir backtester les méthodes de provisionnement et illustrer la qualité des estimations.</w:t>
      </w:r>
    </w:p>
    <w:p>
      <w:r>
        <w:br w:type="page"/>
      </w:r>
    </w:p>
    <w:p>
      <w:pPr>
        <w:pStyle w:val="Heading1"/>
      </w:pPr>
      <w:r>
        <w:t xml:space="preserve">3. Module 1 — Simulation du portefeuille MTPL</w:t>
      </w:r>
    </w:p>
    <w:p>
      <w:pPr>
        <w:pStyle w:val="Heading2"/>
      </w:pPr>
      <w:r>
        <w:t xml:space="preserve">3.1 Principe</w:t>
      </w:r>
    </w:p>
    <w:p>
      <w:pPr>
        <w:spacing w:after="120" w:line="300"/>
        <w:jc w:val="both"/>
      </w:pPr>
      <w:r>
        <w:rPr>
          <w:b w:val="false"/>
          <w:bCs w:val="false"/>
          <w:i w:val="false"/>
          <w:iCs w:val="false"/>
          <w:color w:val="000000"/>
          <w:sz w:val="22"/>
          <w:szCs w:val="22"/>
        </w:rPr>
        <w:t xml:space="preserve">Le Module 1 construit la fondation de l'ensemble du projet. Il simule, police par police, l'activité commerciale (souscription, prime), la sinistralité (fréquence, sévérité par garantie) et le développement temporel des paiements sur les cinq années observées. La cohérence actuarielle de la simulation est garantie par trois mécanismes : une fréquence Poisson calibrée par segment, une sévérité Lognormale par garantie, et un pattern de paiement cumulé (Sherman-style) calé sur l'expérience MTPL belge.</w:t>
      </w:r>
    </w:p>
    <w:p>
      <w:pPr>
        <w:pStyle w:val="Heading2"/>
      </w:pPr>
      <w:r>
        <w:t xml:space="preserve">3.2 Volumétrie produite</w:t>
      </w:r>
    </w:p>
    <w:tbl>
      <w:tblPr>
        <w:tblW w:type="dxa" w:w="9526"/>
        <w:tblBorders>
          <w:top w:val="single" w:color="auto" w:sz="4"/>
          <w:left w:val="single" w:color="auto" w:sz="4"/>
          <w:bottom w:val="single" w:color="auto" w:sz="4"/>
          <w:right w:val="single" w:color="auto" w:sz="4"/>
          <w:insideH w:val="single" w:color="auto" w:sz="4"/>
          <w:insideV w:val="single" w:color="auto" w:sz="4"/>
        </w:tblBorders>
      </w:tblPr>
      <w:tblGrid>
        <w:gridCol w:w="6526"/>
        <w:gridCol w:w="3000"/>
      </w:tblGrid>
      <w:tr>
        <w:trPr>
          <w:tblHeader/>
        </w:trPr>
        <w:tc>
          <w:tcPr>
            <w:tcW w:type="dxa" w:w="6526"/>
            <w:tcBorders>
              <w:top w:val="single" w:color="BFBFBF" w:sz="4"/>
              <w:left w:val="single" w:color="BFBFBF" w:sz="4"/>
              <w:bottom w:val="single" w:color="BFBFBF" w:sz="4"/>
              <w:right w:val="single" w:color="BFBFBF" w:sz="4"/>
            </w:tcBorders>
            <w:shd w:fill="2E5496" w:val="clear"/>
            <w:tcMar>
              <w:top w:type="dxa" w:w="80"/>
              <w:left w:type="dxa" w:w="120"/>
              <w:bottom w:type="dxa" w:w="80"/>
              <w:right w:type="dxa" w:w="120"/>
            </w:tcMar>
          </w:tcPr>
          <w:p>
            <w:pPr>
              <w:jc w:val="center"/>
            </w:pPr>
            <w:r>
              <w:rPr>
                <w:b/>
                <w:bCs/>
                <w:color w:val="FFFFFF"/>
                <w:sz w:val="20"/>
                <w:szCs w:val="20"/>
              </w:rPr>
              <w:t xml:space="preserve">Indicateur</w:t>
            </w:r>
          </w:p>
        </w:tc>
        <w:tc>
          <w:tcPr>
            <w:tcW w:type="dxa" w:w="3000"/>
            <w:tcBorders>
              <w:top w:val="single" w:color="BFBFBF" w:sz="4"/>
              <w:left w:val="single" w:color="BFBFBF" w:sz="4"/>
              <w:bottom w:val="single" w:color="BFBFBF" w:sz="4"/>
              <w:right w:val="single" w:color="BFBFBF" w:sz="4"/>
            </w:tcBorders>
            <w:shd w:fill="2E5496" w:val="clear"/>
            <w:tcMar>
              <w:top w:type="dxa" w:w="80"/>
              <w:left w:type="dxa" w:w="120"/>
              <w:bottom w:type="dxa" w:w="80"/>
              <w:right w:type="dxa" w:w="120"/>
            </w:tcMar>
          </w:tcPr>
          <w:p>
            <w:pPr>
              <w:jc w:val="center"/>
            </w:pPr>
            <w:r>
              <w:rPr>
                <w:b/>
                <w:bCs/>
                <w:color w:val="FFFFFF"/>
                <w:sz w:val="20"/>
                <w:szCs w:val="20"/>
              </w:rPr>
              <w:t xml:space="preserve">Valeur</w:t>
            </w:r>
          </w:p>
        </w:tc>
      </w:tr>
      <w:tr>
        <w:tc>
          <w:tcPr>
            <w:tcW w:type="dxa" w:w="6526"/>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jc w:val="left"/>
            </w:pPr>
            <w:r>
              <w:rPr>
                <w:b w:val="false"/>
                <w:bCs w:val="false"/>
                <w:color w:val="000000"/>
                <w:sz w:val="20"/>
                <w:szCs w:val="20"/>
              </w:rPr>
              <w:t xml:space="preserve">Polices générées</w:t>
            </w:r>
          </w:p>
        </w:tc>
        <w:tc>
          <w:tcPr>
            <w:tcW w:type="dxa" w:w="30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jc w:val="right"/>
            </w:pPr>
            <w:r>
              <w:rPr>
                <w:b w:val="false"/>
                <w:bCs w:val="false"/>
                <w:color w:val="000000"/>
                <w:sz w:val="20"/>
                <w:szCs w:val="20"/>
              </w:rPr>
              <w:t xml:space="preserve">50 000</w:t>
            </w:r>
          </w:p>
        </w:tc>
      </w:tr>
      <w:tr>
        <w:tc>
          <w:tcPr>
            <w:tcW w:type="dxa" w:w="6526"/>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b w:val="false"/>
                <w:bCs w:val="false"/>
                <w:color w:val="000000"/>
                <w:sz w:val="20"/>
                <w:szCs w:val="20"/>
              </w:rPr>
              <w:t xml:space="preserve">Sinistres déclarés</w:t>
            </w:r>
          </w:p>
        </w:tc>
        <w:tc>
          <w:tcPr>
            <w:tcW w:type="dxa" w:w="30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right"/>
            </w:pPr>
            <w:r>
              <w:rPr>
                <w:b w:val="false"/>
                <w:bCs w:val="false"/>
                <w:color w:val="000000"/>
                <w:sz w:val="20"/>
                <w:szCs w:val="20"/>
              </w:rPr>
              <w:t xml:space="preserve">3 468</w:t>
            </w:r>
          </w:p>
        </w:tc>
      </w:tr>
      <w:tr>
        <w:tc>
          <w:tcPr>
            <w:tcW w:type="dxa" w:w="6526"/>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jc w:val="left"/>
            </w:pPr>
            <w:r>
              <w:rPr>
                <w:b w:val="false"/>
                <w:bCs w:val="false"/>
                <w:color w:val="000000"/>
                <w:sz w:val="20"/>
                <w:szCs w:val="20"/>
              </w:rPr>
              <w:t xml:space="preserve">Fréquence empirique</w:t>
            </w:r>
          </w:p>
        </w:tc>
        <w:tc>
          <w:tcPr>
            <w:tcW w:type="dxa" w:w="30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jc w:val="right"/>
            </w:pPr>
            <w:r>
              <w:rPr>
                <w:b w:val="false"/>
                <w:bCs w:val="false"/>
                <w:color w:val="000000"/>
                <w:sz w:val="20"/>
                <w:szCs w:val="20"/>
              </w:rPr>
              <w:t xml:space="preserve">6,94 %</w:t>
            </w:r>
          </w:p>
        </w:tc>
      </w:tr>
      <w:tr>
        <w:tc>
          <w:tcPr>
            <w:tcW w:type="dxa" w:w="6526"/>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b w:val="false"/>
                <w:bCs w:val="false"/>
                <w:color w:val="000000"/>
                <w:sz w:val="20"/>
                <w:szCs w:val="20"/>
              </w:rPr>
              <w:t xml:space="preserve">Primes acquises totales</w:t>
            </w:r>
          </w:p>
        </w:tc>
        <w:tc>
          <w:tcPr>
            <w:tcW w:type="dxa" w:w="30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right"/>
            </w:pPr>
            <w:r>
              <w:rPr>
                <w:b w:val="false"/>
                <w:bCs w:val="false"/>
                <w:color w:val="000000"/>
                <w:sz w:val="20"/>
                <w:szCs w:val="20"/>
              </w:rPr>
              <w:t xml:space="preserve">32,7 M€</w:t>
            </w:r>
          </w:p>
        </w:tc>
      </w:tr>
      <w:tr>
        <w:tc>
          <w:tcPr>
            <w:tcW w:type="dxa" w:w="6526"/>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jc w:val="left"/>
            </w:pPr>
            <w:r>
              <w:rPr>
                <w:b w:val="false"/>
                <w:bCs w:val="false"/>
                <w:color w:val="000000"/>
                <w:sz w:val="20"/>
                <w:szCs w:val="20"/>
              </w:rPr>
              <w:t xml:space="preserve">Charge ultime vraie</w:t>
            </w:r>
          </w:p>
        </w:tc>
        <w:tc>
          <w:tcPr>
            <w:tcW w:type="dxa" w:w="30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jc w:val="right"/>
            </w:pPr>
            <w:r>
              <w:rPr>
                <w:b w:val="false"/>
                <w:bCs w:val="false"/>
                <w:color w:val="000000"/>
                <w:sz w:val="20"/>
                <w:szCs w:val="20"/>
              </w:rPr>
              <w:t xml:space="preserve">19,3 M€</w:t>
            </w:r>
          </w:p>
        </w:tc>
      </w:tr>
      <w:tr>
        <w:tc>
          <w:tcPr>
            <w:tcW w:type="dxa" w:w="6526"/>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b w:val="false"/>
                <w:bCs w:val="false"/>
                <w:color w:val="000000"/>
                <w:sz w:val="20"/>
                <w:szCs w:val="20"/>
              </w:rPr>
              <w:t xml:space="preserve">Paiements observés au 31/12/2025</w:t>
            </w:r>
          </w:p>
        </w:tc>
        <w:tc>
          <w:tcPr>
            <w:tcW w:type="dxa" w:w="30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right"/>
            </w:pPr>
            <w:r>
              <w:rPr>
                <w:b w:val="false"/>
                <w:bCs w:val="false"/>
                <w:color w:val="000000"/>
                <w:sz w:val="20"/>
                <w:szCs w:val="20"/>
              </w:rPr>
              <w:t xml:space="preserve">13,8 M€</w:t>
            </w:r>
          </w:p>
        </w:tc>
      </w:tr>
      <w:tr>
        <w:tc>
          <w:tcPr>
            <w:tcW w:type="dxa" w:w="6526"/>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jc w:val="left"/>
            </w:pPr>
            <w:r>
              <w:rPr>
                <w:b w:val="false"/>
                <w:bCs w:val="false"/>
                <w:color w:val="000000"/>
                <w:sz w:val="20"/>
                <w:szCs w:val="20"/>
              </w:rPr>
              <w:t xml:space="preserve">Écart à provisionner (cible des modèles M2)</w:t>
            </w:r>
          </w:p>
        </w:tc>
        <w:tc>
          <w:tcPr>
            <w:tcW w:type="dxa" w:w="30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jc w:val="right"/>
            </w:pPr>
            <w:r>
              <w:rPr>
                <w:b w:val="false"/>
                <w:bCs w:val="false"/>
                <w:color w:val="000000"/>
                <w:sz w:val="20"/>
                <w:szCs w:val="20"/>
              </w:rPr>
              <w:t xml:space="preserve">5,6 M€</w:t>
            </w:r>
          </w:p>
        </w:tc>
      </w:tr>
      <w:tr>
        <w:tc>
          <w:tcPr>
            <w:tcW w:type="dxa" w:w="6526"/>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b/>
                <w:bCs/>
                <w:color w:val="000000"/>
                <w:sz w:val="20"/>
                <w:szCs w:val="20"/>
              </w:rPr>
              <w:t xml:space="preserve">Ratio S/P brut</w:t>
            </w:r>
          </w:p>
        </w:tc>
        <w:tc>
          <w:tcPr>
            <w:tcW w:type="dxa" w:w="30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right"/>
            </w:pPr>
            <w:r>
              <w:rPr>
                <w:b/>
                <w:bCs/>
                <w:color w:val="000000"/>
                <w:sz w:val="20"/>
                <w:szCs w:val="20"/>
              </w:rPr>
              <w:t xml:space="preserve">59,1 %</w:t>
            </w:r>
          </w:p>
        </w:tc>
      </w:tr>
    </w:tbl>
    <w:p>
      <w:pPr>
        <w:spacing w:after="120"/>
      </w:pPr>
      <w:r>
        <w:t xml:space="preserve"/>
      </w:r>
    </w:p>
    <w:p>
      <w:pPr>
        <w:pStyle w:val="Heading2"/>
      </w:pPr>
      <w:r>
        <w:t xml:space="preserve">3.3 Validation visuelle</w:t>
      </w:r>
    </w:p>
    <w:p>
      <w:pPr>
        <w:spacing w:after="120" w:before="120"/>
        <w:jc w:val="center"/>
      </w:pPr>
      <w:r>
        <w:drawing>
          <wp:inline distT="0" distB="0" distL="0" distR="0">
            <wp:extent cx="5400675" cy="3838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400675" cy="3838575"/>
                    </a:xfrm>
                    <a:prstGeom prst="rect">
                      <a:avLst/>
                    </a:prstGeom>
                  </pic:spPr>
                </pic:pic>
              </a:graphicData>
            </a:graphic>
          </wp:inline>
        </w:drawing>
      </w:r>
    </w:p>
    <w:p>
      <w:pPr>
        <w:spacing w:after="240"/>
        <w:jc w:val="center"/>
      </w:pPr>
      <w:r>
        <w:rPr>
          <w:i/>
          <w:iCs/>
          <w:color w:val="595959"/>
          <w:sz w:val="20"/>
          <w:szCs w:val="20"/>
        </w:rPr>
        <w:t xml:space="preserve">Figure 1 — Validation visuelle du portefeuille MTPL simulé. (a) Distribution des sinistres par garantie illustrant la queue épaisse des sinistres corporels. (b) Triangle des paiements cumulés. (c) Patterns de développement court-tail (matériel) et long-tail (corporel). (d) Comparaison Ultimate vrai vs paiements observés, matérialisant l'écart de 5,6 M€ à provisionner par les méthodes du Module 2.</w:t>
      </w:r>
    </w:p>
    <w:tbl>
      <w:tblPr>
        <w:tblW w:type="dxa" w:w="9026"/>
        <w:tblBorders>
          <w:top w:val="none" w:color="FFFFFF" w:sz="0"/>
          <w:left w:val="single" w:color="2E5496" w:sz="24"/>
          <w:bottom w:val="none" w:color="FFFFFF" w:sz="0"/>
          <w:right w:val="none" w:color="FFFFFF" w:sz="0"/>
          <w:insideH w:val="none" w:color="FFFFFF" w:sz="0"/>
          <w:insideV w:val="none" w:color="FFFFFF" w:sz="0"/>
        </w:tblBorders>
      </w:tblPr>
      <w:tblGrid>
        <w:gridCol w:w="9026"/>
      </w:tblGrid>
      <w:tr>
        <w:tc>
          <w:tcPr>
            <w:tcW w:type="dxa" w:w="9026"/>
            <w:shd w:fill="D6E0F0" w:val="clear"/>
            <w:tcMar>
              <w:top w:type="dxa" w:w="120"/>
              <w:left w:type="dxa" w:w="200"/>
              <w:bottom w:type="dxa" w:w="120"/>
              <w:right w:type="dxa" w:w="200"/>
            </w:tcMar>
          </w:tcPr>
          <w:p>
            <w:pPr>
              <w:spacing w:after="80"/>
            </w:pPr>
            <w:r>
              <w:rPr>
                <w:b/>
                <w:bCs/>
                <w:color w:val="1F3864"/>
                <w:sz w:val="22"/>
                <w:szCs w:val="22"/>
              </w:rPr>
              <w:t xml:space="preserve">Signal métier intégré dans la simulation</w:t>
            </w:r>
          </w:p>
          <w:p>
            <w:pPr>
              <w:jc w:val="both"/>
            </w:pPr>
            <w:r>
              <w:rPr>
                <w:i/>
                <w:iCs/>
                <w:sz w:val="22"/>
                <w:szCs w:val="22"/>
              </w:rPr>
              <w:t xml:space="preserve">La cohorte 2023 présente un Ultimate vrai anormalement élevé (5,38 M€ contre 3,5 à 4,0 M€ pour les autres années) en raison de quelques sinistres corporels lourds. Cette anomalie a été conservée volontairement : elle générera un mali dans le Module 4 lorsque Chain-Ladder, qui s'appuie sur le pattern moyen historique, sous-estimera initialement la charge. C'est précisément ce type de signal qu'une équipe Technical Risk Monitoring doit savoir détecter et expliquer.</w:t>
            </w:r>
          </w:p>
        </w:tc>
      </w:tr>
    </w:tbl>
    <w:p>
      <w:r>
        <w:br w:type="page"/>
      </w:r>
    </w:p>
    <w:p>
      <w:pPr>
        <w:pStyle w:val="Heading1"/>
      </w:pPr>
      <w:r>
        <w:t xml:space="preserve">4. Module 2 — Provisionnement des sinistres</w:t>
      </w:r>
    </w:p>
    <w:p>
      <w:pPr>
        <w:pStyle w:val="Heading2"/>
      </w:pPr>
      <w:r>
        <w:t xml:space="preserve">4.1 Méthodes implémentées</w:t>
      </w:r>
    </w:p>
    <w:p>
      <w:pPr>
        <w:spacing w:after="120" w:line="300"/>
        <w:jc w:val="both"/>
      </w:pPr>
      <w:r>
        <w:rPr>
          <w:b w:val="false"/>
          <w:bCs w:val="false"/>
          <w:i w:val="false"/>
          <w:iCs w:val="false"/>
          <w:color w:val="000000"/>
          <w:sz w:val="22"/>
          <w:szCs w:val="22"/>
        </w:rPr>
        <w:t xml:space="preserve">Trois méthodes de provisionnement classiques ont été implémentées de zéro, sans recours à des bibliothèques actuarielles spécialisées, afin de démontrer la maîtrise des algorithmes sous-jacents. Chaque méthode est ensuite confrontée à la vérité terrain pour mesurer son biais.</w:t>
      </w:r>
    </w:p>
    <w:p>
      <w:pPr>
        <w:pStyle w:val="ListParagraph"/>
        <w:numPr>
          <w:ilvl w:val="0"/>
          <w:numId w:val="2"/>
        </w:numPr>
        <w:spacing w:after="80"/>
      </w:pPr>
      <w:r>
        <w:rPr>
          <w:sz w:val="22"/>
          <w:szCs w:val="22"/>
        </w:rPr>
        <w:t xml:space="preserve">Chain-Ladder déterministe (volume-weighted average des link ratios).</w:t>
      </w:r>
    </w:p>
    <w:p>
      <w:pPr>
        <w:pStyle w:val="ListParagraph"/>
        <w:numPr>
          <w:ilvl w:val="0"/>
          <w:numId w:val="2"/>
        </w:numPr>
        <w:spacing w:after="80"/>
      </w:pPr>
      <w:r>
        <w:rPr>
          <w:sz w:val="22"/>
          <w:szCs w:val="22"/>
        </w:rPr>
        <w:t xml:space="preserve">Chain-Ladder avec facteur de queue (ajustement exponentiel de Sherman 1984).</w:t>
      </w:r>
    </w:p>
    <w:p>
      <w:pPr>
        <w:pStyle w:val="ListParagraph"/>
        <w:numPr>
          <w:ilvl w:val="0"/>
          <w:numId w:val="2"/>
        </w:numPr>
        <w:spacing w:after="80"/>
      </w:pPr>
      <w:r>
        <w:rPr>
          <w:sz w:val="22"/>
          <w:szCs w:val="22"/>
        </w:rPr>
        <w:t xml:space="preserve">Bornhuetter-Ferguson (intégration d'un a priori de S/P à 60 %).</w:t>
      </w:r>
    </w:p>
    <w:p>
      <w:pPr>
        <w:pStyle w:val="ListParagraph"/>
        <w:numPr>
          <w:ilvl w:val="0"/>
          <w:numId w:val="2"/>
        </w:numPr>
        <w:spacing w:after="80"/>
      </w:pPr>
      <w:r>
        <w:rPr>
          <w:sz w:val="22"/>
          <w:szCs w:val="22"/>
        </w:rPr>
        <w:t xml:space="preserve">Mack stochastique (variance de l'erreur de prédiction et intervalle de confiance 99,5 %).</w:t>
      </w:r>
    </w:p>
    <w:p>
      <w:pPr>
        <w:pStyle w:val="Heading2"/>
      </w:pPr>
      <w:r>
        <w:t xml:space="preserve">4.2 Résultats et backtest</w:t>
      </w:r>
    </w:p>
    <w:tbl>
      <w:tblPr>
        <w:tblW w:type="dxa" w:w="9526"/>
        <w:tblBorders>
          <w:top w:val="single" w:color="auto" w:sz="4"/>
          <w:left w:val="single" w:color="auto" w:sz="4"/>
          <w:bottom w:val="single" w:color="auto" w:sz="4"/>
          <w:right w:val="single" w:color="auto" w:sz="4"/>
          <w:insideH w:val="single" w:color="auto" w:sz="4"/>
          <w:insideV w:val="single" w:color="auto" w:sz="4"/>
        </w:tblBorders>
      </w:tblPr>
      <w:tblGrid>
        <w:gridCol w:w="4526"/>
        <w:gridCol w:w="2500"/>
        <w:gridCol w:w="2500"/>
      </w:tblGrid>
      <w:tr>
        <w:trPr>
          <w:tblHeader/>
        </w:trPr>
        <w:tc>
          <w:tcPr>
            <w:tcW w:type="dxa" w:w="4526"/>
            <w:tcBorders>
              <w:top w:val="single" w:color="BFBFBF" w:sz="4"/>
              <w:left w:val="single" w:color="BFBFBF" w:sz="4"/>
              <w:bottom w:val="single" w:color="BFBFBF" w:sz="4"/>
              <w:right w:val="single" w:color="BFBFBF" w:sz="4"/>
            </w:tcBorders>
            <w:shd w:fill="2E5496" w:val="clear"/>
            <w:tcMar>
              <w:top w:type="dxa" w:w="80"/>
              <w:left w:type="dxa" w:w="120"/>
              <w:bottom w:type="dxa" w:w="80"/>
              <w:right w:type="dxa" w:w="120"/>
            </w:tcMar>
          </w:tcPr>
          <w:p>
            <w:pPr>
              <w:jc w:val="center"/>
            </w:pPr>
            <w:r>
              <w:rPr>
                <w:b/>
                <w:bCs/>
                <w:color w:val="FFFFFF"/>
                <w:sz w:val="20"/>
                <w:szCs w:val="20"/>
              </w:rPr>
              <w:t xml:space="preserve">Méthode</w:t>
            </w:r>
          </w:p>
        </w:tc>
        <w:tc>
          <w:tcPr>
            <w:tcW w:type="dxa" w:w="2500"/>
            <w:tcBorders>
              <w:top w:val="single" w:color="BFBFBF" w:sz="4"/>
              <w:left w:val="single" w:color="BFBFBF" w:sz="4"/>
              <w:bottom w:val="single" w:color="BFBFBF" w:sz="4"/>
              <w:right w:val="single" w:color="BFBFBF" w:sz="4"/>
            </w:tcBorders>
            <w:shd w:fill="2E5496" w:val="clear"/>
            <w:tcMar>
              <w:top w:type="dxa" w:w="80"/>
              <w:left w:type="dxa" w:w="120"/>
              <w:bottom w:type="dxa" w:w="80"/>
              <w:right w:type="dxa" w:w="120"/>
            </w:tcMar>
          </w:tcPr>
          <w:p>
            <w:pPr>
              <w:jc w:val="center"/>
            </w:pPr>
            <w:r>
              <w:rPr>
                <w:b/>
                <w:bCs/>
                <w:color w:val="FFFFFF"/>
                <w:sz w:val="20"/>
                <w:szCs w:val="20"/>
              </w:rPr>
              <w:t xml:space="preserve">Ultimate total</w:t>
            </w:r>
          </w:p>
        </w:tc>
        <w:tc>
          <w:tcPr>
            <w:tcW w:type="dxa" w:w="2500"/>
            <w:tcBorders>
              <w:top w:val="single" w:color="BFBFBF" w:sz="4"/>
              <w:left w:val="single" w:color="BFBFBF" w:sz="4"/>
              <w:bottom w:val="single" w:color="BFBFBF" w:sz="4"/>
              <w:right w:val="single" w:color="BFBFBF" w:sz="4"/>
            </w:tcBorders>
            <w:shd w:fill="2E5496" w:val="clear"/>
            <w:tcMar>
              <w:top w:type="dxa" w:w="80"/>
              <w:left w:type="dxa" w:w="120"/>
              <w:bottom w:type="dxa" w:w="80"/>
              <w:right w:type="dxa" w:w="120"/>
            </w:tcMar>
          </w:tcPr>
          <w:p>
            <w:pPr>
              <w:jc w:val="center"/>
            </w:pPr>
            <w:r>
              <w:rPr>
                <w:b/>
                <w:bCs/>
                <w:color w:val="FFFFFF"/>
                <w:sz w:val="20"/>
                <w:szCs w:val="20"/>
              </w:rPr>
              <w:t xml:space="preserve">Écart vs vérité</w:t>
            </w:r>
          </w:p>
        </w:tc>
      </w:tr>
      <w:tr>
        <w:tc>
          <w:tcPr>
            <w:tcW w:type="dxa" w:w="4526"/>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jc w:val="left"/>
            </w:pPr>
            <w:r>
              <w:rPr>
                <w:b w:val="false"/>
                <w:bCs w:val="false"/>
                <w:color w:val="000000"/>
                <w:sz w:val="20"/>
                <w:szCs w:val="20"/>
              </w:rPr>
              <w:t xml:space="preserve">Vérité terrain (inconnue en pratique)</w:t>
            </w:r>
          </w:p>
        </w:tc>
        <w:tc>
          <w:tcPr>
            <w:tcW w:type="dxa" w:w="25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jc w:val="right"/>
            </w:pPr>
            <w:r>
              <w:rPr>
                <w:b w:val="false"/>
                <w:bCs w:val="false"/>
                <w:color w:val="000000"/>
                <w:sz w:val="20"/>
                <w:szCs w:val="20"/>
              </w:rPr>
              <w:t xml:space="preserve">19,33 M€</w:t>
            </w:r>
          </w:p>
        </w:tc>
        <w:tc>
          <w:tcPr>
            <w:tcW w:type="dxa" w:w="25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jc w:val="right"/>
            </w:pPr>
            <w:r>
              <w:rPr>
                <w:b w:val="false"/>
                <w:bCs w:val="false"/>
                <w:color w:val="000000"/>
                <w:sz w:val="20"/>
                <w:szCs w:val="20"/>
              </w:rPr>
              <w:t xml:space="preserve">—</w:t>
            </w:r>
          </w:p>
        </w:tc>
      </w:tr>
      <w:tr>
        <w:tc>
          <w:tcPr>
            <w:tcW w:type="dxa" w:w="4526"/>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b w:val="false"/>
                <w:bCs w:val="false"/>
                <w:color w:val="000000"/>
                <w:sz w:val="20"/>
                <w:szCs w:val="20"/>
              </w:rPr>
              <w:t xml:space="preserve">Chain-Ladder vanille</w:t>
            </w:r>
          </w:p>
        </w:tc>
        <w:tc>
          <w:tcPr>
            <w:tcW w:type="dxa" w:w="25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right"/>
            </w:pPr>
            <w:r>
              <w:rPr>
                <w:b w:val="false"/>
                <w:bCs w:val="false"/>
                <w:color w:val="000000"/>
                <w:sz w:val="20"/>
                <w:szCs w:val="20"/>
              </w:rPr>
              <w:t xml:space="preserve">18,02 M€</w:t>
            </w:r>
          </w:p>
        </w:tc>
        <w:tc>
          <w:tcPr>
            <w:tcW w:type="dxa" w:w="25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right"/>
            </w:pPr>
            <w:r>
              <w:rPr>
                <w:color w:val="C00000"/>
                <w:sz w:val="20"/>
                <w:szCs w:val="20"/>
              </w:rPr>
              <w:t xml:space="preserve">−6,79 %</w:t>
            </w:r>
          </w:p>
        </w:tc>
      </w:tr>
      <w:tr>
        <w:tc>
          <w:tcPr>
            <w:tcW w:type="dxa" w:w="4526"/>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jc w:val="left"/>
            </w:pPr>
            <w:r>
              <w:rPr>
                <w:b w:val="false"/>
                <w:bCs w:val="false"/>
                <w:color w:val="000000"/>
                <w:sz w:val="20"/>
                <w:szCs w:val="20"/>
              </w:rPr>
              <w:t xml:space="preserve">Chain-Ladder + facteur de queue</w:t>
            </w:r>
          </w:p>
        </w:tc>
        <w:tc>
          <w:tcPr>
            <w:tcW w:type="dxa" w:w="25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jc w:val="right"/>
            </w:pPr>
            <w:r>
              <w:rPr>
                <w:b w:val="false"/>
                <w:bCs w:val="false"/>
                <w:color w:val="000000"/>
                <w:sz w:val="20"/>
                <w:szCs w:val="20"/>
              </w:rPr>
              <w:t xml:space="preserve">18,75 M€</w:t>
            </w:r>
          </w:p>
        </w:tc>
        <w:tc>
          <w:tcPr>
            <w:tcW w:type="dxa" w:w="25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jc w:val="right"/>
            </w:pPr>
            <w:r>
              <w:rPr>
                <w:color w:val="000000"/>
                <w:sz w:val="20"/>
                <w:szCs w:val="20"/>
              </w:rPr>
              <w:t xml:space="preserve">−3,00 %</w:t>
            </w:r>
          </w:p>
        </w:tc>
      </w:tr>
      <w:tr>
        <w:tc>
          <w:tcPr>
            <w:tcW w:type="dxa" w:w="4526"/>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b/>
                <w:bCs/>
                <w:color w:val="000000"/>
                <w:sz w:val="20"/>
                <w:szCs w:val="20"/>
              </w:rPr>
              <w:t xml:space="preserve">Bornhuetter-Ferguson</w:t>
            </w:r>
          </w:p>
        </w:tc>
        <w:tc>
          <w:tcPr>
            <w:tcW w:type="dxa" w:w="25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right"/>
            </w:pPr>
            <w:r>
              <w:rPr>
                <w:b/>
                <w:bCs/>
                <w:color w:val="000000"/>
                <w:sz w:val="20"/>
                <w:szCs w:val="20"/>
              </w:rPr>
              <w:t xml:space="preserve">18,94 M€</w:t>
            </w:r>
          </w:p>
        </w:tc>
        <w:tc>
          <w:tcPr>
            <w:tcW w:type="dxa" w:w="25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right"/>
            </w:pPr>
            <w:r>
              <w:rPr>
                <w:b/>
                <w:bCs/>
                <w:color w:val="548235"/>
                <w:sz w:val="20"/>
                <w:szCs w:val="20"/>
              </w:rPr>
              <w:t xml:space="preserve">−2,03 %</w:t>
            </w:r>
          </w:p>
        </w:tc>
      </w:tr>
    </w:tbl>
    <w:p>
      <w:pPr>
        <w:spacing w:after="120"/>
      </w:pPr>
      <w:r>
        <w:t xml:space="preserve"/>
      </w:r>
    </w:p>
    <w:p>
      <w:pPr>
        <w:spacing w:after="120" w:before="120"/>
        <w:jc w:val="center"/>
      </w:pPr>
      <w:r>
        <w:drawing>
          <wp:inline distT="0" distB="0" distL="0" distR="0">
            <wp:extent cx="5400675" cy="2152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400675" cy="2152650"/>
                    </a:xfrm>
                    <a:prstGeom prst="rect">
                      <a:avLst/>
                    </a:prstGeom>
                  </pic:spPr>
                </pic:pic>
              </a:graphicData>
            </a:graphic>
          </wp:inline>
        </w:drawing>
      </w:r>
    </w:p>
    <w:p>
      <w:pPr>
        <w:spacing w:after="240"/>
        <w:jc w:val="center"/>
      </w:pPr>
      <w:r>
        <w:rPr>
          <w:i/>
          <w:iCs/>
          <w:color w:val="595959"/>
          <w:sz w:val="20"/>
          <w:szCs w:val="20"/>
        </w:rPr>
        <w:t xml:space="preserve">Figure 2 — Comparaison des méthodes de provisionnement. (a) Ultimate par méthode et par cohorte vs vérité terrain. (b) Intervalle de confiance Mack à 99,5 % et position de la vérité terrain : la cohorte 2023 sort de l'intervalle de confiance, signalant un risque de modèle non capté par la variance statistique.</w:t>
      </w:r>
    </w:p>
    <w:tbl>
      <w:tblPr>
        <w:tblW w:type="dxa" w:w="9026"/>
        <w:tblBorders>
          <w:top w:val="none" w:color="FFFFFF" w:sz="0"/>
          <w:left w:val="single" w:color="2E5496" w:sz="24"/>
          <w:bottom w:val="none" w:color="FFFFFF" w:sz="0"/>
          <w:right w:val="none" w:color="FFFFFF" w:sz="0"/>
          <w:insideH w:val="none" w:color="FFFFFF" w:sz="0"/>
          <w:insideV w:val="none" w:color="FFFFFF" w:sz="0"/>
        </w:tblBorders>
      </w:tblPr>
      <w:tblGrid>
        <w:gridCol w:w="9026"/>
      </w:tblGrid>
      <w:tr>
        <w:tc>
          <w:tcPr>
            <w:tcW w:type="dxa" w:w="9026"/>
            <w:shd w:fill="D6E0F0" w:val="clear"/>
            <w:tcMar>
              <w:top w:type="dxa" w:w="120"/>
              <w:left w:type="dxa" w:w="200"/>
              <w:bottom w:type="dxa" w:w="120"/>
              <w:right w:type="dxa" w:w="200"/>
            </w:tcMar>
          </w:tcPr>
          <w:p>
            <w:pPr>
              <w:spacing w:after="80"/>
            </w:pPr>
            <w:r>
              <w:rPr>
                <w:b/>
                <w:bCs/>
                <w:color w:val="1F3864"/>
                <w:sz w:val="22"/>
                <w:szCs w:val="22"/>
              </w:rPr>
              <w:t xml:space="preserve">Constat actuariel majeur</w:t>
            </w:r>
          </w:p>
          <w:p>
            <w:pPr>
              <w:jc w:val="both"/>
            </w:pPr>
            <w:r>
              <w:rPr>
                <w:i/>
                <w:iCs/>
                <w:sz w:val="22"/>
                <w:szCs w:val="22"/>
              </w:rPr>
              <w:t xml:space="preserve">L'année 2023 sort de l'intervalle de confiance à 99,5 % de Mack. La vérité terrain (5,38 M€) excède la borne supérieure Mack (4,89 M€) de 10 %, alors qu'un tel dépassement devrait se produire moins d'une fois sur deux cents. Cela traduit le fait que Mack capture la variance statistique des link ratios mais ne capture pas le risque de modèle (anomalie de composition du portefeuille, effet ponctuel sur la queue de distribution des sinistres corporels).</w:t>
            </w:r>
          </w:p>
        </w:tc>
      </w:tr>
    </w:tbl>
    <w:p>
      <w:r>
        <w:br w:type="page"/>
      </w:r>
    </w:p>
    <w:p>
      <w:pPr>
        <w:pStyle w:val="Heading1"/>
      </w:pPr>
      <w:r>
        <w:t xml:space="preserve">5. Module 3 — Test d'adéquation IFRS 4</w:t>
      </w:r>
    </w:p>
    <w:p>
      <w:pPr>
        <w:pStyle w:val="Heading2"/>
      </w:pPr>
      <w:r>
        <w:t xml:space="preserve">5.1 Cadre réglementaire</w:t>
      </w:r>
    </w:p>
    <w:p>
      <w:pPr>
        <w:spacing w:after="120" w:line="300"/>
        <w:jc w:val="both"/>
      </w:pPr>
      <w:r>
        <w:rPr>
          <w:b w:val="false"/>
          <w:bCs w:val="false"/>
          <w:i w:val="false"/>
          <w:iCs w:val="false"/>
          <w:color w:val="000000"/>
          <w:sz w:val="22"/>
          <w:szCs w:val="22"/>
        </w:rPr>
        <w:t xml:space="preserve">Le Liability Adequacy Test (LAT) est une exigence d'IFRS 4. À chaque clôture, l'assureur doit vérifier que les passifs d'assurance comptabilisés sont suffisants pour couvrir les flux de trésorerie futurs estimés. Concrètement pour le non-vie : la prime non acquise (UPR), nette des frais d'acquisition reportés (DAC), doit suffire à payer la charge attendue sur la période restante du contrat. Si tel n'est pas le cas, l'assureur doit constituer une provision complémentaire dite « provision pour risque en cours » (URR).</w:t>
      </w:r>
    </w:p>
    <w:p>
      <w:pPr>
        <w:spacing w:after="120" w:line="300"/>
        <w:jc w:val="both"/>
      </w:pPr>
      <w:r>
        <w:rPr>
          <w:b w:val="false"/>
          <w:bCs w:val="false"/>
          <w:i w:val="false"/>
          <w:iCs w:val="false"/>
          <w:sz w:val="22"/>
          <w:szCs w:val="22"/>
        </w:rPr>
        <w:t xml:space="preserve">Le test se réalise </w:t>
      </w:r>
      <w:r>
        <w:rPr>
          <w:b/>
          <w:bCs/>
          <w:i w:val="false"/>
          <w:iCs w:val="false"/>
          <w:sz w:val="22"/>
          <w:szCs w:val="22"/>
        </w:rPr>
        <w:t xml:space="preserve">au niveau de portefeuilles de contrats soumis à des risques similaires</w:t>
      </w:r>
      <w:r>
        <w:rPr>
          <w:b w:val="false"/>
          <w:bCs w:val="false"/>
          <w:i w:val="false"/>
          <w:iCs w:val="false"/>
          <w:sz w:val="22"/>
          <w:szCs w:val="22"/>
        </w:rPr>
        <w:t xml:space="preserve"> (IFRS 4.15). Ici, la segmentation Particuliers / Flottes est retenue, car leurs profils de sinistralité diffèrent fortement (S/P ultime de 40,1 % pour les Flottes contre 72,5 % pour les Particuliers).</w:t>
      </w:r>
    </w:p>
    <w:p>
      <w:pPr>
        <w:pStyle w:val="Heading2"/>
      </w:pPr>
      <w:r>
        <w:t xml:space="preserve">5.2 Résultat du test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800"/>
        <w:gridCol w:w="1800"/>
        <w:gridCol w:w="1626"/>
      </w:tblGrid>
      <w:tr>
        <w:trPr>
          <w:tblHeader/>
        </w:trPr>
        <w:tc>
          <w:tcPr>
            <w:tcW w:type="dxa" w:w="2000"/>
            <w:tcBorders>
              <w:top w:val="single" w:color="BFBFBF" w:sz="4"/>
              <w:left w:val="single" w:color="BFBFBF" w:sz="4"/>
              <w:bottom w:val="single" w:color="BFBFBF" w:sz="4"/>
              <w:right w:val="single" w:color="BFBFBF" w:sz="4"/>
            </w:tcBorders>
            <w:shd w:fill="2E5496" w:val="clear"/>
            <w:tcMar>
              <w:top w:type="dxa" w:w="80"/>
              <w:left w:type="dxa" w:w="120"/>
              <w:bottom w:type="dxa" w:w="80"/>
              <w:right w:type="dxa" w:w="120"/>
            </w:tcMar>
          </w:tcPr>
          <w:p>
            <w:pPr>
              <w:jc w:val="center"/>
            </w:pPr>
            <w:r>
              <w:rPr>
                <w:b/>
                <w:bCs/>
                <w:color w:val="FFFFFF"/>
                <w:sz w:val="20"/>
                <w:szCs w:val="20"/>
              </w:rPr>
              <w:t xml:space="preserve">Segment</w:t>
            </w:r>
          </w:p>
        </w:tc>
        <w:tc>
          <w:tcPr>
            <w:tcW w:type="dxa" w:w="1800"/>
            <w:tcBorders>
              <w:top w:val="single" w:color="BFBFBF" w:sz="4"/>
              <w:left w:val="single" w:color="BFBFBF" w:sz="4"/>
              <w:bottom w:val="single" w:color="BFBFBF" w:sz="4"/>
              <w:right w:val="single" w:color="BFBFBF" w:sz="4"/>
            </w:tcBorders>
            <w:shd w:fill="2E5496" w:val="clear"/>
            <w:tcMar>
              <w:top w:type="dxa" w:w="80"/>
              <w:left w:type="dxa" w:w="120"/>
              <w:bottom w:type="dxa" w:w="80"/>
              <w:right w:type="dxa" w:w="120"/>
            </w:tcMar>
          </w:tcPr>
          <w:p>
            <w:pPr>
              <w:jc w:val="center"/>
            </w:pPr>
            <w:r>
              <w:rPr>
                <w:b/>
                <w:bCs/>
                <w:color w:val="FFFFFF"/>
                <w:sz w:val="20"/>
                <w:szCs w:val="20"/>
              </w:rPr>
              <w:t xml:space="preserve">UPR net</w:t>
            </w:r>
          </w:p>
        </w:tc>
        <w:tc>
          <w:tcPr>
            <w:tcW w:type="dxa" w:w="1800"/>
            <w:tcBorders>
              <w:top w:val="single" w:color="BFBFBF" w:sz="4"/>
              <w:left w:val="single" w:color="BFBFBF" w:sz="4"/>
              <w:bottom w:val="single" w:color="BFBFBF" w:sz="4"/>
              <w:right w:val="single" w:color="BFBFBF" w:sz="4"/>
            </w:tcBorders>
            <w:shd w:fill="2E5496" w:val="clear"/>
            <w:tcMar>
              <w:top w:type="dxa" w:w="80"/>
              <w:left w:type="dxa" w:w="120"/>
              <w:bottom w:type="dxa" w:w="80"/>
              <w:right w:type="dxa" w:w="120"/>
            </w:tcMar>
          </w:tcPr>
          <w:p>
            <w:pPr>
              <w:jc w:val="center"/>
            </w:pPr>
            <w:r>
              <w:rPr>
                <w:b/>
                <w:bCs/>
                <w:color w:val="FFFFFF"/>
                <w:sz w:val="20"/>
                <w:szCs w:val="20"/>
              </w:rPr>
              <w:t xml:space="preserve">Best Estimate</w:t>
            </w:r>
          </w:p>
        </w:tc>
        <w:tc>
          <w:tcPr>
            <w:tcW w:type="dxa" w:w="1800"/>
            <w:tcBorders>
              <w:top w:val="single" w:color="BFBFBF" w:sz="4"/>
              <w:left w:val="single" w:color="BFBFBF" w:sz="4"/>
              <w:bottom w:val="single" w:color="BFBFBF" w:sz="4"/>
              <w:right w:val="single" w:color="BFBFBF" w:sz="4"/>
            </w:tcBorders>
            <w:shd w:fill="2E5496" w:val="clear"/>
            <w:tcMar>
              <w:top w:type="dxa" w:w="80"/>
              <w:left w:type="dxa" w:w="120"/>
              <w:bottom w:type="dxa" w:w="80"/>
              <w:right w:type="dxa" w:w="120"/>
            </w:tcMar>
          </w:tcPr>
          <w:p>
            <w:pPr>
              <w:jc w:val="center"/>
            </w:pPr>
            <w:r>
              <w:rPr>
                <w:b/>
                <w:bCs/>
                <w:color w:val="FFFFFF"/>
                <w:sz w:val="20"/>
                <w:szCs w:val="20"/>
              </w:rPr>
              <w:t xml:space="preserve">Marge</w:t>
            </w:r>
          </w:p>
        </w:tc>
        <w:tc>
          <w:tcPr>
            <w:tcW w:type="dxa" w:w="1626"/>
            <w:tcBorders>
              <w:top w:val="single" w:color="BFBFBF" w:sz="4"/>
              <w:left w:val="single" w:color="BFBFBF" w:sz="4"/>
              <w:bottom w:val="single" w:color="BFBFBF" w:sz="4"/>
              <w:right w:val="single" w:color="BFBFBF" w:sz="4"/>
            </w:tcBorders>
            <w:shd w:fill="2E5496" w:val="clear"/>
            <w:tcMar>
              <w:top w:type="dxa" w:w="80"/>
              <w:left w:type="dxa" w:w="120"/>
              <w:bottom w:type="dxa" w:w="80"/>
              <w:right w:type="dxa" w:w="120"/>
            </w:tcMar>
          </w:tcPr>
          <w:p>
            <w:pPr>
              <w:jc w:val="center"/>
            </w:pPr>
            <w:r>
              <w:rPr>
                <w:b/>
                <w:bCs/>
                <w:color w:val="FFFFFF"/>
                <w:sz w:val="20"/>
                <w:szCs w:val="20"/>
              </w:rPr>
              <w:t xml:space="preserve">Test</w:t>
            </w:r>
          </w:p>
        </w:tc>
      </w:tr>
      <w:tr>
        <w:tc>
          <w:tcPr>
            <w:tcW w:type="dxa" w:w="20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jc w:val="left"/>
            </w:pPr>
            <w:r>
              <w:rPr>
                <w:b w:val="false"/>
                <w:bCs w:val="false"/>
                <w:color w:val="000000"/>
                <w:sz w:val="20"/>
                <w:szCs w:val="20"/>
              </w:rPr>
              <w:t xml:space="preserve">Flottes</w:t>
            </w:r>
          </w:p>
        </w:tc>
        <w:tc>
          <w:tcPr>
            <w:tcW w:type="dxa" w:w="18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jc w:val="right"/>
            </w:pPr>
            <w:r>
              <w:rPr>
                <w:b w:val="false"/>
                <w:bCs w:val="false"/>
                <w:color w:val="000000"/>
                <w:sz w:val="20"/>
                <w:szCs w:val="20"/>
              </w:rPr>
              <w:t xml:space="preserve">1,26 M€</w:t>
            </w:r>
          </w:p>
        </w:tc>
        <w:tc>
          <w:tcPr>
            <w:tcW w:type="dxa" w:w="18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jc w:val="right"/>
            </w:pPr>
            <w:r>
              <w:rPr>
                <w:b w:val="false"/>
                <w:bCs w:val="false"/>
                <w:color w:val="000000"/>
                <w:sz w:val="20"/>
                <w:szCs w:val="20"/>
              </w:rPr>
              <w:t xml:space="preserve">0,85 M€</w:t>
            </w:r>
          </w:p>
        </w:tc>
        <w:tc>
          <w:tcPr>
            <w:tcW w:type="dxa" w:w="18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jc w:val="right"/>
            </w:pPr>
            <w:r>
              <w:rPr>
                <w:color w:val="548235"/>
                <w:sz w:val="20"/>
                <w:szCs w:val="20"/>
              </w:rPr>
              <w:t xml:space="preserve">+414 k€</w:t>
            </w:r>
          </w:p>
        </w:tc>
        <w:tc>
          <w:tcPr>
            <w:tcW w:type="dxa" w:w="1626"/>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jc w:val="center"/>
            </w:pPr>
            <w:r>
              <w:rPr>
                <w:b/>
                <w:bCs/>
                <w:color w:val="548235"/>
                <w:sz w:val="20"/>
                <w:szCs w:val="20"/>
              </w:rPr>
              <w:t xml:space="preserve">OK</w:t>
            </w:r>
          </w:p>
        </w:tc>
      </w:tr>
      <w:tr>
        <w:tc>
          <w:tcPr>
            <w:tcW w:type="dxa" w:w="20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b/>
                <w:bCs/>
                <w:color w:val="000000"/>
                <w:sz w:val="20"/>
                <w:szCs w:val="20"/>
              </w:rPr>
              <w:t xml:space="preserve">Particuliers</w:t>
            </w:r>
          </w:p>
        </w:tc>
        <w:tc>
          <w:tcPr>
            <w:tcW w:type="dxa" w:w="18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right"/>
            </w:pPr>
            <w:r>
              <w:rPr>
                <w:b w:val="false"/>
                <w:bCs w:val="false"/>
                <w:color w:val="000000"/>
                <w:sz w:val="20"/>
                <w:szCs w:val="20"/>
              </w:rPr>
              <w:t xml:space="preserve">1,79 M€</w:t>
            </w:r>
          </w:p>
        </w:tc>
        <w:tc>
          <w:tcPr>
            <w:tcW w:type="dxa" w:w="18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right"/>
            </w:pPr>
            <w:r>
              <w:rPr>
                <w:b w:val="false"/>
                <w:bCs w:val="false"/>
                <w:color w:val="000000"/>
                <w:sz w:val="20"/>
                <w:szCs w:val="20"/>
              </w:rPr>
              <w:t xml:space="preserve">1,88 M€</w:t>
            </w:r>
          </w:p>
        </w:tc>
        <w:tc>
          <w:tcPr>
            <w:tcW w:type="dxa" w:w="18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right"/>
            </w:pPr>
            <w:r>
              <w:rPr>
                <w:b/>
                <w:bCs/>
                <w:color w:val="C00000"/>
                <w:sz w:val="20"/>
                <w:szCs w:val="20"/>
              </w:rPr>
              <w:t xml:space="preserve">−94 k€</w:t>
            </w:r>
          </w:p>
        </w:tc>
        <w:tc>
          <w:tcPr>
            <w:tcW w:type="dxa" w:w="1626"/>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center"/>
            </w:pPr>
            <w:r>
              <w:rPr>
                <w:b/>
                <w:bCs/>
                <w:color w:val="C00000"/>
                <w:sz w:val="20"/>
                <w:szCs w:val="20"/>
              </w:rPr>
              <w:t xml:space="preserve">DEFICIENCY</w:t>
            </w:r>
          </w:p>
        </w:tc>
      </w:tr>
      <w:tr>
        <w:tc>
          <w:tcPr>
            <w:tcW w:type="dxa" w:w="20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jc w:val="left"/>
            </w:pPr>
            <w:r>
              <w:rPr>
                <w:b/>
                <w:bCs/>
                <w:color w:val="000000"/>
                <w:sz w:val="20"/>
                <w:szCs w:val="20"/>
              </w:rPr>
              <w:t xml:space="preserve">Total</w:t>
            </w:r>
          </w:p>
        </w:tc>
        <w:tc>
          <w:tcPr>
            <w:tcW w:type="dxa" w:w="18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jc w:val="right"/>
            </w:pPr>
            <w:r>
              <w:rPr>
                <w:b/>
                <w:bCs/>
                <w:color w:val="000000"/>
                <w:sz w:val="20"/>
                <w:szCs w:val="20"/>
              </w:rPr>
              <w:t xml:space="preserve">3,05 M€</w:t>
            </w:r>
          </w:p>
        </w:tc>
        <w:tc>
          <w:tcPr>
            <w:tcW w:type="dxa" w:w="18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jc w:val="right"/>
            </w:pPr>
            <w:r>
              <w:rPr>
                <w:b/>
                <w:bCs/>
                <w:color w:val="000000"/>
                <w:sz w:val="20"/>
                <w:szCs w:val="20"/>
              </w:rPr>
              <w:t xml:space="preserve">2,73 M€</w:t>
            </w:r>
          </w:p>
        </w:tc>
        <w:tc>
          <w:tcPr>
            <w:tcW w:type="dxa" w:w="18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jc w:val="right"/>
            </w:pPr>
            <w:r>
              <w:rPr>
                <w:b/>
                <w:bCs/>
                <w:color w:val="000000"/>
                <w:sz w:val="20"/>
                <w:szCs w:val="20"/>
              </w:rPr>
              <w:t xml:space="preserve">+321 k€</w:t>
            </w:r>
          </w:p>
        </w:tc>
        <w:tc>
          <w:tcPr>
            <w:tcW w:type="dxa" w:w="1626"/>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jc w:val="center"/>
            </w:pPr>
            <w:r>
              <w:rPr>
                <w:b/>
                <w:bCs/>
                <w:color w:val="000000"/>
                <w:sz w:val="20"/>
                <w:szCs w:val="20"/>
              </w:rPr>
              <w:t xml:space="preserve">—</w:t>
            </w:r>
          </w:p>
        </w:tc>
      </w:tr>
    </w:tbl>
    <w:p>
      <w:pPr>
        <w:spacing w:after="120"/>
      </w:pPr>
      <w:r>
        <w:t xml:space="preserve"/>
      </w:r>
    </w:p>
    <w:p>
      <w:pPr>
        <w:spacing w:after="120" w:before="120"/>
        <w:jc w:val="center"/>
      </w:pPr>
      <w:r>
        <w:drawing>
          <wp:inline distT="0" distB="0" distL="0" distR="0">
            <wp:extent cx="5400675" cy="2152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400675" cy="2152650"/>
                    </a:xfrm>
                    <a:prstGeom prst="rect">
                      <a:avLst/>
                    </a:prstGeom>
                  </pic:spPr>
                </pic:pic>
              </a:graphicData>
            </a:graphic>
          </wp:inline>
        </w:drawing>
      </w:r>
    </w:p>
    <w:p>
      <w:pPr>
        <w:spacing w:after="240"/>
        <w:jc w:val="center"/>
      </w:pPr>
      <w:r>
        <w:rPr>
          <w:i/>
          <w:iCs/>
          <w:color w:val="595959"/>
          <w:sz w:val="20"/>
          <w:szCs w:val="20"/>
        </w:rPr>
        <w:t xml:space="preserve">Figure 3 — Liability Adequacy Test sous IFRS 4. (a) Comparaison UPR net vs Best Estimate par segment, faisant apparaître la déficience sur les Particuliers. (b) Composition des provisions techniques totales au 31/12/2025 : PSAP, UPR et URR.</w:t>
      </w:r>
    </w:p>
    <w:tbl>
      <w:tblPr>
        <w:tblW w:type="dxa" w:w="9026"/>
        <w:tblBorders>
          <w:top w:val="none" w:color="FFFFFF" w:sz="0"/>
          <w:left w:val="single" w:color="2E5496" w:sz="24"/>
          <w:bottom w:val="none" w:color="FFFFFF" w:sz="0"/>
          <w:right w:val="none" w:color="FFFFFF" w:sz="0"/>
          <w:insideH w:val="none" w:color="FFFFFF" w:sz="0"/>
          <w:insideV w:val="none" w:color="FFFFFF" w:sz="0"/>
        </w:tblBorders>
      </w:tblPr>
      <w:tblGrid>
        <w:gridCol w:w="9026"/>
      </w:tblGrid>
      <w:tr>
        <w:tc>
          <w:tcPr>
            <w:tcW w:type="dxa" w:w="9026"/>
            <w:shd w:fill="D6E0F0" w:val="clear"/>
            <w:tcMar>
              <w:top w:type="dxa" w:w="120"/>
              <w:left w:type="dxa" w:w="200"/>
              <w:bottom w:type="dxa" w:w="120"/>
              <w:right w:type="dxa" w:w="200"/>
            </w:tcMar>
          </w:tcPr>
          <w:p>
            <w:pPr>
              <w:spacing w:after="80"/>
            </w:pPr>
            <w:r>
              <w:rPr>
                <w:b/>
                <w:bCs/>
                <w:color w:val="1F3864"/>
                <w:sz w:val="22"/>
                <w:szCs w:val="22"/>
              </w:rPr>
              <w:t xml:space="preserve">Enseignement clé du LAT</w:t>
            </w:r>
          </w:p>
          <w:p>
            <w:pPr>
              <w:jc w:val="both"/>
            </w:pPr>
            <w:r>
              <w:rPr>
                <w:i/>
                <w:iCs/>
                <w:sz w:val="22"/>
                <w:szCs w:val="22"/>
              </w:rPr>
              <w:t xml:space="preserve">Le test agrégé conclurait à tort que tout va bien : l'UPR net total (3,05 M€) dépasse largement le best estimate (2,73 M€), avec une marge positive de 321 k€. Mais décliné par segment, comme l'impose IFRS 4, le test révèle que les Particuliers sont déficitaires de 94 k€. La mutualisation des marges entre segments ne dispense pas de provisionner les segments individuellement déficitaires. Une provision pour risque en cours de 94 k€ doit être comptabilisée.</w:t>
            </w:r>
          </w:p>
        </w:tc>
      </w:tr>
    </w:tbl>
    <w:p>
      <w:r>
        <w:br w:type="page"/>
      </w:r>
    </w:p>
    <w:p>
      <w:pPr>
        <w:pStyle w:val="Heading1"/>
      </w:pPr>
      <w:r>
        <w:t xml:space="preserve">6. Module 4 — Analyse boni-mali</w:t>
      </w:r>
    </w:p>
    <w:p>
      <w:pPr>
        <w:pStyle w:val="Heading2"/>
      </w:pPr>
      <w:r>
        <w:t xml:space="preserve">6.1 Principe</w:t>
      </w:r>
    </w:p>
    <w:p>
      <w:pPr>
        <w:spacing w:after="120" w:line="300"/>
        <w:jc w:val="both"/>
      </w:pPr>
      <w:r>
        <w:rPr>
          <w:b w:val="false"/>
          <w:bCs w:val="false"/>
          <w:i w:val="false"/>
          <w:iCs w:val="false"/>
          <w:color w:val="000000"/>
          <w:sz w:val="22"/>
          <w:szCs w:val="22"/>
        </w:rPr>
        <w:t xml:space="preserve">L'analyse boni-mali mesure la variation de l'estimation de la charge ultime entre deux clôtures successives, par cohorte d'année de survenance. Un boni (variation favorable) signifie que l'estimation précédente surévaluait la charge : on libère de la provision, ce qui améliore le résultat. Un mali (variation défavorable) signifie l'inverse : il faut renforcer la provision, ce qui dégrade le résultat.</w:t>
      </w:r>
    </w:p>
    <w:p>
      <w:pPr>
        <w:spacing w:after="120" w:line="300"/>
        <w:jc w:val="both"/>
      </w:pPr>
      <w:r>
        <w:rPr>
          <w:b w:val="false"/>
          <w:bCs w:val="false"/>
          <w:i w:val="false"/>
          <w:iCs w:val="false"/>
          <w:color w:val="000000"/>
          <w:sz w:val="22"/>
          <w:szCs w:val="22"/>
        </w:rPr>
        <w:t xml:space="preserve">Concrètement, on reconstruit le triangle tel qu'il était visible au 31/12/2024, on réestime l'Ultimate Chain-Ladder à cette date, puis on compare avec l'estimation au 31/12/2025. C'est l'indicateur central de la qualité du provisionnement : un mali récurrent sur une cohorte signale un sous-provisionnement structurel qu'il faut comprendre et corriger.</w:t>
      </w:r>
    </w:p>
    <w:p>
      <w:pPr>
        <w:pStyle w:val="Heading2"/>
      </w:pPr>
      <w:r>
        <w:t xml:space="preserve">6.2 Résultat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26"/>
        <w:gridCol w:w="3000"/>
        <w:gridCol w:w="2500"/>
      </w:tblGrid>
      <w:tr>
        <w:trPr>
          <w:tblHeader/>
        </w:trPr>
        <w:tc>
          <w:tcPr>
            <w:tcW w:type="dxa" w:w="3526"/>
            <w:tcBorders>
              <w:top w:val="single" w:color="BFBFBF" w:sz="4"/>
              <w:left w:val="single" w:color="BFBFBF" w:sz="4"/>
              <w:bottom w:val="single" w:color="BFBFBF" w:sz="4"/>
              <w:right w:val="single" w:color="BFBFBF" w:sz="4"/>
            </w:tcBorders>
            <w:shd w:fill="2E5496" w:val="clear"/>
            <w:tcMar>
              <w:top w:type="dxa" w:w="80"/>
              <w:left w:type="dxa" w:w="120"/>
              <w:bottom w:type="dxa" w:w="80"/>
              <w:right w:type="dxa" w:w="120"/>
            </w:tcMar>
          </w:tcPr>
          <w:p>
            <w:pPr>
              <w:jc w:val="center"/>
            </w:pPr>
            <w:r>
              <w:rPr>
                <w:b/>
                <w:bCs/>
                <w:color w:val="FFFFFF"/>
                <w:sz w:val="20"/>
                <w:szCs w:val="20"/>
              </w:rPr>
              <w:t xml:space="preserve">Année de survenance</w:t>
            </w:r>
          </w:p>
        </w:tc>
        <w:tc>
          <w:tcPr>
            <w:tcW w:type="dxa" w:w="3000"/>
            <w:tcBorders>
              <w:top w:val="single" w:color="BFBFBF" w:sz="4"/>
              <w:left w:val="single" w:color="BFBFBF" w:sz="4"/>
              <w:bottom w:val="single" w:color="BFBFBF" w:sz="4"/>
              <w:right w:val="single" w:color="BFBFBF" w:sz="4"/>
            </w:tcBorders>
            <w:shd w:fill="2E5496" w:val="clear"/>
            <w:tcMar>
              <w:top w:type="dxa" w:w="80"/>
              <w:left w:type="dxa" w:w="120"/>
              <w:bottom w:type="dxa" w:w="80"/>
              <w:right w:type="dxa" w:w="120"/>
            </w:tcMar>
          </w:tcPr>
          <w:p>
            <w:pPr>
              <w:jc w:val="center"/>
            </w:pPr>
            <w:r>
              <w:rPr>
                <w:b/>
                <w:bCs/>
                <w:color w:val="FFFFFF"/>
                <w:sz w:val="20"/>
                <w:szCs w:val="20"/>
              </w:rPr>
              <w:t xml:space="preserve">Boni-mali</w:t>
            </w:r>
          </w:p>
        </w:tc>
        <w:tc>
          <w:tcPr>
            <w:tcW w:type="dxa" w:w="2500"/>
            <w:tcBorders>
              <w:top w:val="single" w:color="BFBFBF" w:sz="4"/>
              <w:left w:val="single" w:color="BFBFBF" w:sz="4"/>
              <w:bottom w:val="single" w:color="BFBFBF" w:sz="4"/>
              <w:right w:val="single" w:color="BFBFBF" w:sz="4"/>
            </w:tcBorders>
            <w:shd w:fill="2E5496" w:val="clear"/>
            <w:tcMar>
              <w:top w:type="dxa" w:w="80"/>
              <w:left w:type="dxa" w:w="120"/>
              <w:bottom w:type="dxa" w:w="80"/>
              <w:right w:type="dxa" w:w="120"/>
            </w:tcMar>
          </w:tcPr>
          <w:p>
            <w:pPr>
              <w:jc w:val="center"/>
            </w:pPr>
            <w:r>
              <w:rPr>
                <w:b/>
                <w:bCs/>
                <w:color w:val="FFFFFF"/>
                <w:sz w:val="20"/>
                <w:szCs w:val="20"/>
              </w:rPr>
              <w:t xml:space="preserve">Variation</w:t>
            </w:r>
          </w:p>
        </w:tc>
      </w:tr>
      <w:tr>
        <w:tc>
          <w:tcPr>
            <w:tcW w:type="dxa" w:w="3526"/>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jc w:val="left"/>
            </w:pPr>
            <w:r>
              <w:rPr>
                <w:b w:val="false"/>
                <w:bCs w:val="false"/>
                <w:color w:val="000000"/>
                <w:sz w:val="20"/>
                <w:szCs w:val="20"/>
              </w:rPr>
              <w:t xml:space="preserve">2021</w:t>
            </w:r>
          </w:p>
        </w:tc>
        <w:tc>
          <w:tcPr>
            <w:tcW w:type="dxa" w:w="30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jc w:val="right"/>
            </w:pPr>
            <w:r>
              <w:rPr>
                <w:color w:val="C00000"/>
                <w:sz w:val="20"/>
                <w:szCs w:val="20"/>
              </w:rPr>
              <w:t xml:space="preserve">−165 353 €</w:t>
            </w:r>
          </w:p>
        </w:tc>
        <w:tc>
          <w:tcPr>
            <w:tcW w:type="dxa" w:w="25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jc w:val="right"/>
            </w:pPr>
            <w:r>
              <w:rPr>
                <w:color w:val="C00000"/>
                <w:sz w:val="20"/>
                <w:szCs w:val="20"/>
              </w:rPr>
              <w:t xml:space="preserve">−5,6 %</w:t>
            </w:r>
          </w:p>
        </w:tc>
      </w:tr>
      <w:tr>
        <w:tc>
          <w:tcPr>
            <w:tcW w:type="dxa" w:w="3526"/>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b w:val="false"/>
                <w:bCs w:val="false"/>
                <w:color w:val="000000"/>
                <w:sz w:val="20"/>
                <w:szCs w:val="20"/>
              </w:rPr>
              <w:t xml:space="preserve">2022</w:t>
            </w:r>
          </w:p>
        </w:tc>
        <w:tc>
          <w:tcPr>
            <w:tcW w:type="dxa" w:w="30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right"/>
            </w:pPr>
            <w:r>
              <w:rPr>
                <w:color w:val="C00000"/>
                <w:sz w:val="20"/>
                <w:szCs w:val="20"/>
              </w:rPr>
              <w:t xml:space="preserve">−78 024 €</w:t>
            </w:r>
          </w:p>
        </w:tc>
        <w:tc>
          <w:tcPr>
            <w:tcW w:type="dxa" w:w="25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right"/>
            </w:pPr>
            <w:r>
              <w:rPr>
                <w:color w:val="C00000"/>
                <w:sz w:val="20"/>
                <w:szCs w:val="20"/>
              </w:rPr>
              <w:t xml:space="preserve">−3,1 %</w:t>
            </w:r>
          </w:p>
        </w:tc>
      </w:tr>
      <w:tr>
        <w:tc>
          <w:tcPr>
            <w:tcW w:type="dxa" w:w="3526"/>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jc w:val="left"/>
            </w:pPr>
            <w:r>
              <w:rPr>
                <w:b/>
                <w:bCs/>
                <w:color w:val="000000"/>
                <w:sz w:val="20"/>
                <w:szCs w:val="20"/>
              </w:rPr>
              <w:t xml:space="preserve">2023</w:t>
            </w:r>
          </w:p>
        </w:tc>
        <w:tc>
          <w:tcPr>
            <w:tcW w:type="dxa" w:w="30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jc w:val="right"/>
            </w:pPr>
            <w:r>
              <w:rPr>
                <w:b/>
                <w:bCs/>
                <w:color w:val="C00000"/>
                <w:sz w:val="20"/>
                <w:szCs w:val="20"/>
              </w:rPr>
              <w:t xml:space="preserve">−417 671 €</w:t>
            </w:r>
          </w:p>
        </w:tc>
        <w:tc>
          <w:tcPr>
            <w:tcW w:type="dxa" w:w="25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jc w:val="right"/>
            </w:pPr>
            <w:r>
              <w:rPr>
                <w:b/>
                <w:bCs/>
                <w:color w:val="C00000"/>
                <w:sz w:val="20"/>
                <w:szCs w:val="20"/>
              </w:rPr>
              <w:t xml:space="preserve">−9,9 %</w:t>
            </w:r>
          </w:p>
        </w:tc>
      </w:tr>
      <w:tr>
        <w:tc>
          <w:tcPr>
            <w:tcW w:type="dxa" w:w="3526"/>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b w:val="false"/>
                <w:bCs w:val="false"/>
                <w:color w:val="000000"/>
                <w:sz w:val="20"/>
                <w:szCs w:val="20"/>
              </w:rPr>
              <w:t xml:space="preserve">2024</w:t>
            </w:r>
          </w:p>
        </w:tc>
        <w:tc>
          <w:tcPr>
            <w:tcW w:type="dxa" w:w="30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right"/>
            </w:pPr>
            <w:r>
              <w:rPr>
                <w:color w:val="C00000"/>
                <w:sz w:val="20"/>
                <w:szCs w:val="20"/>
              </w:rPr>
              <w:t xml:space="preserve">−119 340 €</w:t>
            </w:r>
          </w:p>
        </w:tc>
        <w:tc>
          <w:tcPr>
            <w:tcW w:type="dxa" w:w="25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right"/>
            </w:pPr>
            <w:r>
              <w:rPr>
                <w:color w:val="C00000"/>
                <w:sz w:val="20"/>
                <w:szCs w:val="20"/>
              </w:rPr>
              <w:t xml:space="preserve">−3,3 %</w:t>
            </w:r>
          </w:p>
        </w:tc>
      </w:tr>
      <w:tr>
        <w:tc>
          <w:tcPr>
            <w:tcW w:type="dxa" w:w="3526"/>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jc w:val="left"/>
            </w:pPr>
            <w:r>
              <w:rPr>
                <w:b/>
                <w:bCs/>
                <w:color w:val="000000"/>
                <w:sz w:val="20"/>
                <w:szCs w:val="20"/>
              </w:rPr>
              <w:t xml:space="preserve">Total</w:t>
            </w:r>
          </w:p>
        </w:tc>
        <w:tc>
          <w:tcPr>
            <w:tcW w:type="dxa" w:w="30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jc w:val="right"/>
            </w:pPr>
            <w:r>
              <w:rPr>
                <w:b/>
                <w:bCs/>
                <w:color w:val="C00000"/>
                <w:sz w:val="20"/>
                <w:szCs w:val="20"/>
              </w:rPr>
              <w:t xml:space="preserve">−780 387 €</w:t>
            </w:r>
          </w:p>
        </w:tc>
        <w:tc>
          <w:tcPr>
            <w:tcW w:type="dxa" w:w="25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jc w:val="right"/>
            </w:pPr>
            <w:r>
              <w:rPr>
                <w:b/>
                <w:bCs/>
                <w:color w:val="000000"/>
                <w:sz w:val="20"/>
                <w:szCs w:val="20"/>
              </w:rPr>
              <w:t xml:space="preserve">—</w:t>
            </w:r>
          </w:p>
        </w:tc>
      </w:tr>
    </w:tbl>
    <w:p>
      <w:pPr>
        <w:spacing w:after="120"/>
      </w:pPr>
      <w:r>
        <w:t xml:space="preserve"/>
      </w:r>
    </w:p>
    <w:p>
      <w:pPr>
        <w:spacing w:after="120" w:before="120"/>
        <w:jc w:val="center"/>
      </w:pPr>
      <w:r>
        <w:drawing>
          <wp:inline distT="0" distB="0" distL="0" distR="0">
            <wp:extent cx="5400675" cy="2152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400675" cy="2152650"/>
                    </a:xfrm>
                    <a:prstGeom prst="rect">
                      <a:avLst/>
                    </a:prstGeom>
                  </pic:spPr>
                </pic:pic>
              </a:graphicData>
            </a:graphic>
          </wp:inline>
        </w:drawing>
      </w:r>
    </w:p>
    <w:p>
      <w:pPr>
        <w:spacing w:after="240"/>
        <w:jc w:val="center"/>
      </w:pPr>
      <w:r>
        <w:rPr>
          <w:i/>
          <w:iCs/>
          <w:color w:val="595959"/>
          <w:sz w:val="20"/>
          <w:szCs w:val="20"/>
        </w:rPr>
        <w:t xml:space="preserve">Figure 4 — Analyse boni-mali. (a) Boni-mali par année de survenance : tous les exercices sont en mali, avec une concentration sur la cohorte 2023. (b) Décomposition par segment : les Particuliers portent les deux tiers du mali, presque entièrement sur 2023.</w:t>
      </w:r>
    </w:p>
    <w:p>
      <w:pPr>
        <w:pStyle w:val="Heading2"/>
      </w:pPr>
      <w:r>
        <w:t xml:space="preserve">6.3 Diagnostic — séparer les deux phénomènes</w:t>
      </w:r>
    </w:p>
    <w:tbl>
      <w:tblPr>
        <w:tblW w:type="dxa" w:w="9026"/>
        <w:tblBorders>
          <w:top w:val="none" w:color="FFFFFF" w:sz="0"/>
          <w:left w:val="single" w:color="2E5496" w:sz="24"/>
          <w:bottom w:val="none" w:color="FFFFFF" w:sz="0"/>
          <w:right w:val="none" w:color="FFFFFF" w:sz="0"/>
          <w:insideH w:val="none" w:color="FFFFFF" w:sz="0"/>
          <w:insideV w:val="none" w:color="FFFFFF" w:sz="0"/>
        </w:tblBorders>
      </w:tblPr>
      <w:tblGrid>
        <w:gridCol w:w="9026"/>
      </w:tblGrid>
      <w:tr>
        <w:tc>
          <w:tcPr>
            <w:tcW w:type="dxa" w:w="9026"/>
            <w:shd w:fill="D6E0F0" w:val="clear"/>
            <w:tcMar>
              <w:top w:type="dxa" w:w="120"/>
              <w:left w:type="dxa" w:w="200"/>
              <w:bottom w:type="dxa" w:w="120"/>
              <w:right w:type="dxa" w:w="200"/>
            </w:tcMar>
          </w:tcPr>
          <w:p>
            <w:pPr>
              <w:spacing w:after="80"/>
            </w:pPr>
            <w:r>
              <w:rPr>
                <w:b/>
                <w:bCs/>
                <w:color w:val="1F3864"/>
                <w:sz w:val="22"/>
                <w:szCs w:val="22"/>
              </w:rPr>
              <w:t xml:space="preserve">Lecture actuarielle rigoureuse</w:t>
            </w:r>
          </w:p>
          <w:p>
            <w:pPr>
              <w:jc w:val="both"/>
            </w:pPr>
            <w:r>
              <w:rPr>
                <w:i/>
                <w:iCs/>
                <w:sz w:val="22"/>
                <w:szCs w:val="22"/>
              </w:rPr>
              <w:t xml:space="preserve">Il faut distinguer deux phénomènes que les chiffres bruts mélangent. (a) Un biais structurel de Chain-Ladder vanille, qui tronque le développement à la dernière colonne observée et produit mécaniquement un léger mali de méthode (3-5 %) à chaque clôture. (b) Un signal de risque réel sur la cohorte 2023, dont le mali de −9,9 % est disproportionné et matérialise la sur-sinistralité corporelle déjà identifiée au Module 2. Un actuaire junior pourrait paniquer ; un actuaire expérimenté identifie la cause et propose la correction appropriée (facteur de queue pour le biais de méthode, renforcement ciblé pour le risque réel).</w:t>
            </w:r>
          </w:p>
        </w:tc>
      </w:tr>
    </w:tbl>
    <w:p>
      <w:r>
        <w:br w:type="page"/>
      </w:r>
    </w:p>
    <w:p>
      <w:pPr>
        <w:pStyle w:val="Heading1"/>
      </w:pPr>
      <w:r>
        <w:t xml:space="preserve">7. Module 5 — Résultat technique non-vie</w:t>
      </w:r>
    </w:p>
    <w:p>
      <w:pPr>
        <w:pStyle w:val="Heading2"/>
      </w:pPr>
      <w:r>
        <w:t xml:space="preserve">7.1 Structure du compte</w:t>
      </w:r>
    </w:p>
    <w:p>
      <w:pPr>
        <w:spacing w:after="120" w:line="300"/>
        <w:jc w:val="both"/>
      </w:pPr>
      <w:r>
        <w:rPr>
          <w:b w:val="false"/>
          <w:bCs w:val="false"/>
          <w:i w:val="false"/>
          <w:iCs w:val="false"/>
          <w:color w:val="000000"/>
          <w:sz w:val="22"/>
          <w:szCs w:val="22"/>
        </w:rPr>
        <w:t xml:space="preserve">Le compte technique est établi en base exercice de souscription. Il intègre l'ensemble des composantes du résultat actuariel : primes acquises, charge de sinistres de l'exercice courant, boni-mali sur exercices antérieurs, frais d'acquisition, frais de gestion, et solde de réassurance. Un traité en excédent de sinistre (XL) avec priorité 150 000 € par sinistre est modélisé pour traduire la protection habituelle d'un portefeuille MTPL contre les gros sinistres corporels.</w:t>
      </w:r>
    </w:p>
    <w:p>
      <w:pPr>
        <w:pStyle w:val="Heading2"/>
      </w:pPr>
      <w:r>
        <w:t xml:space="preserve">7.2 Compte technique 2025</w:t>
      </w:r>
    </w:p>
    <w:tbl>
      <w:tblPr>
        <w:tblW w:type="dxa" w:w="9526"/>
        <w:tblBorders>
          <w:top w:val="single" w:color="auto" w:sz="4"/>
          <w:left w:val="single" w:color="auto" w:sz="4"/>
          <w:bottom w:val="single" w:color="auto" w:sz="4"/>
          <w:right w:val="single" w:color="auto" w:sz="4"/>
          <w:insideH w:val="single" w:color="auto" w:sz="4"/>
          <w:insideV w:val="single" w:color="auto" w:sz="4"/>
        </w:tblBorders>
      </w:tblPr>
      <w:tblGrid>
        <w:gridCol w:w="3500"/>
        <w:gridCol w:w="1842"/>
        <w:gridCol w:w="2000"/>
        <w:gridCol w:w="2184"/>
      </w:tblGrid>
      <w:tr>
        <w:trPr>
          <w:tblHeader/>
        </w:trPr>
        <w:tc>
          <w:tcPr>
            <w:tcW w:type="dxa" w:w="3500"/>
            <w:tcBorders>
              <w:top w:val="single" w:color="BFBFBF" w:sz="4"/>
              <w:left w:val="single" w:color="BFBFBF" w:sz="4"/>
              <w:bottom w:val="single" w:color="BFBFBF" w:sz="4"/>
              <w:right w:val="single" w:color="BFBFBF" w:sz="4"/>
            </w:tcBorders>
            <w:shd w:fill="2E5496" w:val="clear"/>
            <w:tcMar>
              <w:top w:type="dxa" w:w="80"/>
              <w:left w:type="dxa" w:w="120"/>
              <w:bottom w:type="dxa" w:w="80"/>
              <w:right w:type="dxa" w:w="120"/>
            </w:tcMar>
          </w:tcPr>
          <w:p>
            <w:pPr>
              <w:jc w:val="center"/>
            </w:pPr>
            <w:r>
              <w:rPr>
                <w:b/>
                <w:bCs/>
                <w:color w:val="FFFFFF"/>
                <w:sz w:val="20"/>
                <w:szCs w:val="20"/>
              </w:rPr>
              <w:t xml:space="preserve">Poste (€)</w:t>
            </w:r>
          </w:p>
        </w:tc>
        <w:tc>
          <w:tcPr>
            <w:tcW w:type="dxa" w:w="1842"/>
            <w:tcBorders>
              <w:top w:val="single" w:color="BFBFBF" w:sz="4"/>
              <w:left w:val="single" w:color="BFBFBF" w:sz="4"/>
              <w:bottom w:val="single" w:color="BFBFBF" w:sz="4"/>
              <w:right w:val="single" w:color="BFBFBF" w:sz="4"/>
            </w:tcBorders>
            <w:shd w:fill="2E5496" w:val="clear"/>
            <w:tcMar>
              <w:top w:type="dxa" w:w="80"/>
              <w:left w:type="dxa" w:w="120"/>
              <w:bottom w:type="dxa" w:w="80"/>
              <w:right w:type="dxa" w:w="120"/>
            </w:tcMar>
          </w:tcPr>
          <w:p>
            <w:pPr>
              <w:jc w:val="center"/>
            </w:pPr>
            <w:r>
              <w:rPr>
                <w:b/>
                <w:bCs/>
                <w:color w:val="FFFFFF"/>
                <w:sz w:val="20"/>
                <w:szCs w:val="20"/>
              </w:rPr>
              <w:t xml:space="preserve">Flottes</w:t>
            </w:r>
          </w:p>
        </w:tc>
        <w:tc>
          <w:tcPr>
            <w:tcW w:type="dxa" w:w="2000"/>
            <w:tcBorders>
              <w:top w:val="single" w:color="BFBFBF" w:sz="4"/>
              <w:left w:val="single" w:color="BFBFBF" w:sz="4"/>
              <w:bottom w:val="single" w:color="BFBFBF" w:sz="4"/>
              <w:right w:val="single" w:color="BFBFBF" w:sz="4"/>
            </w:tcBorders>
            <w:shd w:fill="2E5496" w:val="clear"/>
            <w:tcMar>
              <w:top w:type="dxa" w:w="80"/>
              <w:left w:type="dxa" w:w="120"/>
              <w:bottom w:type="dxa" w:w="80"/>
              <w:right w:type="dxa" w:w="120"/>
            </w:tcMar>
          </w:tcPr>
          <w:p>
            <w:pPr>
              <w:jc w:val="center"/>
            </w:pPr>
            <w:r>
              <w:rPr>
                <w:b/>
                <w:bCs/>
                <w:color w:val="FFFFFF"/>
                <w:sz w:val="20"/>
                <w:szCs w:val="20"/>
              </w:rPr>
              <w:t xml:space="preserve">Particuliers</w:t>
            </w:r>
          </w:p>
        </w:tc>
        <w:tc>
          <w:tcPr>
            <w:tcW w:type="dxa" w:w="2184"/>
            <w:tcBorders>
              <w:top w:val="single" w:color="BFBFBF" w:sz="4"/>
              <w:left w:val="single" w:color="BFBFBF" w:sz="4"/>
              <w:bottom w:val="single" w:color="BFBFBF" w:sz="4"/>
              <w:right w:val="single" w:color="BFBFBF" w:sz="4"/>
            </w:tcBorders>
            <w:shd w:fill="2E5496" w:val="clear"/>
            <w:tcMar>
              <w:top w:type="dxa" w:w="80"/>
              <w:left w:type="dxa" w:w="120"/>
              <w:bottom w:type="dxa" w:w="80"/>
              <w:right w:type="dxa" w:w="120"/>
            </w:tcMar>
          </w:tcPr>
          <w:p>
            <w:pPr>
              <w:jc w:val="center"/>
            </w:pPr>
            <w:r>
              <w:rPr>
                <w:b/>
                <w:bCs/>
                <w:color w:val="FFFFFF"/>
                <w:sz w:val="20"/>
                <w:szCs w:val="20"/>
              </w:rPr>
              <w:t xml:space="preserve">Total</w:t>
            </w:r>
          </w:p>
        </w:tc>
      </w:tr>
      <w:tr>
        <w:tc>
          <w:tcPr>
            <w:tcW w:type="dxa" w:w="35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jc w:val="left"/>
            </w:pPr>
            <w:r>
              <w:rPr>
                <w:b w:val="false"/>
                <w:bCs w:val="false"/>
                <w:color w:val="000000"/>
                <w:sz w:val="20"/>
                <w:szCs w:val="20"/>
              </w:rPr>
              <w:t xml:space="preserve">(+) Primes acquises</w:t>
            </w:r>
          </w:p>
        </w:tc>
        <w:tc>
          <w:tcPr>
            <w:tcW w:type="dxa" w:w="1842"/>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jc w:val="right"/>
            </w:pPr>
            <w:r>
              <w:rPr>
                <w:b w:val="false"/>
                <w:bCs w:val="false"/>
                <w:color w:val="000000"/>
                <w:sz w:val="20"/>
                <w:szCs w:val="20"/>
              </w:rPr>
              <w:t xml:space="preserve">3 031 733</w:t>
            </w:r>
          </w:p>
        </w:tc>
        <w:tc>
          <w:tcPr>
            <w:tcW w:type="dxa" w:w="20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jc w:val="right"/>
            </w:pPr>
            <w:r>
              <w:rPr>
                <w:b w:val="false"/>
                <w:bCs w:val="false"/>
                <w:color w:val="000000"/>
                <w:sz w:val="20"/>
                <w:szCs w:val="20"/>
              </w:rPr>
              <w:t xml:space="preserve">4 201 124</w:t>
            </w:r>
          </w:p>
        </w:tc>
        <w:tc>
          <w:tcPr>
            <w:tcW w:type="dxa" w:w="2184"/>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jc w:val="right"/>
            </w:pPr>
            <w:r>
              <w:rPr>
                <w:b/>
                <w:bCs/>
                <w:color w:val="000000"/>
                <w:sz w:val="20"/>
                <w:szCs w:val="20"/>
              </w:rPr>
              <w:t xml:space="preserve">7 232 857</w:t>
            </w:r>
          </w:p>
        </w:tc>
      </w:tr>
      <w:tr>
        <w:tc>
          <w:tcPr>
            <w:tcW w:type="dxa" w:w="35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b w:val="false"/>
                <w:bCs w:val="false"/>
                <w:color w:val="000000"/>
                <w:sz w:val="20"/>
                <w:szCs w:val="20"/>
              </w:rPr>
              <w:t xml:space="preserve">(−) Charge sinistres courant</w:t>
            </w:r>
          </w:p>
        </w:tc>
        <w:tc>
          <w:tcPr>
            <w:tcW w:type="dxa" w:w="1842"/>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right"/>
            </w:pPr>
            <w:r>
              <w:rPr>
                <w:b w:val="false"/>
                <w:bCs w:val="false"/>
                <w:color w:val="000000"/>
                <w:sz w:val="20"/>
                <w:szCs w:val="20"/>
              </w:rPr>
              <w:t xml:space="preserve">1 301 549</w:t>
            </w:r>
          </w:p>
        </w:tc>
        <w:tc>
          <w:tcPr>
            <w:tcW w:type="dxa" w:w="20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right"/>
            </w:pPr>
            <w:r>
              <w:rPr>
                <w:b w:val="false"/>
                <w:bCs w:val="false"/>
                <w:color w:val="000000"/>
                <w:sz w:val="20"/>
                <w:szCs w:val="20"/>
              </w:rPr>
              <w:t xml:space="preserve">2 909 373</w:t>
            </w:r>
          </w:p>
        </w:tc>
        <w:tc>
          <w:tcPr>
            <w:tcW w:type="dxa" w:w="2184"/>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right"/>
            </w:pPr>
            <w:r>
              <w:rPr>
                <w:b/>
                <w:bCs/>
                <w:color w:val="000000"/>
                <w:sz w:val="20"/>
                <w:szCs w:val="20"/>
              </w:rPr>
              <w:t xml:space="preserve">4 210 922</w:t>
            </w:r>
          </w:p>
        </w:tc>
      </w:tr>
      <w:tr>
        <w:tc>
          <w:tcPr>
            <w:tcW w:type="dxa" w:w="35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jc w:val="left"/>
            </w:pPr>
            <w:r>
              <w:rPr>
                <w:b w:val="false"/>
                <w:bCs w:val="false"/>
                <w:color w:val="000000"/>
                <w:sz w:val="20"/>
                <w:szCs w:val="20"/>
              </w:rPr>
              <w:t xml:space="preserve">(±) Boni-mali antérieurs</w:t>
            </w:r>
          </w:p>
        </w:tc>
        <w:tc>
          <w:tcPr>
            <w:tcW w:type="dxa" w:w="1842"/>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jc w:val="right"/>
            </w:pPr>
            <w:r>
              <w:rPr>
                <w:b w:val="false"/>
                <w:bCs w:val="false"/>
                <w:color w:val="000000"/>
                <w:sz w:val="20"/>
                <w:szCs w:val="20"/>
              </w:rPr>
              <w:t xml:space="preserve">−280 940</w:t>
            </w:r>
          </w:p>
        </w:tc>
        <w:tc>
          <w:tcPr>
            <w:tcW w:type="dxa" w:w="20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jc w:val="right"/>
            </w:pPr>
            <w:r>
              <w:rPr>
                <w:b w:val="false"/>
                <w:bCs w:val="false"/>
                <w:color w:val="000000"/>
                <w:sz w:val="20"/>
                <w:szCs w:val="20"/>
              </w:rPr>
              <w:t xml:space="preserve">−502 763</w:t>
            </w:r>
          </w:p>
        </w:tc>
        <w:tc>
          <w:tcPr>
            <w:tcW w:type="dxa" w:w="2184"/>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jc w:val="right"/>
            </w:pPr>
            <w:r>
              <w:rPr>
                <w:b/>
                <w:bCs/>
                <w:color w:val="C00000"/>
                <w:sz w:val="20"/>
                <w:szCs w:val="20"/>
              </w:rPr>
              <w:t xml:space="preserve">−783 703</w:t>
            </w:r>
          </w:p>
        </w:tc>
      </w:tr>
      <w:tr>
        <w:tc>
          <w:tcPr>
            <w:tcW w:type="dxa" w:w="35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b w:val="false"/>
                <w:bCs w:val="false"/>
                <w:color w:val="000000"/>
                <w:sz w:val="20"/>
                <w:szCs w:val="20"/>
              </w:rPr>
              <w:t xml:space="preserve">(−) Frais d'acquisition</w:t>
            </w:r>
          </w:p>
        </w:tc>
        <w:tc>
          <w:tcPr>
            <w:tcW w:type="dxa" w:w="1842"/>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right"/>
            </w:pPr>
            <w:r>
              <w:rPr>
                <w:b w:val="false"/>
                <w:bCs w:val="false"/>
                <w:color w:val="000000"/>
                <w:sz w:val="20"/>
                <w:szCs w:val="20"/>
              </w:rPr>
              <w:t xml:space="preserve">454 760</w:t>
            </w:r>
          </w:p>
        </w:tc>
        <w:tc>
          <w:tcPr>
            <w:tcW w:type="dxa" w:w="20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right"/>
            </w:pPr>
            <w:r>
              <w:rPr>
                <w:b w:val="false"/>
                <w:bCs w:val="false"/>
                <w:color w:val="000000"/>
                <w:sz w:val="20"/>
                <w:szCs w:val="20"/>
              </w:rPr>
              <w:t xml:space="preserve">630 169</w:t>
            </w:r>
          </w:p>
        </w:tc>
        <w:tc>
          <w:tcPr>
            <w:tcW w:type="dxa" w:w="2184"/>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right"/>
            </w:pPr>
            <w:r>
              <w:rPr>
                <w:b/>
                <w:bCs/>
                <w:color w:val="000000"/>
                <w:sz w:val="20"/>
                <w:szCs w:val="20"/>
              </w:rPr>
              <w:t xml:space="preserve">1 084 929</w:t>
            </w:r>
          </w:p>
        </w:tc>
      </w:tr>
      <w:tr>
        <w:tc>
          <w:tcPr>
            <w:tcW w:type="dxa" w:w="35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jc w:val="left"/>
            </w:pPr>
            <w:r>
              <w:rPr>
                <w:b w:val="false"/>
                <w:bCs w:val="false"/>
                <w:color w:val="000000"/>
                <w:sz w:val="20"/>
                <w:szCs w:val="20"/>
              </w:rPr>
              <w:t xml:space="preserve">(−) Frais de gestion</w:t>
            </w:r>
          </w:p>
        </w:tc>
        <w:tc>
          <w:tcPr>
            <w:tcW w:type="dxa" w:w="1842"/>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jc w:val="right"/>
            </w:pPr>
            <w:r>
              <w:rPr>
                <w:b w:val="false"/>
                <w:bCs w:val="false"/>
                <w:color w:val="000000"/>
                <w:sz w:val="20"/>
                <w:szCs w:val="20"/>
              </w:rPr>
              <w:t xml:space="preserve">363 808</w:t>
            </w:r>
          </w:p>
        </w:tc>
        <w:tc>
          <w:tcPr>
            <w:tcW w:type="dxa" w:w="20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jc w:val="right"/>
            </w:pPr>
            <w:r>
              <w:rPr>
                <w:b w:val="false"/>
                <w:bCs w:val="false"/>
                <w:color w:val="000000"/>
                <w:sz w:val="20"/>
                <w:szCs w:val="20"/>
              </w:rPr>
              <w:t xml:space="preserve">504 135</w:t>
            </w:r>
          </w:p>
        </w:tc>
        <w:tc>
          <w:tcPr>
            <w:tcW w:type="dxa" w:w="2184"/>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jc w:val="right"/>
            </w:pPr>
            <w:r>
              <w:rPr>
                <w:b/>
                <w:bCs/>
                <w:color w:val="000000"/>
                <w:sz w:val="20"/>
                <w:szCs w:val="20"/>
              </w:rPr>
              <w:t xml:space="preserve">867 943</w:t>
            </w:r>
          </w:p>
        </w:tc>
      </w:tr>
      <w:tr>
        <w:tc>
          <w:tcPr>
            <w:tcW w:type="dxa" w:w="35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b/>
                <w:bCs/>
                <w:color w:val="000000"/>
                <w:sz w:val="20"/>
                <w:szCs w:val="20"/>
              </w:rPr>
              <w:t xml:space="preserve">(=) Résultat technique brut</w:t>
            </w:r>
          </w:p>
        </w:tc>
        <w:tc>
          <w:tcPr>
            <w:tcW w:type="dxa" w:w="1842"/>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right"/>
            </w:pPr>
            <w:r>
              <w:rPr>
                <w:b/>
                <w:bCs/>
                <w:color w:val="548235"/>
                <w:sz w:val="20"/>
                <w:szCs w:val="20"/>
              </w:rPr>
              <w:t xml:space="preserve">+630 676</w:t>
            </w:r>
          </w:p>
        </w:tc>
        <w:tc>
          <w:tcPr>
            <w:tcW w:type="dxa" w:w="20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right"/>
            </w:pPr>
            <w:r>
              <w:rPr>
                <w:b/>
                <w:bCs/>
                <w:color w:val="C00000"/>
                <w:sz w:val="20"/>
                <w:szCs w:val="20"/>
              </w:rPr>
              <w:t xml:space="preserve">−345 315</w:t>
            </w:r>
          </w:p>
        </w:tc>
        <w:tc>
          <w:tcPr>
            <w:tcW w:type="dxa" w:w="2184"/>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right"/>
            </w:pPr>
            <w:r>
              <w:rPr>
                <w:b/>
                <w:bCs/>
                <w:color w:val="000000"/>
                <w:sz w:val="20"/>
                <w:szCs w:val="20"/>
              </w:rPr>
              <w:t xml:space="preserve">+285 361</w:t>
            </w:r>
          </w:p>
        </w:tc>
      </w:tr>
      <w:tr>
        <w:tc>
          <w:tcPr>
            <w:tcW w:type="dxa" w:w="35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jc w:val="left"/>
            </w:pPr>
            <w:r>
              <w:rPr>
                <w:b w:val="false"/>
                <w:bCs w:val="false"/>
                <w:color w:val="000000"/>
                <w:sz w:val="20"/>
                <w:szCs w:val="20"/>
              </w:rPr>
              <w:t xml:space="preserve">Solde de réassurance</w:t>
            </w:r>
          </w:p>
        </w:tc>
        <w:tc>
          <w:tcPr>
            <w:tcW w:type="dxa" w:w="1842"/>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jc w:val="right"/>
            </w:pPr>
            <w:r>
              <w:rPr>
                <w:b w:val="false"/>
                <w:bCs w:val="false"/>
                <w:color w:val="000000"/>
                <w:sz w:val="20"/>
                <w:szCs w:val="20"/>
              </w:rPr>
              <w:t xml:space="preserve">−8 716</w:t>
            </w:r>
          </w:p>
        </w:tc>
        <w:tc>
          <w:tcPr>
            <w:tcW w:type="dxa" w:w="20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jc w:val="right"/>
            </w:pPr>
            <w:r>
              <w:rPr>
                <w:b w:val="false"/>
                <w:bCs w:val="false"/>
                <w:color w:val="000000"/>
                <w:sz w:val="20"/>
                <w:szCs w:val="20"/>
              </w:rPr>
              <w:t xml:space="preserve">−23 266</w:t>
            </w:r>
          </w:p>
        </w:tc>
        <w:tc>
          <w:tcPr>
            <w:tcW w:type="dxa" w:w="2184"/>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jc w:val="right"/>
            </w:pPr>
            <w:r>
              <w:rPr>
                <w:color w:val="000000"/>
                <w:sz w:val="20"/>
                <w:szCs w:val="20"/>
              </w:rPr>
              <w:t xml:space="preserve">−31 982</w:t>
            </w:r>
          </w:p>
        </w:tc>
      </w:tr>
      <w:tr>
        <w:tc>
          <w:tcPr>
            <w:tcW w:type="dxa" w:w="35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b/>
                <w:bCs/>
                <w:color w:val="000000"/>
                <w:sz w:val="20"/>
                <w:szCs w:val="20"/>
              </w:rPr>
              <w:t xml:space="preserve">(=) Résultat technique NET</w:t>
            </w:r>
          </w:p>
        </w:tc>
        <w:tc>
          <w:tcPr>
            <w:tcW w:type="dxa" w:w="1842"/>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right"/>
            </w:pPr>
            <w:r>
              <w:rPr>
                <w:b/>
                <w:bCs/>
                <w:color w:val="548235"/>
                <w:sz w:val="20"/>
                <w:szCs w:val="20"/>
              </w:rPr>
              <w:t xml:space="preserve">+621 961</w:t>
            </w:r>
          </w:p>
        </w:tc>
        <w:tc>
          <w:tcPr>
            <w:tcW w:type="dxa" w:w="20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right"/>
            </w:pPr>
            <w:r>
              <w:rPr>
                <w:b/>
                <w:bCs/>
                <w:color w:val="C00000"/>
                <w:sz w:val="20"/>
                <w:szCs w:val="20"/>
              </w:rPr>
              <w:t xml:space="preserve">−368 581</w:t>
            </w:r>
          </w:p>
        </w:tc>
        <w:tc>
          <w:tcPr>
            <w:tcW w:type="dxa" w:w="2184"/>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right"/>
            </w:pPr>
            <w:r>
              <w:rPr>
                <w:b/>
                <w:bCs/>
                <w:color w:val="548235"/>
                <w:sz w:val="20"/>
                <w:szCs w:val="20"/>
              </w:rPr>
              <w:t xml:space="preserve">+253 380</w:t>
            </w:r>
          </w:p>
        </w:tc>
      </w:tr>
    </w:tbl>
    <w:p>
      <w:pPr>
        <w:spacing w:after="120"/>
      </w:pPr>
      <w:r>
        <w:t xml:space="preserve"/>
      </w:r>
    </w:p>
    <w:p>
      <w:pPr>
        <w:pStyle w:val="Heading2"/>
      </w:pPr>
      <w:r>
        <w:t xml:space="preserve">7.3 Ratios de pilotage</w:t>
      </w:r>
    </w:p>
    <w:tbl>
      <w:tblPr>
        <w:tblW w:type="dxa" w:w="9526"/>
        <w:tblBorders>
          <w:top w:val="single" w:color="auto" w:sz="4"/>
          <w:left w:val="single" w:color="auto" w:sz="4"/>
          <w:bottom w:val="single" w:color="auto" w:sz="4"/>
          <w:right w:val="single" w:color="auto" w:sz="4"/>
          <w:insideH w:val="single" w:color="auto" w:sz="4"/>
          <w:insideV w:val="single" w:color="auto" w:sz="4"/>
        </w:tblBorders>
      </w:tblPr>
      <w:tblGrid>
        <w:gridCol w:w="3526"/>
        <w:gridCol w:w="2000"/>
        <w:gridCol w:w="2000"/>
        <w:gridCol w:w="2000"/>
      </w:tblGrid>
      <w:tr>
        <w:trPr>
          <w:tblHeader/>
        </w:trPr>
        <w:tc>
          <w:tcPr>
            <w:tcW w:type="dxa" w:w="3526"/>
            <w:tcBorders>
              <w:top w:val="single" w:color="BFBFBF" w:sz="4"/>
              <w:left w:val="single" w:color="BFBFBF" w:sz="4"/>
              <w:bottom w:val="single" w:color="BFBFBF" w:sz="4"/>
              <w:right w:val="single" w:color="BFBFBF" w:sz="4"/>
            </w:tcBorders>
            <w:shd w:fill="2E5496" w:val="clear"/>
            <w:tcMar>
              <w:top w:type="dxa" w:w="80"/>
              <w:left w:type="dxa" w:w="120"/>
              <w:bottom w:type="dxa" w:w="80"/>
              <w:right w:type="dxa" w:w="120"/>
            </w:tcMar>
          </w:tcPr>
          <w:p>
            <w:pPr>
              <w:jc w:val="center"/>
            </w:pPr>
            <w:r>
              <w:rPr>
                <w:b/>
                <w:bCs/>
                <w:color w:val="FFFFFF"/>
                <w:sz w:val="20"/>
                <w:szCs w:val="20"/>
              </w:rPr>
              <w:t xml:space="preserve">Ratio</w:t>
            </w:r>
          </w:p>
        </w:tc>
        <w:tc>
          <w:tcPr>
            <w:tcW w:type="dxa" w:w="2000"/>
            <w:tcBorders>
              <w:top w:val="single" w:color="BFBFBF" w:sz="4"/>
              <w:left w:val="single" w:color="BFBFBF" w:sz="4"/>
              <w:bottom w:val="single" w:color="BFBFBF" w:sz="4"/>
              <w:right w:val="single" w:color="BFBFBF" w:sz="4"/>
            </w:tcBorders>
            <w:shd w:fill="2E5496" w:val="clear"/>
            <w:tcMar>
              <w:top w:type="dxa" w:w="80"/>
              <w:left w:type="dxa" w:w="120"/>
              <w:bottom w:type="dxa" w:w="80"/>
              <w:right w:type="dxa" w:w="120"/>
            </w:tcMar>
          </w:tcPr>
          <w:p>
            <w:pPr>
              <w:jc w:val="center"/>
            </w:pPr>
            <w:r>
              <w:rPr>
                <w:b/>
                <w:bCs/>
                <w:color w:val="FFFFFF"/>
                <w:sz w:val="20"/>
                <w:szCs w:val="20"/>
              </w:rPr>
              <w:t xml:space="preserve">Flottes</w:t>
            </w:r>
          </w:p>
        </w:tc>
        <w:tc>
          <w:tcPr>
            <w:tcW w:type="dxa" w:w="2000"/>
            <w:tcBorders>
              <w:top w:val="single" w:color="BFBFBF" w:sz="4"/>
              <w:left w:val="single" w:color="BFBFBF" w:sz="4"/>
              <w:bottom w:val="single" w:color="BFBFBF" w:sz="4"/>
              <w:right w:val="single" w:color="BFBFBF" w:sz="4"/>
            </w:tcBorders>
            <w:shd w:fill="2E5496" w:val="clear"/>
            <w:tcMar>
              <w:top w:type="dxa" w:w="80"/>
              <w:left w:type="dxa" w:w="120"/>
              <w:bottom w:type="dxa" w:w="80"/>
              <w:right w:type="dxa" w:w="120"/>
            </w:tcMar>
          </w:tcPr>
          <w:p>
            <w:pPr>
              <w:jc w:val="center"/>
            </w:pPr>
            <w:r>
              <w:rPr>
                <w:b/>
                <w:bCs/>
                <w:color w:val="FFFFFF"/>
                <w:sz w:val="20"/>
                <w:szCs w:val="20"/>
              </w:rPr>
              <w:t xml:space="preserve">Particuliers</w:t>
            </w:r>
          </w:p>
        </w:tc>
        <w:tc>
          <w:tcPr>
            <w:tcW w:type="dxa" w:w="2000"/>
            <w:tcBorders>
              <w:top w:val="single" w:color="BFBFBF" w:sz="4"/>
              <w:left w:val="single" w:color="BFBFBF" w:sz="4"/>
              <w:bottom w:val="single" w:color="BFBFBF" w:sz="4"/>
              <w:right w:val="single" w:color="BFBFBF" w:sz="4"/>
            </w:tcBorders>
            <w:shd w:fill="2E5496" w:val="clear"/>
            <w:tcMar>
              <w:top w:type="dxa" w:w="80"/>
              <w:left w:type="dxa" w:w="120"/>
              <w:bottom w:type="dxa" w:w="80"/>
              <w:right w:type="dxa" w:w="120"/>
            </w:tcMar>
          </w:tcPr>
          <w:p>
            <w:pPr>
              <w:jc w:val="center"/>
            </w:pPr>
            <w:r>
              <w:rPr>
                <w:b/>
                <w:bCs/>
                <w:color w:val="FFFFFF"/>
                <w:sz w:val="20"/>
                <w:szCs w:val="20"/>
              </w:rPr>
              <w:t xml:space="preserve">Total</w:t>
            </w:r>
          </w:p>
        </w:tc>
      </w:tr>
      <w:tr>
        <w:tc>
          <w:tcPr>
            <w:tcW w:type="dxa" w:w="3526"/>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jc w:val="left"/>
            </w:pPr>
            <w:r>
              <w:rPr>
                <w:b w:val="false"/>
                <w:bCs w:val="false"/>
                <w:color w:val="000000"/>
                <w:sz w:val="20"/>
                <w:szCs w:val="20"/>
              </w:rPr>
              <w:t xml:space="preserve">S/P exercice courant</w:t>
            </w:r>
          </w:p>
        </w:tc>
        <w:tc>
          <w:tcPr>
            <w:tcW w:type="dxa" w:w="20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jc w:val="right"/>
            </w:pPr>
            <w:r>
              <w:rPr>
                <w:b w:val="false"/>
                <w:bCs w:val="false"/>
                <w:color w:val="000000"/>
                <w:sz w:val="20"/>
                <w:szCs w:val="20"/>
              </w:rPr>
              <w:t xml:space="preserve">42,9 %</w:t>
            </w:r>
          </w:p>
        </w:tc>
        <w:tc>
          <w:tcPr>
            <w:tcW w:type="dxa" w:w="20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jc w:val="right"/>
            </w:pPr>
            <w:r>
              <w:rPr>
                <w:b w:val="false"/>
                <w:bCs w:val="false"/>
                <w:color w:val="000000"/>
                <w:sz w:val="20"/>
                <w:szCs w:val="20"/>
              </w:rPr>
              <w:t xml:space="preserve">69,3 %</w:t>
            </w:r>
          </w:p>
        </w:tc>
        <w:tc>
          <w:tcPr>
            <w:tcW w:type="dxa" w:w="20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jc w:val="right"/>
            </w:pPr>
            <w:r>
              <w:rPr>
                <w:b/>
                <w:bCs/>
                <w:color w:val="000000"/>
                <w:sz w:val="20"/>
                <w:szCs w:val="20"/>
              </w:rPr>
              <w:t xml:space="preserve">58,2 %</w:t>
            </w:r>
          </w:p>
        </w:tc>
      </w:tr>
      <w:tr>
        <w:tc>
          <w:tcPr>
            <w:tcW w:type="dxa" w:w="3526"/>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b w:val="false"/>
                <w:bCs w:val="false"/>
                <w:color w:val="000000"/>
                <w:sz w:val="20"/>
                <w:szCs w:val="20"/>
              </w:rPr>
              <w:t xml:space="preserve">S/P comptable (avec run-off)</w:t>
            </w:r>
          </w:p>
        </w:tc>
        <w:tc>
          <w:tcPr>
            <w:tcW w:type="dxa" w:w="20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right"/>
            </w:pPr>
            <w:r>
              <w:rPr>
                <w:b w:val="false"/>
                <w:bCs w:val="false"/>
                <w:color w:val="000000"/>
                <w:sz w:val="20"/>
                <w:szCs w:val="20"/>
              </w:rPr>
              <w:t xml:space="preserve">52,2 %</w:t>
            </w:r>
          </w:p>
        </w:tc>
        <w:tc>
          <w:tcPr>
            <w:tcW w:type="dxa" w:w="20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right"/>
            </w:pPr>
            <w:r>
              <w:rPr>
                <w:b w:val="false"/>
                <w:bCs w:val="false"/>
                <w:color w:val="000000"/>
                <w:sz w:val="20"/>
                <w:szCs w:val="20"/>
              </w:rPr>
              <w:t xml:space="preserve">81,2 %</w:t>
            </w:r>
          </w:p>
        </w:tc>
        <w:tc>
          <w:tcPr>
            <w:tcW w:type="dxa" w:w="20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right"/>
            </w:pPr>
            <w:r>
              <w:rPr>
                <w:b/>
                <w:bCs/>
                <w:color w:val="000000"/>
                <w:sz w:val="20"/>
                <w:szCs w:val="20"/>
              </w:rPr>
              <w:t xml:space="preserve">69,1 %</w:t>
            </w:r>
          </w:p>
        </w:tc>
      </w:tr>
      <w:tr>
        <w:tc>
          <w:tcPr>
            <w:tcW w:type="dxa" w:w="3526"/>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jc w:val="left"/>
            </w:pPr>
            <w:r>
              <w:rPr>
                <w:b w:val="false"/>
                <w:bCs w:val="false"/>
                <w:color w:val="000000"/>
                <w:sz w:val="20"/>
                <w:szCs w:val="20"/>
              </w:rPr>
              <w:t xml:space="preserve">Ratio de frais</w:t>
            </w:r>
          </w:p>
        </w:tc>
        <w:tc>
          <w:tcPr>
            <w:tcW w:type="dxa" w:w="20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jc w:val="right"/>
            </w:pPr>
            <w:r>
              <w:rPr>
                <w:b w:val="false"/>
                <w:bCs w:val="false"/>
                <w:color w:val="000000"/>
                <w:sz w:val="20"/>
                <w:szCs w:val="20"/>
              </w:rPr>
              <w:t xml:space="preserve">27,0 %</w:t>
            </w:r>
          </w:p>
        </w:tc>
        <w:tc>
          <w:tcPr>
            <w:tcW w:type="dxa" w:w="20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jc w:val="right"/>
            </w:pPr>
            <w:r>
              <w:rPr>
                <w:b w:val="false"/>
                <w:bCs w:val="false"/>
                <w:color w:val="000000"/>
                <w:sz w:val="20"/>
                <w:szCs w:val="20"/>
              </w:rPr>
              <w:t xml:space="preserve">27,0 %</w:t>
            </w:r>
          </w:p>
        </w:tc>
        <w:tc>
          <w:tcPr>
            <w:tcW w:type="dxa" w:w="20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jc w:val="right"/>
            </w:pPr>
            <w:r>
              <w:rPr>
                <w:b/>
                <w:bCs/>
                <w:color w:val="000000"/>
                <w:sz w:val="20"/>
                <w:szCs w:val="20"/>
              </w:rPr>
              <w:t xml:space="preserve">27,0 %</w:t>
            </w:r>
          </w:p>
        </w:tc>
      </w:tr>
      <w:tr>
        <w:tc>
          <w:tcPr>
            <w:tcW w:type="dxa" w:w="3526"/>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b/>
                <w:bCs/>
                <w:color w:val="000000"/>
                <w:sz w:val="20"/>
                <w:szCs w:val="20"/>
              </w:rPr>
              <w:t xml:space="preserve">Ratio combiné</w:t>
            </w:r>
          </w:p>
        </w:tc>
        <w:tc>
          <w:tcPr>
            <w:tcW w:type="dxa" w:w="20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right"/>
            </w:pPr>
            <w:r>
              <w:rPr>
                <w:b/>
                <w:bCs/>
                <w:color w:val="548235"/>
                <w:sz w:val="20"/>
                <w:szCs w:val="20"/>
              </w:rPr>
              <w:t xml:space="preserve">79,2 %</w:t>
            </w:r>
          </w:p>
        </w:tc>
        <w:tc>
          <w:tcPr>
            <w:tcW w:type="dxa" w:w="20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right"/>
            </w:pPr>
            <w:r>
              <w:rPr>
                <w:b/>
                <w:bCs/>
                <w:color w:val="C00000"/>
                <w:sz w:val="20"/>
                <w:szCs w:val="20"/>
              </w:rPr>
              <w:t xml:space="preserve">108,2 %</w:t>
            </w:r>
          </w:p>
        </w:tc>
        <w:tc>
          <w:tcPr>
            <w:tcW w:type="dxa" w:w="20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right"/>
            </w:pPr>
            <w:r>
              <w:rPr>
                <w:b/>
                <w:bCs/>
                <w:color w:val="000000"/>
                <w:sz w:val="20"/>
                <w:szCs w:val="20"/>
              </w:rPr>
              <w:t xml:space="preserve">96,1 %</w:t>
            </w:r>
          </w:p>
        </w:tc>
      </w:tr>
    </w:tbl>
    <w:p>
      <w:pPr>
        <w:spacing w:after="120"/>
      </w:pPr>
      <w:r>
        <w:t xml:space="preserve"/>
      </w:r>
    </w:p>
    <w:p>
      <w:pPr>
        <w:spacing w:after="120" w:before="120"/>
        <w:jc w:val="center"/>
      </w:pPr>
      <w:r>
        <w:drawing>
          <wp:inline distT="0" distB="0" distL="0" distR="0">
            <wp:extent cx="5400675" cy="2152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400675" cy="2152650"/>
                    </a:xfrm>
                    <a:prstGeom prst="rect">
                      <a:avLst/>
                    </a:prstGeom>
                  </pic:spPr>
                </pic:pic>
              </a:graphicData>
            </a:graphic>
          </wp:inline>
        </w:drawing>
      </w:r>
    </w:p>
    <w:p>
      <w:pPr>
        <w:spacing w:after="240"/>
        <w:jc w:val="center"/>
      </w:pPr>
      <w:r>
        <w:rPr>
          <w:i/>
          <w:iCs/>
          <w:color w:val="595959"/>
          <w:sz w:val="20"/>
          <w:szCs w:val="20"/>
        </w:rPr>
        <w:t xml:space="preserve">Figure 5 — Résultat technique non-vie. (a) Décomposition du ratio combiné par segment : Particuliers au-dessus du seuil de rentabilité, Flottes très rentables. (b) Trajectoire trimestrielle cumulée 2025 : le saut visible en FY correspond à la reconnaissance du boni-mali.</w:t>
      </w:r>
    </w:p>
    <w:tbl>
      <w:tblPr>
        <w:tblW w:type="dxa" w:w="9026"/>
        <w:tblBorders>
          <w:top w:val="none" w:color="FFFFFF" w:sz="0"/>
          <w:left w:val="single" w:color="2E5496" w:sz="24"/>
          <w:bottom w:val="none" w:color="FFFFFF" w:sz="0"/>
          <w:right w:val="none" w:color="FFFFFF" w:sz="0"/>
          <w:insideH w:val="none" w:color="FFFFFF" w:sz="0"/>
          <w:insideV w:val="none" w:color="FFFFFF" w:sz="0"/>
        </w:tblBorders>
      </w:tblPr>
      <w:tblGrid>
        <w:gridCol w:w="9026"/>
      </w:tblGrid>
      <w:tr>
        <w:tc>
          <w:tcPr>
            <w:tcW w:type="dxa" w:w="9026"/>
            <w:shd w:fill="D6E0F0" w:val="clear"/>
            <w:tcMar>
              <w:top w:type="dxa" w:w="120"/>
              <w:left w:type="dxa" w:w="200"/>
              <w:bottom w:type="dxa" w:w="120"/>
              <w:right w:type="dxa" w:w="200"/>
            </w:tcMar>
          </w:tcPr>
          <w:p>
            <w:pPr>
              <w:spacing w:after="80"/>
            </w:pPr>
            <w:r>
              <w:rPr>
                <w:b/>
                <w:bCs/>
                <w:color w:val="1F3864"/>
                <w:sz w:val="22"/>
                <w:szCs w:val="22"/>
              </w:rPr>
              <w:t xml:space="preserve">Effet du run-off sur le ratio combiné</w:t>
            </w:r>
          </w:p>
          <w:p>
            <w:pPr>
              <w:jc w:val="both"/>
            </w:pPr>
            <w:r>
              <w:rPr>
                <w:i/>
                <w:iCs/>
                <w:sz w:val="22"/>
                <w:szCs w:val="22"/>
              </w:rPr>
              <w:t xml:space="preserve">Le passage du S/P exercice courant (58,2 %) au S/P comptable (69,1 %) représente onze points. Sur les 96,1 % de ratio combiné total, près de onze points proviennent donc non pas de la sinistralité de l'année, mais de la correction des sous-provisions des exercices passés. Un manager qui ne regarde que le S/P courant croit le portefeuille bien plus rentable qu'il ne l'est réellement. Le rôle du Closing Actuary est précisément de mettre en lumière cette distinction et d'en tirer les conséquences en matière de pilotage tarifaire.</w:t>
            </w:r>
          </w:p>
        </w:tc>
      </w:tr>
    </w:tbl>
    <w:p>
      <w:r>
        <w:br w:type="page"/>
      </w:r>
    </w:p>
    <w:p>
      <w:pPr>
        <w:pStyle w:val="Heading1"/>
      </w:pPr>
      <w:r>
        <w:t xml:space="preserve">8. Module 6 — Automatisation BAU et gouvernance</w:t>
      </w:r>
    </w:p>
    <w:p>
      <w:pPr>
        <w:pStyle w:val="Heading2"/>
      </w:pPr>
      <w:r>
        <w:t xml:space="preserve">8.1 Pipeline de clôture</w:t>
      </w:r>
    </w:p>
    <w:p>
      <w:pPr>
        <w:spacing w:after="120" w:line="300"/>
        <w:jc w:val="both"/>
      </w:pPr>
      <w:r>
        <w:rPr>
          <w:b w:val="false"/>
          <w:bCs w:val="false"/>
          <w:i w:val="false"/>
          <w:iCs w:val="false"/>
          <w:color w:val="000000"/>
          <w:sz w:val="22"/>
          <w:szCs w:val="22"/>
        </w:rPr>
        <w:t xml:space="preserve">L'ensemble de la chaîne est encapsulé dans un pipeline Python exécutable en une commande. Le pipeline orchestre séquentiellement les Modules 1 à 5, lance six contrôles de cohérence automatiques avec seuils d'alerte, génère le journal des contrôles, puis produit le classeur Excel de pilotage formaté. Ce script transforme une série de scripts d'analyse en un processus de clôture reproductible et auditable, exécutable à chaque échéance trimestrielle.</w:t>
      </w:r>
    </w:p>
    <w:p>
      <w:pPr>
        <w:pStyle w:val="Heading2"/>
      </w:pPr>
      <w:r>
        <w:t xml:space="preserve">8.2 Les six contrôles automatiques</w:t>
      </w:r>
    </w:p>
    <w:tbl>
      <w:tblPr>
        <w:tblW w:type="dxa" w:w="9526"/>
        <w:tblBorders>
          <w:top w:val="single" w:color="auto" w:sz="4"/>
          <w:left w:val="single" w:color="auto" w:sz="4"/>
          <w:bottom w:val="single" w:color="auto" w:sz="4"/>
          <w:right w:val="single" w:color="auto" w:sz="4"/>
          <w:insideH w:val="single" w:color="auto" w:sz="4"/>
          <w:insideV w:val="single" w:color="auto" w:sz="4"/>
        </w:tblBorders>
      </w:tblPr>
      <w:tblGrid>
        <w:gridCol w:w="4526"/>
        <w:gridCol w:w="2000"/>
        <w:gridCol w:w="3000"/>
      </w:tblGrid>
      <w:tr>
        <w:trPr>
          <w:tblHeader/>
        </w:trPr>
        <w:tc>
          <w:tcPr>
            <w:tcW w:type="dxa" w:w="4526"/>
            <w:tcBorders>
              <w:top w:val="single" w:color="BFBFBF" w:sz="4"/>
              <w:left w:val="single" w:color="BFBFBF" w:sz="4"/>
              <w:bottom w:val="single" w:color="BFBFBF" w:sz="4"/>
              <w:right w:val="single" w:color="BFBFBF" w:sz="4"/>
            </w:tcBorders>
            <w:shd w:fill="2E5496" w:val="clear"/>
            <w:tcMar>
              <w:top w:type="dxa" w:w="80"/>
              <w:left w:type="dxa" w:w="120"/>
              <w:bottom w:type="dxa" w:w="80"/>
              <w:right w:type="dxa" w:w="120"/>
            </w:tcMar>
          </w:tcPr>
          <w:p>
            <w:pPr>
              <w:jc w:val="center"/>
            </w:pPr>
            <w:r>
              <w:rPr>
                <w:b/>
                <w:bCs/>
                <w:color w:val="FFFFFF"/>
                <w:sz w:val="20"/>
                <w:szCs w:val="20"/>
              </w:rPr>
              <w:t xml:space="preserve">Contrôle</w:t>
            </w:r>
          </w:p>
        </w:tc>
        <w:tc>
          <w:tcPr>
            <w:tcW w:type="dxa" w:w="2000"/>
            <w:tcBorders>
              <w:top w:val="single" w:color="BFBFBF" w:sz="4"/>
              <w:left w:val="single" w:color="BFBFBF" w:sz="4"/>
              <w:bottom w:val="single" w:color="BFBFBF" w:sz="4"/>
              <w:right w:val="single" w:color="BFBFBF" w:sz="4"/>
            </w:tcBorders>
            <w:shd w:fill="2E5496" w:val="clear"/>
            <w:tcMar>
              <w:top w:type="dxa" w:w="80"/>
              <w:left w:type="dxa" w:w="120"/>
              <w:bottom w:type="dxa" w:w="80"/>
              <w:right w:type="dxa" w:w="120"/>
            </w:tcMar>
          </w:tcPr>
          <w:p>
            <w:pPr>
              <w:jc w:val="center"/>
            </w:pPr>
            <w:r>
              <w:rPr>
                <w:b/>
                <w:bCs/>
                <w:color w:val="FFFFFF"/>
                <w:sz w:val="20"/>
                <w:szCs w:val="20"/>
              </w:rPr>
              <w:t xml:space="preserve">Seuil</w:t>
            </w:r>
          </w:p>
        </w:tc>
        <w:tc>
          <w:tcPr>
            <w:tcW w:type="dxa" w:w="3000"/>
            <w:tcBorders>
              <w:top w:val="single" w:color="BFBFBF" w:sz="4"/>
              <w:left w:val="single" w:color="BFBFBF" w:sz="4"/>
              <w:bottom w:val="single" w:color="BFBFBF" w:sz="4"/>
              <w:right w:val="single" w:color="BFBFBF" w:sz="4"/>
            </w:tcBorders>
            <w:shd w:fill="2E5496" w:val="clear"/>
            <w:tcMar>
              <w:top w:type="dxa" w:w="80"/>
              <w:left w:type="dxa" w:w="120"/>
              <w:bottom w:type="dxa" w:w="80"/>
              <w:right w:type="dxa" w:w="120"/>
            </w:tcMar>
          </w:tcPr>
          <w:p>
            <w:pPr>
              <w:jc w:val="center"/>
            </w:pPr>
            <w:r>
              <w:rPr>
                <w:b/>
                <w:bCs/>
                <w:color w:val="FFFFFF"/>
                <w:sz w:val="20"/>
                <w:szCs w:val="20"/>
              </w:rPr>
              <w:t xml:space="preserve">Statut</w:t>
            </w:r>
          </w:p>
        </w:tc>
      </w:tr>
      <w:tr>
        <w:tc>
          <w:tcPr>
            <w:tcW w:type="dxa" w:w="4526"/>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jc w:val="left"/>
            </w:pPr>
            <w:r>
              <w:rPr>
                <w:b w:val="false"/>
                <w:bCs w:val="false"/>
                <w:color w:val="000000"/>
                <w:sz w:val="20"/>
                <w:szCs w:val="20"/>
              </w:rPr>
              <w:t xml:space="preserve">C1 — IBNR positif sur toutes les cohortes</w:t>
            </w:r>
          </w:p>
        </w:tc>
        <w:tc>
          <w:tcPr>
            <w:tcW w:type="dxa" w:w="20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jc w:val="right"/>
            </w:pPr>
            <w:r>
              <w:rPr>
                <w:b w:val="false"/>
                <w:bCs w:val="false"/>
                <w:color w:val="000000"/>
                <w:sz w:val="20"/>
                <w:szCs w:val="20"/>
              </w:rPr>
              <w:t xml:space="preserve">IBNR ≥ 0</w:t>
            </w:r>
          </w:p>
        </w:tc>
        <w:tc>
          <w:tcPr>
            <w:tcW w:type="dxa" w:w="30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jc w:val="center"/>
            </w:pPr>
            <w:r>
              <w:rPr>
                <w:b/>
                <w:bCs/>
                <w:color w:val="548235"/>
                <w:sz w:val="20"/>
                <w:szCs w:val="20"/>
              </w:rPr>
              <w:t xml:space="preserve">OK</w:t>
            </w:r>
          </w:p>
        </w:tc>
      </w:tr>
      <w:tr>
        <w:tc>
          <w:tcPr>
            <w:tcW w:type="dxa" w:w="4526"/>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b w:val="false"/>
                <w:bCs w:val="false"/>
                <w:color w:val="000000"/>
                <w:sz w:val="20"/>
                <w:szCs w:val="20"/>
              </w:rPr>
              <w:t xml:space="preserve">C2 — Réconciliation boni-mali (global vs segments)</w:t>
            </w:r>
          </w:p>
        </w:tc>
        <w:tc>
          <w:tcPr>
            <w:tcW w:type="dxa" w:w="20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right"/>
            </w:pPr>
            <w:r>
              <w:rPr>
                <w:b w:val="false"/>
                <w:bCs w:val="false"/>
                <w:color w:val="000000"/>
                <w:sz w:val="20"/>
                <w:szCs w:val="20"/>
              </w:rPr>
              <w:t xml:space="preserve">Écart &lt; 1 %</w:t>
            </w:r>
          </w:p>
        </w:tc>
        <w:tc>
          <w:tcPr>
            <w:tcW w:type="dxa" w:w="30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center"/>
            </w:pPr>
            <w:r>
              <w:rPr>
                <w:b/>
                <w:bCs/>
                <w:color w:val="548235"/>
                <w:sz w:val="20"/>
                <w:szCs w:val="20"/>
              </w:rPr>
              <w:t xml:space="preserve">OK (0,42 %)</w:t>
            </w:r>
          </w:p>
        </w:tc>
      </w:tr>
      <w:tr>
        <w:tc>
          <w:tcPr>
            <w:tcW w:type="dxa" w:w="4526"/>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jc w:val="left"/>
            </w:pPr>
            <w:r>
              <w:rPr>
                <w:b w:val="false"/>
                <w:bCs w:val="false"/>
                <w:color w:val="000000"/>
                <w:sz w:val="20"/>
                <w:szCs w:val="20"/>
              </w:rPr>
              <w:t xml:space="preserve">C3 — Aucun mali significatif par cohorte</w:t>
            </w:r>
          </w:p>
        </w:tc>
        <w:tc>
          <w:tcPr>
            <w:tcW w:type="dxa" w:w="20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jc w:val="right"/>
            </w:pPr>
            <w:r>
              <w:rPr>
                <w:b w:val="false"/>
                <w:bCs w:val="false"/>
                <w:color w:val="000000"/>
                <w:sz w:val="20"/>
                <w:szCs w:val="20"/>
              </w:rPr>
              <w:t xml:space="preserve">Mali &lt; 5 %</w:t>
            </w:r>
          </w:p>
        </w:tc>
        <w:tc>
          <w:tcPr>
            <w:tcW w:type="dxa" w:w="30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jc w:val="center"/>
            </w:pPr>
            <w:r>
              <w:rPr>
                <w:b/>
                <w:bCs/>
                <w:color w:val="C00000"/>
                <w:sz w:val="20"/>
                <w:szCs w:val="20"/>
              </w:rPr>
              <w:t xml:space="preserve">ALERTE (2021, 2023)</w:t>
            </w:r>
          </w:p>
        </w:tc>
      </w:tr>
      <w:tr>
        <w:tc>
          <w:tcPr>
            <w:tcW w:type="dxa" w:w="4526"/>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b w:val="false"/>
                <w:bCs w:val="false"/>
                <w:color w:val="000000"/>
                <w:sz w:val="20"/>
                <w:szCs w:val="20"/>
              </w:rPr>
              <w:t xml:space="preserve">C4 — Aucun segment en premium deficiency (LAT)</w:t>
            </w:r>
          </w:p>
        </w:tc>
        <w:tc>
          <w:tcPr>
            <w:tcW w:type="dxa" w:w="20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right"/>
            </w:pPr>
            <w:r>
              <w:rPr>
                <w:b w:val="false"/>
                <w:bCs w:val="false"/>
                <w:color w:val="000000"/>
                <w:sz w:val="20"/>
                <w:szCs w:val="20"/>
              </w:rPr>
              <w:t xml:space="preserve">Aucun</w:t>
            </w:r>
          </w:p>
        </w:tc>
        <w:tc>
          <w:tcPr>
            <w:tcW w:type="dxa" w:w="30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center"/>
            </w:pPr>
            <w:r>
              <w:rPr>
                <w:b/>
                <w:bCs/>
                <w:color w:val="C00000"/>
                <w:sz w:val="20"/>
                <w:szCs w:val="20"/>
              </w:rPr>
              <w:t xml:space="preserve">ALERTE (PART)</w:t>
            </w:r>
          </w:p>
        </w:tc>
      </w:tr>
      <w:tr>
        <w:tc>
          <w:tcPr>
            <w:tcW w:type="dxa" w:w="4526"/>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jc w:val="left"/>
            </w:pPr>
            <w:r>
              <w:rPr>
                <w:b w:val="false"/>
                <w:bCs w:val="false"/>
                <w:color w:val="000000"/>
                <w:sz w:val="20"/>
                <w:szCs w:val="20"/>
              </w:rPr>
              <w:t xml:space="preserve">C5 — Ratio combiné global rentable</w:t>
            </w:r>
          </w:p>
        </w:tc>
        <w:tc>
          <w:tcPr>
            <w:tcW w:type="dxa" w:w="20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jc w:val="right"/>
            </w:pPr>
            <w:r>
              <w:rPr>
                <w:b w:val="false"/>
                <w:bCs w:val="false"/>
                <w:color w:val="000000"/>
                <w:sz w:val="20"/>
                <w:szCs w:val="20"/>
              </w:rPr>
              <w:t xml:space="preserve">Combiné &lt; 100 %</w:t>
            </w:r>
          </w:p>
        </w:tc>
        <w:tc>
          <w:tcPr>
            <w:tcW w:type="dxa" w:w="30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jc w:val="center"/>
            </w:pPr>
            <w:r>
              <w:rPr>
                <w:b/>
                <w:bCs/>
                <w:color w:val="548235"/>
                <w:sz w:val="20"/>
                <w:szCs w:val="20"/>
              </w:rPr>
              <w:t xml:space="preserve">OK (96,1 %)</w:t>
            </w:r>
          </w:p>
        </w:tc>
      </w:tr>
      <w:tr>
        <w:tc>
          <w:tcPr>
            <w:tcW w:type="dxa" w:w="4526"/>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b w:val="false"/>
                <w:bCs w:val="false"/>
                <w:color w:val="000000"/>
                <w:sz w:val="20"/>
                <w:szCs w:val="20"/>
              </w:rPr>
              <w:t xml:space="preserve">C6 — Aucun segment en perte technique</w:t>
            </w:r>
          </w:p>
        </w:tc>
        <w:tc>
          <w:tcPr>
            <w:tcW w:type="dxa" w:w="20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right"/>
            </w:pPr>
            <w:r>
              <w:rPr>
                <w:b w:val="false"/>
                <w:bCs w:val="false"/>
                <w:color w:val="000000"/>
                <w:sz w:val="20"/>
                <w:szCs w:val="20"/>
              </w:rPr>
              <w:t xml:space="preserve">Combiné &lt; 100 %</w:t>
            </w:r>
          </w:p>
        </w:tc>
        <w:tc>
          <w:tcPr>
            <w:tcW w:type="dxa" w:w="30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center"/>
            </w:pPr>
            <w:r>
              <w:rPr>
                <w:b/>
                <w:bCs/>
                <w:color w:val="C00000"/>
                <w:sz w:val="20"/>
                <w:szCs w:val="20"/>
              </w:rPr>
              <w:t xml:space="preserve">ALERTE (PART)</w:t>
            </w:r>
          </w:p>
        </w:tc>
      </w:tr>
    </w:tbl>
    <w:p>
      <w:pPr>
        <w:spacing w:after="120"/>
      </w:pPr>
      <w:r>
        <w:t xml:space="preserve"/>
      </w:r>
    </w:p>
    <w:tbl>
      <w:tblPr>
        <w:tblW w:type="dxa" w:w="9026"/>
        <w:tblBorders>
          <w:top w:val="none" w:color="FFFFFF" w:sz="0"/>
          <w:left w:val="single" w:color="2E5496" w:sz="24"/>
          <w:bottom w:val="none" w:color="FFFFFF" w:sz="0"/>
          <w:right w:val="none" w:color="FFFFFF" w:sz="0"/>
          <w:insideH w:val="none" w:color="FFFFFF" w:sz="0"/>
          <w:insideV w:val="none" w:color="FFFFFF" w:sz="0"/>
        </w:tblBorders>
      </w:tblPr>
      <w:tblGrid>
        <w:gridCol w:w="9026"/>
      </w:tblGrid>
      <w:tr>
        <w:tc>
          <w:tcPr>
            <w:tcW w:type="dxa" w:w="9026"/>
            <w:shd w:fill="D6E0F0" w:val="clear"/>
            <w:tcMar>
              <w:top w:type="dxa" w:w="120"/>
              <w:left w:type="dxa" w:w="200"/>
              <w:bottom w:type="dxa" w:w="120"/>
              <w:right w:type="dxa" w:w="200"/>
            </w:tcMar>
          </w:tcPr>
          <w:p>
            <w:pPr>
              <w:spacing w:after="80"/>
            </w:pPr>
            <w:r>
              <w:rPr>
                <w:b/>
                <w:bCs/>
                <w:color w:val="1F3864"/>
                <w:sz w:val="22"/>
                <w:szCs w:val="22"/>
              </w:rPr>
              <w:t xml:space="preserve">Convergence des alertes</w:t>
            </w:r>
          </w:p>
          <w:p>
            <w:pPr>
              <w:jc w:val="both"/>
            </w:pPr>
            <w:r>
              <w:rPr>
                <w:i/>
                <w:iCs/>
                <w:sz w:val="22"/>
                <w:szCs w:val="22"/>
              </w:rPr>
              <w:t xml:space="preserve">Les trois alertes détectées automatiquement (C3, C4 et C6) pointent toutes vers le même problème : le segment Particuliers, sous-provisionné sur 2023, déficitaire au LAT, et en perte technique. C'est la force d'un dispositif de contrôle multi-angles : trois tests indépendants confirment le diagnostic, ce qui retire tout doute sur le caractère structurel (et non accidentel) du problème.</w:t>
            </w:r>
          </w:p>
        </w:tc>
      </w:tr>
    </w:tbl>
    <w:p>
      <w:pPr>
        <w:spacing w:after="120"/>
      </w:pPr>
      <w:r>
        <w:t xml:space="preserve"/>
      </w:r>
    </w:p>
    <w:p>
      <w:pPr>
        <w:pStyle w:val="Heading2"/>
      </w:pPr>
      <w:r>
        <w:t xml:space="preserve">8.3 Classeur Excel de pilotage</w:t>
      </w:r>
    </w:p>
    <w:p>
      <w:pPr>
        <w:spacing w:after="120" w:line="300"/>
        <w:jc w:val="both"/>
      </w:pPr>
      <w:r>
        <w:rPr>
          <w:b w:val="false"/>
          <w:bCs w:val="false"/>
          <w:i w:val="false"/>
          <w:iCs w:val="false"/>
          <w:color w:val="000000"/>
          <w:sz w:val="22"/>
          <w:szCs w:val="22"/>
        </w:rPr>
        <w:t xml:space="preserve">Le livrable final est un classeur Excel formaté en sept onglets standardisés (synthèse, triangle, provisionnement, LAT IFRS 4, boni-mali, compte technique, contrôles). Les ratios, totaux et tests sont des formules Excel vivantes (56 formules, zéro erreur de calcul vérifiée par recalcul LibreOffice), garantissant que le classeur se recalcule si les données source changent. La mise en forme respecte les standards des reportings actuariels en environnement bancaire : police Arial, en-têtes bleu institutionnel, formats monétaires avec parenthèses pour les négatifs, codes couleur conditionnels rouge/vert pour les alertes et tests.</w:t>
      </w:r>
    </w:p>
    <w:p>
      <w:pPr>
        <w:pStyle w:val="Heading2"/>
      </w:pPr>
      <w:r>
        <w:t xml:space="preserve">8.4 Cadre de gouvernance</w:t>
      </w:r>
    </w:p>
    <w:p>
      <w:pPr>
        <w:spacing w:after="120" w:line="300"/>
        <w:jc w:val="both"/>
      </w:pPr>
      <w:r>
        <w:rPr>
          <w:b w:val="false"/>
          <w:bCs w:val="false"/>
          <w:i w:val="false"/>
          <w:iCs w:val="false"/>
          <w:color w:val="000000"/>
          <w:sz w:val="22"/>
          <w:szCs w:val="22"/>
        </w:rPr>
        <w:t xml:space="preserve">Le pipeline s'inscrit dans un cadre de gouvernance documenté qui définit les rôles et responsabilités (actuaire préparateur, actuaire réviseur, responsable provisionnement, contrôle interne), applique le principe des quatre yeux pour toute validation, fixe une fréquence trimestrielle pour le pipeline et annuelle pour la revue approfondie, et impose qu'une fiche d'exception documentée soit produite pour chaque alerte déclenchée. Cette gouvernance est essentielle dans un environnement de bancassurance « governance-heavy » où les processus de clôture sont soumis au contrôle de l'auditeur externe et du superviseur.</w:t>
      </w:r>
    </w:p>
    <w:p>
      <w:r>
        <w:br w:type="page"/>
      </w:r>
    </w:p>
    <w:p>
      <w:pPr>
        <w:pStyle w:val="Heading1"/>
      </w:pPr>
      <w:r>
        <w:t xml:space="preserve">9. Conclusion — Triangulation des diagnostics</w:t>
      </w:r>
    </w:p>
    <w:p>
      <w:pPr>
        <w:spacing w:after="120" w:line="300"/>
        <w:jc w:val="both"/>
      </w:pPr>
      <w:r>
        <w:rPr>
          <w:b w:val="false"/>
          <w:bCs w:val="false"/>
          <w:i w:val="false"/>
          <w:iCs w:val="false"/>
          <w:color w:val="000000"/>
          <w:sz w:val="22"/>
          <w:szCs w:val="22"/>
        </w:rPr>
        <w:t xml:space="preserve">Le projet couvre l'intégralité de la chaîne de clôture actuarielle non-vie, de la donnée brute jusqu'au reporting de pilotage automatisé. Chaque module produit un livrable tangible et le pipeline industrialisé garantit la reproductibilité de l'ensemble.</w:t>
      </w:r>
    </w:p>
    <w:p>
      <w:pPr>
        <w:spacing w:after="120" w:line="300"/>
        <w:jc w:val="both"/>
      </w:pPr>
      <w:r>
        <w:rPr>
          <w:b w:val="false"/>
          <w:bCs w:val="false"/>
          <w:i w:val="false"/>
          <w:iCs w:val="false"/>
          <w:color w:val="000000"/>
          <w:sz w:val="22"/>
          <w:szCs w:val="22"/>
        </w:rPr>
        <w:t xml:space="preserve">Le fil narratif qui ressort des analyses est cohérent et robuste : quatre approches méthodologiquement indépendantes (provisionnement stochastique, test d'adéquation IFRS 4, analyse boni-mali, compte technique segmenté) convergent vers le même diagnostic : le segment Particuliers est, en 2025, simultanément sous-provisionné, sous-tarifé et en perte technique, avec une concentration du problème sur la cohorte de survenance 2023.</w:t>
      </w:r>
    </w:p>
    <w:p>
      <w:pPr>
        <w:spacing w:after="120" w:line="300"/>
        <w:jc w:val="both"/>
      </w:pPr>
      <w:r>
        <w:rPr>
          <w:b w:val="false"/>
          <w:bCs w:val="false"/>
          <w:i w:val="false"/>
          <w:iCs w:val="false"/>
          <w:color w:val="000000"/>
          <w:sz w:val="22"/>
          <w:szCs w:val="22"/>
        </w:rPr>
        <w:t xml:space="preserve">Cette triangulation des diagnostics est exactement le type de raisonnement que doit produire une équipe de Technical Risk Monitoring pour étayer une recommandation auprès du management. Aucune analyse isolée ne fournirait une telle robustesse ; c'est leur cohérence mutuelle qui rend le diagnostic actionnable.</w:t>
      </w:r>
    </w:p>
    <w:p>
      <w:pPr>
        <w:pStyle w:val="Heading2"/>
      </w:pPr>
      <w:r>
        <w:t xml:space="preserve">9.1 Recommandations issues du projet</w:t>
      </w:r>
    </w:p>
    <w:p>
      <w:pPr>
        <w:pStyle w:val="ListParagraph"/>
        <w:numPr>
          <w:ilvl w:val="0"/>
          <w:numId w:val="2"/>
        </w:numPr>
        <w:spacing w:after="80"/>
      </w:pPr>
      <w:r>
        <w:rPr>
          <w:sz w:val="22"/>
          <w:szCs w:val="22"/>
        </w:rPr>
        <w:t xml:space="preserve">Comptabiliser au passif l'URR de 93 558 € identifiée au Module 3.</w:t>
      </w:r>
    </w:p>
    <w:p>
      <w:pPr>
        <w:pStyle w:val="ListParagraph"/>
        <w:numPr>
          <w:ilvl w:val="0"/>
          <w:numId w:val="2"/>
        </w:numPr>
        <w:spacing w:after="80"/>
      </w:pPr>
      <w:r>
        <w:rPr>
          <w:sz w:val="22"/>
          <w:szCs w:val="22"/>
        </w:rPr>
        <w:t xml:space="preserve">Appliquer le facteur de queue Chain-Ladder à toutes les cohortes pour neutraliser le mali de méthode des exercices à venir.</w:t>
      </w:r>
    </w:p>
    <w:p>
      <w:pPr>
        <w:pStyle w:val="ListParagraph"/>
        <w:numPr>
          <w:ilvl w:val="0"/>
          <w:numId w:val="2"/>
        </w:numPr>
        <w:spacing w:after="80"/>
      </w:pPr>
      <w:r>
        <w:rPr>
          <w:sz w:val="22"/>
          <w:szCs w:val="22"/>
        </w:rPr>
        <w:t xml:space="preserve">Renforcer spécifiquement la provision sur la cohorte 2023 de l'ordre de 0,5 à 0,7 M€ pour absorber la sur-sinistralité corporelle réelle.</w:t>
      </w:r>
    </w:p>
    <w:p>
      <w:pPr>
        <w:pStyle w:val="ListParagraph"/>
        <w:numPr>
          <w:ilvl w:val="0"/>
          <w:numId w:val="2"/>
        </w:numPr>
        <w:spacing w:after="80"/>
      </w:pPr>
      <w:r>
        <w:rPr>
          <w:sz w:val="22"/>
          <w:szCs w:val="22"/>
        </w:rPr>
        <w:t xml:space="preserve">Réviser la tarification du segment Particuliers (hausse ciblée de 3 à 5 %) pour ramener le ratio combiné sous 100 %.</w:t>
      </w:r>
    </w:p>
    <w:p>
      <w:pPr>
        <w:pStyle w:val="ListParagraph"/>
        <w:numPr>
          <w:ilvl w:val="0"/>
          <w:numId w:val="2"/>
        </w:numPr>
        <w:spacing w:after="80"/>
      </w:pPr>
      <w:r>
        <w:rPr>
          <w:sz w:val="22"/>
          <w:szCs w:val="22"/>
        </w:rPr>
        <w:t xml:space="preserve">Étaler la reconnaissance du run-off sur une base trimestrielle plutôt qu'annuelle pour éviter l'effet de marche en fin d'exercice.</w:t>
      </w:r>
    </w:p>
    <w:p>
      <w:pPr>
        <w:pStyle w:val="Heading2"/>
      </w:pPr>
      <w:r>
        <w:t xml:space="preserve">9.2 Alignement avec la fiche de poste Closing and Risk Monitoring Actuary</w:t>
      </w:r>
    </w:p>
    <w:tbl>
      <w:tblPr>
        <w:tblW w:type="dxa" w:w="9526"/>
        <w:tblBorders>
          <w:top w:val="single" w:color="auto" w:sz="4"/>
          <w:left w:val="single" w:color="auto" w:sz="4"/>
          <w:bottom w:val="single" w:color="auto" w:sz="4"/>
          <w:right w:val="single" w:color="auto" w:sz="4"/>
          <w:insideH w:val="single" w:color="auto" w:sz="4"/>
          <w:insideV w:val="single" w:color="auto" w:sz="4"/>
        </w:tblBorders>
      </w:tblPr>
      <w:tblGrid>
        <w:gridCol w:w="6026"/>
        <w:gridCol w:w="3500"/>
      </w:tblGrid>
      <w:tr>
        <w:trPr>
          <w:tblHeader/>
        </w:trPr>
        <w:tc>
          <w:tcPr>
            <w:tcW w:type="dxa" w:w="6026"/>
            <w:tcBorders>
              <w:top w:val="single" w:color="BFBFBF" w:sz="4"/>
              <w:left w:val="single" w:color="BFBFBF" w:sz="4"/>
              <w:bottom w:val="single" w:color="BFBFBF" w:sz="4"/>
              <w:right w:val="single" w:color="BFBFBF" w:sz="4"/>
            </w:tcBorders>
            <w:shd w:fill="2E5496" w:val="clear"/>
            <w:tcMar>
              <w:top w:type="dxa" w:w="80"/>
              <w:left w:type="dxa" w:w="120"/>
              <w:bottom w:type="dxa" w:w="80"/>
              <w:right w:type="dxa" w:w="120"/>
            </w:tcMar>
          </w:tcPr>
          <w:p>
            <w:pPr>
              <w:jc w:val="center"/>
            </w:pPr>
            <w:r>
              <w:rPr>
                <w:b/>
                <w:bCs/>
                <w:color w:val="FFFFFF"/>
                <w:sz w:val="20"/>
                <w:szCs w:val="20"/>
              </w:rPr>
              <w:t xml:space="preserve">Exigence de la fiche</w:t>
            </w:r>
          </w:p>
        </w:tc>
        <w:tc>
          <w:tcPr>
            <w:tcW w:type="dxa" w:w="3500"/>
            <w:tcBorders>
              <w:top w:val="single" w:color="BFBFBF" w:sz="4"/>
              <w:left w:val="single" w:color="BFBFBF" w:sz="4"/>
              <w:bottom w:val="single" w:color="BFBFBF" w:sz="4"/>
              <w:right w:val="single" w:color="BFBFBF" w:sz="4"/>
            </w:tcBorders>
            <w:shd w:fill="2E5496" w:val="clear"/>
            <w:tcMar>
              <w:top w:type="dxa" w:w="80"/>
              <w:left w:type="dxa" w:w="120"/>
              <w:bottom w:type="dxa" w:w="80"/>
              <w:right w:type="dxa" w:w="120"/>
            </w:tcMar>
          </w:tcPr>
          <w:p>
            <w:pPr>
              <w:jc w:val="center"/>
            </w:pPr>
            <w:r>
              <w:rPr>
                <w:b/>
                <w:bCs/>
                <w:color w:val="FFFFFF"/>
                <w:sz w:val="20"/>
                <w:szCs w:val="20"/>
              </w:rPr>
              <w:t xml:space="preserve">Module(s) répondant</w:t>
            </w:r>
          </w:p>
        </w:tc>
      </w:tr>
      <w:tr>
        <w:tc>
          <w:tcPr>
            <w:tcW w:type="dxa" w:w="6026"/>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jc w:val="left"/>
            </w:pPr>
            <w:r>
              <w:rPr>
                <w:b w:val="false"/>
                <w:bCs w:val="false"/>
                <w:color w:val="000000"/>
                <w:sz w:val="20"/>
                <w:szCs w:val="20"/>
              </w:rPr>
              <w:t xml:space="preserve">Actuarial closing processes</w:t>
            </w:r>
          </w:p>
        </w:tc>
        <w:tc>
          <w:tcPr>
            <w:tcW w:type="dxa" w:w="35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jc w:val="right"/>
            </w:pPr>
            <w:r>
              <w:rPr>
                <w:b w:val="false"/>
                <w:bCs w:val="false"/>
                <w:color w:val="000000"/>
                <w:sz w:val="20"/>
                <w:szCs w:val="20"/>
              </w:rPr>
              <w:t xml:space="preserve">M1 + M5</w:t>
            </w:r>
          </w:p>
        </w:tc>
      </w:tr>
      <w:tr>
        <w:tc>
          <w:tcPr>
            <w:tcW w:type="dxa" w:w="6026"/>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b w:val="false"/>
                <w:bCs w:val="false"/>
                <w:color w:val="000000"/>
                <w:sz w:val="20"/>
                <w:szCs w:val="20"/>
              </w:rPr>
              <w:t xml:space="preserve">Reserve adequacy reviews</w:t>
            </w:r>
          </w:p>
        </w:tc>
        <w:tc>
          <w:tcPr>
            <w:tcW w:type="dxa" w:w="35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right"/>
            </w:pPr>
            <w:r>
              <w:rPr>
                <w:b w:val="false"/>
                <w:bCs w:val="false"/>
                <w:color w:val="000000"/>
                <w:sz w:val="20"/>
                <w:szCs w:val="20"/>
              </w:rPr>
              <w:t xml:space="preserve">M2 + M3</w:t>
            </w:r>
          </w:p>
        </w:tc>
      </w:tr>
      <w:tr>
        <w:tc>
          <w:tcPr>
            <w:tcW w:type="dxa" w:w="6026"/>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jc w:val="left"/>
            </w:pPr>
            <w:r>
              <w:rPr>
                <w:b w:val="false"/>
                <w:bCs w:val="false"/>
                <w:color w:val="000000"/>
                <w:sz w:val="20"/>
                <w:szCs w:val="20"/>
              </w:rPr>
              <w:t xml:space="preserve">Boni-mali variance analyses</w:t>
            </w:r>
          </w:p>
        </w:tc>
        <w:tc>
          <w:tcPr>
            <w:tcW w:type="dxa" w:w="35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jc w:val="right"/>
            </w:pPr>
            <w:r>
              <w:rPr>
                <w:b w:val="false"/>
                <w:bCs w:val="false"/>
                <w:color w:val="000000"/>
                <w:sz w:val="20"/>
                <w:szCs w:val="20"/>
              </w:rPr>
              <w:t xml:space="preserve">M4</w:t>
            </w:r>
          </w:p>
        </w:tc>
      </w:tr>
      <w:tr>
        <w:tc>
          <w:tcPr>
            <w:tcW w:type="dxa" w:w="6026"/>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b w:val="false"/>
                <w:bCs w:val="false"/>
                <w:color w:val="000000"/>
                <w:sz w:val="20"/>
                <w:szCs w:val="20"/>
              </w:rPr>
              <w:t xml:space="preserve">Quarterly technical result reporting</w:t>
            </w:r>
          </w:p>
        </w:tc>
        <w:tc>
          <w:tcPr>
            <w:tcW w:type="dxa" w:w="35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right"/>
            </w:pPr>
            <w:r>
              <w:rPr>
                <w:b w:val="false"/>
                <w:bCs w:val="false"/>
                <w:color w:val="000000"/>
                <w:sz w:val="20"/>
                <w:szCs w:val="20"/>
              </w:rPr>
              <w:t xml:space="preserve">M5</w:t>
            </w:r>
          </w:p>
        </w:tc>
      </w:tr>
      <w:tr>
        <w:tc>
          <w:tcPr>
            <w:tcW w:type="dxa" w:w="6026"/>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jc w:val="left"/>
            </w:pPr>
            <w:r>
              <w:rPr>
                <w:b w:val="false"/>
                <w:bCs w:val="false"/>
                <w:color w:val="000000"/>
                <w:sz w:val="20"/>
                <w:szCs w:val="20"/>
              </w:rPr>
              <w:t xml:space="preserve">Automate BAU processes</w:t>
            </w:r>
          </w:p>
        </w:tc>
        <w:tc>
          <w:tcPr>
            <w:tcW w:type="dxa" w:w="35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jc w:val="right"/>
            </w:pPr>
            <w:r>
              <w:rPr>
                <w:b w:val="false"/>
                <w:bCs w:val="false"/>
                <w:color w:val="000000"/>
                <w:sz w:val="20"/>
                <w:szCs w:val="20"/>
              </w:rPr>
              <w:t xml:space="preserve">M6</w:t>
            </w:r>
          </w:p>
        </w:tc>
      </w:tr>
      <w:tr>
        <w:tc>
          <w:tcPr>
            <w:tcW w:type="dxa" w:w="6026"/>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b w:val="false"/>
                <w:bCs w:val="false"/>
                <w:color w:val="000000"/>
                <w:sz w:val="20"/>
                <w:szCs w:val="20"/>
              </w:rPr>
              <w:t xml:space="preserve">IFRS 4-like experience</w:t>
            </w:r>
          </w:p>
        </w:tc>
        <w:tc>
          <w:tcPr>
            <w:tcW w:type="dxa" w:w="35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right"/>
            </w:pPr>
            <w:r>
              <w:rPr>
                <w:b w:val="false"/>
                <w:bCs w:val="false"/>
                <w:color w:val="000000"/>
                <w:sz w:val="20"/>
                <w:szCs w:val="20"/>
              </w:rPr>
              <w:t xml:space="preserve">M3 (LAT explicite + transition IFRS 17)</w:t>
            </w:r>
          </w:p>
        </w:tc>
      </w:tr>
      <w:tr>
        <w:tc>
          <w:tcPr>
            <w:tcW w:type="dxa" w:w="6026"/>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jc w:val="left"/>
            </w:pPr>
            <w:r>
              <w:rPr>
                <w:b w:val="false"/>
                <w:bCs w:val="false"/>
                <w:color w:val="000000"/>
                <w:sz w:val="20"/>
                <w:szCs w:val="20"/>
              </w:rPr>
              <w:t xml:space="preserve">Excel + Python</w:t>
            </w:r>
          </w:p>
        </w:tc>
        <w:tc>
          <w:tcPr>
            <w:tcW w:type="dxa" w:w="35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jc w:val="right"/>
            </w:pPr>
            <w:r>
              <w:rPr>
                <w:b w:val="false"/>
                <w:bCs w:val="false"/>
                <w:color w:val="000000"/>
                <w:sz w:val="20"/>
                <w:szCs w:val="20"/>
              </w:rPr>
              <w:t xml:space="preserve">M6 (classeur formaté + pipeline)</w:t>
            </w:r>
          </w:p>
        </w:tc>
      </w:tr>
    </w:tbl>
    <w:p>
      <w:pPr>
        <w:spacing w:after="120"/>
      </w:pPr>
      <w:r>
        <w:t xml:space="preserve"/>
      </w:r>
    </w:p>
    <w:p>
      <w:pPr>
        <w:spacing w:after="120" w:line="300"/>
        <w:jc w:val="both"/>
      </w:pPr>
      <w:r>
        <w:rPr>
          <w:b w:val="false"/>
          <w:bCs w:val="false"/>
          <w:i w:val="false"/>
          <w:iCs w:val="false"/>
          <w:color w:val="000000"/>
          <w:sz w:val="22"/>
          <w:szCs w:val="22"/>
        </w:rPr>
        <w:t xml:space="preserve">Le projet ne se substitue évidemment pas à une expérience professionnelle longue en équipe de provisionnement, mais il démontre concrètement, livrable par livrable, la capacité à produire l'ensemble des artefacts attendus dans un poste de Closing and Risk Monitoring Actuary, avec un niveau de rigueur méthodologique et de transparence sur les limites qui correspond aux standards d'un environnement bancaire réglementé.</w:t>
      </w:r>
    </w:p>
    <w:p>
      <w:r>
        <w:br w:type="page"/>
      </w:r>
    </w:p>
    <w:p>
      <w:pPr>
        <w:pStyle w:val="Heading1"/>
      </w:pPr>
      <w:r>
        <w:t xml:space="preserve">Annexe — Architecture technique</w:t>
      </w:r>
    </w:p>
    <w:p>
      <w:pPr>
        <w:pStyle w:val="Heading2"/>
      </w:pPr>
      <w:r>
        <w:t xml:space="preserve">A.1 Structure du repository</w:t>
      </w:r>
    </w:p>
    <w:p>
      <w:pPr>
        <w:spacing w:after="120" w:line="300"/>
        <w:jc w:val="both"/>
      </w:pPr>
      <w:r>
        <w:rPr>
          <w:b w:val="false"/>
          <w:bCs w:val="false"/>
          <w:i w:val="false"/>
          <w:iCs w:val="false"/>
          <w:color w:val="000000"/>
          <w:sz w:val="22"/>
          <w:szCs w:val="22"/>
        </w:rPr>
        <w:t xml:space="preserve">Le projet est organisé en cinq dossiers principaux :</w:t>
      </w:r>
    </w:p>
    <w:p>
      <w:pPr>
        <w:pStyle w:val="ListParagraph"/>
        <w:numPr>
          <w:ilvl w:val="0"/>
          <w:numId w:val="2"/>
        </w:numPr>
        <w:spacing w:after="80"/>
      </w:pPr>
      <w:r>
        <w:rPr>
          <w:sz w:val="22"/>
          <w:szCs w:val="22"/>
        </w:rPr>
        <w:t xml:space="preserve">data/raw — Données simulées brutes (polices, sinistres, paiements).</w:t>
      </w:r>
    </w:p>
    <w:p>
      <w:pPr>
        <w:pStyle w:val="ListParagraph"/>
        <w:numPr>
          <w:ilvl w:val="0"/>
          <w:numId w:val="2"/>
        </w:numPr>
        <w:spacing w:after="80"/>
      </w:pPr>
      <w:r>
        <w:rPr>
          <w:sz w:val="22"/>
          <w:szCs w:val="22"/>
        </w:rPr>
        <w:t xml:space="preserve">data/processed — Triangles, agrégats et fichiers de sortie des modules.</w:t>
      </w:r>
    </w:p>
    <w:p>
      <w:pPr>
        <w:pStyle w:val="ListParagraph"/>
        <w:numPr>
          <w:ilvl w:val="0"/>
          <w:numId w:val="2"/>
        </w:numPr>
        <w:spacing w:after="80"/>
      </w:pPr>
      <w:r>
        <w:rPr>
          <w:sz w:val="22"/>
          <w:szCs w:val="22"/>
        </w:rPr>
        <w:t xml:space="preserve">scripts — Huit scripts Python (un par module, plus le pipeline et l'export Excel).</w:t>
      </w:r>
    </w:p>
    <w:p>
      <w:pPr>
        <w:pStyle w:val="ListParagraph"/>
        <w:numPr>
          <w:ilvl w:val="0"/>
          <w:numId w:val="2"/>
        </w:numPr>
        <w:spacing w:after="80"/>
      </w:pPr>
      <w:r>
        <w:rPr>
          <w:sz w:val="22"/>
          <w:szCs w:val="22"/>
        </w:rPr>
        <w:t xml:space="preserve">rapports — Six notes techniques en Markdown documentant chaque module.</w:t>
      </w:r>
    </w:p>
    <w:p>
      <w:pPr>
        <w:pStyle w:val="ListParagraph"/>
        <w:numPr>
          <w:ilvl w:val="0"/>
          <w:numId w:val="2"/>
        </w:numPr>
        <w:spacing w:after="80"/>
      </w:pPr>
      <w:r>
        <w:rPr>
          <w:sz w:val="22"/>
          <w:szCs w:val="22"/>
        </w:rPr>
        <w:t xml:space="preserve">outputs — Cinq figures matplotlib et le classeur Excel de pilotage.</w:t>
      </w:r>
    </w:p>
    <w:p>
      <w:pPr>
        <w:pStyle w:val="Heading2"/>
      </w:pPr>
      <w:r>
        <w:t xml:space="preserve">A.2 Choix techniques</w:t>
      </w:r>
    </w:p>
    <w:p>
      <w:pPr>
        <w:pStyle w:val="ListParagraph"/>
        <w:numPr>
          <w:ilvl w:val="0"/>
          <w:numId w:val="2"/>
        </w:numPr>
        <w:spacing w:after="80"/>
      </w:pPr>
      <w:r>
        <w:rPr>
          <w:sz w:val="22"/>
          <w:szCs w:val="22"/>
        </w:rPr>
        <w:t xml:space="preserve">Python procédural, niveau Master 2, sans recours à la POO ni à des bibliothèques actuarielles spécialisées.</w:t>
      </w:r>
    </w:p>
    <w:p>
      <w:pPr>
        <w:pStyle w:val="ListParagraph"/>
        <w:numPr>
          <w:ilvl w:val="0"/>
          <w:numId w:val="2"/>
        </w:numPr>
        <w:spacing w:after="80"/>
      </w:pPr>
      <w:r>
        <w:rPr>
          <w:sz w:val="22"/>
          <w:szCs w:val="22"/>
        </w:rPr>
        <w:t xml:space="preserve">Code commenté en français avec encadrés pédagogiques « En clair » et « À noter ».</w:t>
      </w:r>
    </w:p>
    <w:p>
      <w:pPr>
        <w:pStyle w:val="ListParagraph"/>
        <w:numPr>
          <w:ilvl w:val="0"/>
          <w:numId w:val="2"/>
        </w:numPr>
        <w:spacing w:after="80"/>
      </w:pPr>
      <w:r>
        <w:rPr>
          <w:sz w:val="22"/>
          <w:szCs w:val="22"/>
        </w:rPr>
        <w:t xml:space="preserve">Reproductibilité garantie par une graine aléatoire fixée.</w:t>
      </w:r>
    </w:p>
    <w:p>
      <w:pPr>
        <w:pStyle w:val="ListParagraph"/>
        <w:numPr>
          <w:ilvl w:val="0"/>
          <w:numId w:val="2"/>
        </w:numPr>
        <w:spacing w:after="80"/>
      </w:pPr>
      <w:r>
        <w:rPr>
          <w:sz w:val="22"/>
          <w:szCs w:val="22"/>
        </w:rPr>
        <w:t xml:space="preserve">Conservation systématique de la vérité terrain pour permettre le backtesting des méthodes.</w:t>
      </w:r>
    </w:p>
    <w:p>
      <w:pPr>
        <w:pStyle w:val="ListParagraph"/>
        <w:numPr>
          <w:ilvl w:val="0"/>
          <w:numId w:val="2"/>
        </w:numPr>
        <w:spacing w:after="80"/>
      </w:pPr>
      <w:r>
        <w:rPr>
          <w:sz w:val="22"/>
          <w:szCs w:val="22"/>
        </w:rPr>
        <w:t xml:space="preserve">Classeur Excel généré avec openpyxl, formules vivantes, validation par recalcul LibreOffice.</w:t>
      </w:r>
    </w:p>
    <w:p>
      <w:pPr>
        <w:pStyle w:val="Heading2"/>
      </w:pPr>
      <w:r>
        <w:t xml:space="preserve">A.3 Volumétrie du code</w:t>
      </w:r>
    </w:p>
    <w:tbl>
      <w:tblPr>
        <w:tblW w:type="dxa" w:w="9526"/>
        <w:tblBorders>
          <w:top w:val="single" w:color="auto" w:sz="4"/>
          <w:left w:val="single" w:color="auto" w:sz="4"/>
          <w:bottom w:val="single" w:color="auto" w:sz="4"/>
          <w:right w:val="single" w:color="auto" w:sz="4"/>
          <w:insideH w:val="single" w:color="auto" w:sz="4"/>
          <w:insideV w:val="single" w:color="auto" w:sz="4"/>
        </w:tblBorders>
      </w:tblPr>
      <w:tblGrid>
        <w:gridCol w:w="6026"/>
        <w:gridCol w:w="3500"/>
      </w:tblGrid>
      <w:tr>
        <w:trPr>
          <w:tblHeader/>
        </w:trPr>
        <w:tc>
          <w:tcPr>
            <w:tcW w:type="dxa" w:w="6026"/>
            <w:tcBorders>
              <w:top w:val="single" w:color="BFBFBF" w:sz="4"/>
              <w:left w:val="single" w:color="BFBFBF" w:sz="4"/>
              <w:bottom w:val="single" w:color="BFBFBF" w:sz="4"/>
              <w:right w:val="single" w:color="BFBFBF" w:sz="4"/>
            </w:tcBorders>
            <w:shd w:fill="2E5496" w:val="clear"/>
            <w:tcMar>
              <w:top w:type="dxa" w:w="80"/>
              <w:left w:type="dxa" w:w="120"/>
              <w:bottom w:type="dxa" w:w="80"/>
              <w:right w:type="dxa" w:w="120"/>
            </w:tcMar>
          </w:tcPr>
          <w:p>
            <w:pPr>
              <w:jc w:val="center"/>
            </w:pPr>
            <w:r>
              <w:rPr>
                <w:b/>
                <w:bCs/>
                <w:color w:val="FFFFFF"/>
                <w:sz w:val="20"/>
                <w:szCs w:val="20"/>
              </w:rPr>
              <w:t xml:space="preserve">Catégorie</w:t>
            </w:r>
          </w:p>
        </w:tc>
        <w:tc>
          <w:tcPr>
            <w:tcW w:type="dxa" w:w="3500"/>
            <w:tcBorders>
              <w:top w:val="single" w:color="BFBFBF" w:sz="4"/>
              <w:left w:val="single" w:color="BFBFBF" w:sz="4"/>
              <w:bottom w:val="single" w:color="BFBFBF" w:sz="4"/>
              <w:right w:val="single" w:color="BFBFBF" w:sz="4"/>
            </w:tcBorders>
            <w:shd w:fill="2E5496" w:val="clear"/>
            <w:tcMar>
              <w:top w:type="dxa" w:w="80"/>
              <w:left w:type="dxa" w:w="120"/>
              <w:bottom w:type="dxa" w:w="80"/>
              <w:right w:type="dxa" w:w="120"/>
            </w:tcMar>
          </w:tcPr>
          <w:p>
            <w:pPr>
              <w:jc w:val="center"/>
            </w:pPr>
            <w:r>
              <w:rPr>
                <w:b/>
                <w:bCs/>
                <w:color w:val="FFFFFF"/>
                <w:sz w:val="20"/>
                <w:szCs w:val="20"/>
              </w:rPr>
              <w:t xml:space="preserve">Volume</w:t>
            </w:r>
          </w:p>
        </w:tc>
      </w:tr>
      <w:tr>
        <w:tc>
          <w:tcPr>
            <w:tcW w:type="dxa" w:w="6026"/>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jc w:val="left"/>
            </w:pPr>
            <w:r>
              <w:rPr>
                <w:b w:val="false"/>
                <w:bCs w:val="false"/>
                <w:color w:val="000000"/>
                <w:sz w:val="20"/>
                <w:szCs w:val="20"/>
              </w:rPr>
              <w:t xml:space="preserve">Scripts Python</w:t>
            </w:r>
          </w:p>
        </w:tc>
        <w:tc>
          <w:tcPr>
            <w:tcW w:type="dxa" w:w="35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jc w:val="right"/>
            </w:pPr>
            <w:r>
              <w:rPr>
                <w:b w:val="false"/>
                <w:bCs w:val="false"/>
                <w:color w:val="000000"/>
                <w:sz w:val="20"/>
                <w:szCs w:val="20"/>
              </w:rPr>
              <w:t xml:space="preserve">8 fichiers, ≈ 2 850 lignes</w:t>
            </w:r>
          </w:p>
        </w:tc>
      </w:tr>
      <w:tr>
        <w:tc>
          <w:tcPr>
            <w:tcW w:type="dxa" w:w="6026"/>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b w:val="false"/>
                <w:bCs w:val="false"/>
                <w:color w:val="000000"/>
                <w:sz w:val="20"/>
                <w:szCs w:val="20"/>
              </w:rPr>
              <w:t xml:space="preserve">Notes techniques (Markdown)</w:t>
            </w:r>
          </w:p>
        </w:tc>
        <w:tc>
          <w:tcPr>
            <w:tcW w:type="dxa" w:w="35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right"/>
            </w:pPr>
            <w:r>
              <w:rPr>
                <w:b w:val="false"/>
                <w:bCs w:val="false"/>
                <w:color w:val="000000"/>
                <w:sz w:val="20"/>
                <w:szCs w:val="20"/>
              </w:rPr>
              <w:t xml:space="preserve">6 documents</w:t>
            </w:r>
          </w:p>
        </w:tc>
      </w:tr>
      <w:tr>
        <w:tc>
          <w:tcPr>
            <w:tcW w:type="dxa" w:w="6026"/>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jc w:val="left"/>
            </w:pPr>
            <w:r>
              <w:rPr>
                <w:b w:val="false"/>
                <w:bCs w:val="false"/>
                <w:color w:val="000000"/>
                <w:sz w:val="20"/>
                <w:szCs w:val="20"/>
              </w:rPr>
              <w:t xml:space="preserve">Figures matplotlib</w:t>
            </w:r>
          </w:p>
        </w:tc>
        <w:tc>
          <w:tcPr>
            <w:tcW w:type="dxa" w:w="35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jc w:val="right"/>
            </w:pPr>
            <w:r>
              <w:rPr>
                <w:b w:val="false"/>
                <w:bCs w:val="false"/>
                <w:color w:val="000000"/>
                <w:sz w:val="20"/>
                <w:szCs w:val="20"/>
              </w:rPr>
              <w:t xml:space="preserve">5 figures</w:t>
            </w:r>
          </w:p>
        </w:tc>
      </w:tr>
      <w:tr>
        <w:tc>
          <w:tcPr>
            <w:tcW w:type="dxa" w:w="6026"/>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left"/>
            </w:pPr>
            <w:r>
              <w:rPr>
                <w:b w:val="false"/>
                <w:bCs w:val="false"/>
                <w:color w:val="000000"/>
                <w:sz w:val="20"/>
                <w:szCs w:val="20"/>
              </w:rPr>
              <w:t xml:space="preserve">Classeur Excel</w:t>
            </w:r>
          </w:p>
        </w:tc>
        <w:tc>
          <w:tcPr>
            <w:tcW w:type="dxa" w:w="3500"/>
            <w:tcBorders>
              <w:top w:val="single" w:color="BFBFBF" w:sz="4"/>
              <w:left w:val="single" w:color="BFBFBF" w:sz="4"/>
              <w:bottom w:val="single" w:color="BFBFBF" w:sz="4"/>
              <w:right w:val="single" w:color="BFBFBF" w:sz="4"/>
            </w:tcBorders>
            <w:shd w:fill="F2F2F2" w:val="clear"/>
            <w:tcMar>
              <w:top w:type="dxa" w:w="60"/>
              <w:left w:type="dxa" w:w="120"/>
              <w:bottom w:type="dxa" w:w="60"/>
              <w:right w:type="dxa" w:w="120"/>
            </w:tcMar>
          </w:tcPr>
          <w:p>
            <w:pPr>
              <w:jc w:val="right"/>
            </w:pPr>
            <w:r>
              <w:rPr>
                <w:b w:val="false"/>
                <w:bCs w:val="false"/>
                <w:color w:val="000000"/>
                <w:sz w:val="20"/>
                <w:szCs w:val="20"/>
              </w:rPr>
              <w:t xml:space="preserve">7 onglets, 56 formules</w:t>
            </w:r>
          </w:p>
        </w:tc>
      </w:tr>
      <w:tr>
        <w:tc>
          <w:tcPr>
            <w:tcW w:type="dxa" w:w="6026"/>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jc w:val="left"/>
            </w:pPr>
            <w:r>
              <w:rPr>
                <w:b w:val="false"/>
                <w:bCs w:val="false"/>
                <w:color w:val="000000"/>
                <w:sz w:val="20"/>
                <w:szCs w:val="20"/>
              </w:rPr>
              <w:t xml:space="preserve">Données simulées</w:t>
            </w:r>
          </w:p>
        </w:tc>
        <w:tc>
          <w:tcPr>
            <w:tcW w:type="dxa" w:w="35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pPr>
              <w:jc w:val="right"/>
            </w:pPr>
            <w:r>
              <w:rPr>
                <w:b w:val="false"/>
                <w:bCs w:val="false"/>
                <w:color w:val="000000"/>
                <w:sz w:val="20"/>
                <w:szCs w:val="20"/>
              </w:rPr>
              <w:t xml:space="preserve">3 fichiers bruts + 11 fichiers traités</w:t>
            </w:r>
          </w:p>
        </w:tc>
      </w:tr>
    </w:tbl>
    <w:p>
      <w:pPr>
        <w:spacing w:after="120"/>
      </w:pPr>
      <w:r>
        <w:t xml:space="preserve"/>
      </w:r>
    </w:p>
    <w:p>
      <w:pPr>
        <w:pStyle w:val="Heading2"/>
      </w:pPr>
      <w:r>
        <w:t xml:space="preserve">A.4 Limites assumées</w:t>
      </w:r>
    </w:p>
    <w:p>
      <w:pPr>
        <w:spacing w:after="120" w:line="300"/>
        <w:jc w:val="both"/>
      </w:pPr>
      <w:r>
        <w:rPr>
          <w:b w:val="false"/>
          <w:bCs w:val="false"/>
          <w:i w:val="false"/>
          <w:iCs w:val="false"/>
          <w:color w:val="000000"/>
          <w:sz w:val="22"/>
          <w:szCs w:val="22"/>
        </w:rPr>
        <w:t xml:space="preserve">Le projet présente plusieurs limites volontairement assumées et documentées dans chaque note technique : exposition annuelle pleine sans pro-rata de souscription, absence de réassurance proportionnelle et de couches cat, granularité annuelle plutôt que trimestrielle pour les triangles, segmentation à deux modalités seulement, et inflation constante sans choc inflationniste. Ces limites sont explicitées car elles correspondent à des choix d'épure pédagogique, et leur extension constituerait des axes naturels de poursuite du projet en environnement professionnel.</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t xml:space="preserve">Page </w:t>
    </w:r>
    <w:r>
      <w:rPr>
        <w:color w:val="808080"/>
        <w:sz w:val="18"/>
        <w:szCs w:val="18"/>
      </w:rPr>
      <w:fldChar w:fldCharType="begin"/>
      <w:instrText xml:space="preserve">PAGE</w:instrText>
      <w:fldChar w:fldCharType="separate"/>
      <w:fldChar w:fldCharType="end"/>
    </w:r>
    <w:r>
      <w:rPr>
        <w:color w:val="808080"/>
        <w:sz w:val="18"/>
        <w:szCs w:val="18"/>
      </w:rPr>
      <w:t xml:space="preserve"> / </w:t>
    </w:r>
    <w:r>
      <w:rPr>
        <w:color w:val="8080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808080"/>
        <w:sz w:val="18"/>
        <w:szCs w:val="18"/>
      </w:rPr>
      <w:t xml:space="preserve">Closing Actuariel — Présentation du projet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3864" w:sz="12" w:space="4"/>
      </w:pBdr>
      <w:spacing w:after="240" w:before="480"/>
      <w:outlineLvl w:val="0"/>
    </w:pPr>
    <w:rPr>
      <w:rFonts w:ascii="Arial" w:cs="Arial" w:eastAsia="Arial" w:hAnsi="Arial"/>
      <w:b/>
      <w:bCs/>
      <w:color w:val="1F3864"/>
      <w:sz w:val="36"/>
      <w:szCs w:val="36"/>
    </w:rPr>
  </w:style>
  <w:style w:type="paragraph" w:styleId="Heading2">
    <w:name w:val="Heading 2"/>
    <w:basedOn w:val="Normal"/>
    <w:next w:val="Normal"/>
    <w:qFormat/>
    <w:pPr>
      <w:spacing w:after="160" w:before="300"/>
      <w:outlineLvl w:val="1"/>
    </w:pPr>
    <w:rPr>
      <w:rFonts w:ascii="Arial" w:cs="Arial" w:eastAsia="Arial" w:hAnsi="Arial"/>
      <w:b/>
      <w:bCs/>
      <w:color w:val="2E5496"/>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2E549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482d449991210b1cd1674f7ac9515fa8365ad20b.png"/><Relationship Id="rId10" Type="http://schemas.openxmlformats.org/officeDocument/2006/relationships/image" Target="media/1822bdb354c7159a663c3d340947237dfa082056.png"/><Relationship Id="rId11" Type="http://schemas.openxmlformats.org/officeDocument/2006/relationships/image" Target="media/ef4a4b7deb875220fecca0d673431610202d219e.png"/><Relationship Id="rId12" Type="http://schemas.openxmlformats.org/officeDocument/2006/relationships/image" Target="media/4625912a3b26fdb5ba5364ce663dc3c0e55d61b6.png"/><Relationship Id="rId13" Type="http://schemas.openxmlformats.org/officeDocument/2006/relationships/image" Target="media/46fb86cb17875cbe6f64f2f288ebf016d3154012.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Closing Actuariel - Présentation du projet</dc:title>
  <dc:creator>Steve</dc:creator>
  <dc:description>Document explicatif du projet de portfolio actuariel</dc:description>
  <cp:lastModifiedBy>Un-named</cp:lastModifiedBy>
  <cp:revision>1</cp:revision>
  <dcterms:created xsi:type="dcterms:W3CDTF">2026-05-30T03:04:44.693Z</dcterms:created>
  <dcterms:modified xsi:type="dcterms:W3CDTF">2026-05-30T03:04:44.693Z</dcterms:modified>
</cp:coreProperties>
</file>

<file path=docProps/custom.xml><?xml version="1.0" encoding="utf-8"?>
<Properties xmlns="http://schemas.openxmlformats.org/officeDocument/2006/custom-properties" xmlns:vt="http://schemas.openxmlformats.org/officeDocument/2006/docPropsVTypes"/>
</file>