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5DA200A" w:rsidP="3B5023CD" w:rsidRDefault="35DA200A" w14:paraId="481BCB84" w14:textId="25163FCA">
      <w:pPr>
        <w:jc w:val="center"/>
        <w:rPr>
          <w:color w:val="000000" w:themeColor="text1"/>
          <w:sz w:val="20"/>
          <w:szCs w:val="20"/>
        </w:rPr>
      </w:pPr>
      <w:r>
        <w:rPr>
          <w:noProof/>
        </w:rPr>
        <w:drawing>
          <wp:inline distT="0" distB="0" distL="0" distR="0" wp14:anchorId="5F7B1102" wp14:editId="05897441">
            <wp:extent cx="4648200" cy="2343150"/>
            <wp:effectExtent l="0" t="0" r="0" b="0"/>
            <wp:docPr id="989017722" name="Lulea University of Technology logo" descr="Lulea University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17722" name="Picture 989017722"/>
                    <pic:cNvPicPr/>
                  </pic:nvPicPr>
                  <pic:blipFill>
                    <a:blip r:embed="rId5">
                      <a:extLst>
                        <a:ext uri="{28A0092B-C50C-407E-A947-70E740481C1C}">
                          <a14:useLocalDpi xmlns:a14="http://schemas.microsoft.com/office/drawing/2010/main"/>
                        </a:ext>
                      </a:extLst>
                    </a:blip>
                    <a:stretch>
                      <a:fillRect/>
                    </a:stretch>
                  </pic:blipFill>
                  <pic:spPr>
                    <a:xfrm>
                      <a:off x="0" y="0"/>
                      <a:ext cx="4648200" cy="2343150"/>
                    </a:xfrm>
                    <a:prstGeom prst="rect">
                      <a:avLst/>
                    </a:prstGeom>
                  </pic:spPr>
                </pic:pic>
              </a:graphicData>
            </a:graphic>
          </wp:inline>
        </w:drawing>
      </w:r>
    </w:p>
    <w:p w:rsidR="3B5023CD" w:rsidP="3B5023CD" w:rsidRDefault="3B5023CD" w14:paraId="2536A768" w14:textId="112218DA">
      <w:pPr>
        <w:rPr>
          <w:color w:val="000000" w:themeColor="text1"/>
          <w:sz w:val="20"/>
          <w:szCs w:val="20"/>
        </w:rPr>
      </w:pPr>
    </w:p>
    <w:p w:rsidR="35DA200A" w:rsidP="0DAB1007" w:rsidRDefault="35DA200A" w14:paraId="4938F865" w14:textId="10B1D57D">
      <w:pPr>
        <w:spacing w:before="0" w:after="0" w:line="300" w:lineRule="auto"/>
        <w:jc w:val="center"/>
        <w:rPr>
          <w:rFonts w:ascii="Aptos" w:hAnsi="Aptos" w:eastAsia="Aptos"/>
          <w:b w:val="1"/>
          <w:bCs w:val="1"/>
          <w:i w:val="0"/>
          <w:iCs w:val="0"/>
          <w:color w:val="000000" w:themeColor="text1"/>
          <w:sz w:val="20"/>
          <w:szCs w:val="20"/>
        </w:rPr>
      </w:pPr>
      <w:r w:rsidRPr="0DAB1007" w:rsidR="45D3862F">
        <w:rPr>
          <w:rFonts w:ascii="Aptos" w:hAnsi="Aptos" w:eastAsia="Aptos"/>
          <w:b w:val="1"/>
          <w:bCs w:val="1"/>
          <w:i w:val="0"/>
          <w:iCs w:val="0"/>
          <w:color w:val="000000" w:themeColor="text1" w:themeTint="FF" w:themeShade="FF"/>
          <w:sz w:val="20"/>
          <w:szCs w:val="20"/>
        </w:rPr>
        <w:t>Assignment Title:</w:t>
      </w:r>
      <w:r>
        <w:br/>
      </w:r>
      <w:r w:rsidRPr="0DAB1007" w:rsidR="45B1A1C5">
        <w:rPr>
          <w:rFonts w:ascii="Aptos" w:hAnsi="Aptos" w:eastAsia="Aptos"/>
          <w:b w:val="1"/>
          <w:bCs w:val="1"/>
          <w:i w:val="0"/>
          <w:iCs w:val="0"/>
          <w:color w:val="000000" w:themeColor="text1" w:themeTint="FF" w:themeShade="FF"/>
          <w:sz w:val="20"/>
          <w:szCs w:val="20"/>
        </w:rPr>
        <w:t xml:space="preserve">Lab 4.1: Explaining Phishing Detectors </w:t>
      </w:r>
    </w:p>
    <w:p w:rsidR="3B5023CD" w:rsidP="3B5023CD" w:rsidRDefault="3B5023CD" w14:paraId="2FEE7290" w14:textId="7E570AA6">
      <w:pPr>
        <w:spacing w:after="0" w:line="300" w:lineRule="auto"/>
        <w:jc w:val="center"/>
        <w:rPr>
          <w:color w:val="000000" w:themeColor="text1"/>
          <w:sz w:val="20"/>
          <w:szCs w:val="20"/>
        </w:rPr>
      </w:pPr>
    </w:p>
    <w:p w:rsidR="3B5023CD" w:rsidP="3B5023CD" w:rsidRDefault="3B5023CD" w14:paraId="1BDE51D0" w14:textId="7220B26F">
      <w:pPr>
        <w:spacing w:after="0" w:line="300" w:lineRule="auto"/>
        <w:jc w:val="center"/>
        <w:rPr>
          <w:color w:val="000000" w:themeColor="text1"/>
          <w:sz w:val="20"/>
          <w:szCs w:val="20"/>
        </w:rPr>
      </w:pPr>
    </w:p>
    <w:p w:rsidR="35DA200A" w:rsidP="3B5023CD" w:rsidRDefault="35DA200A" w14:paraId="40C386D8" w14:textId="4FAEC92D">
      <w:pPr>
        <w:spacing w:before="0" w:after="0" w:line="300" w:lineRule="auto"/>
        <w:jc w:val="center"/>
        <w:rPr>
          <w:b/>
          <w:bCs/>
          <w:color w:val="000000" w:themeColor="text1"/>
          <w:sz w:val="20"/>
          <w:szCs w:val="20"/>
        </w:rPr>
      </w:pPr>
      <w:r>
        <w:rPr>
          <w:rFonts w:ascii="Aptos" w:hAnsi="Aptos" w:eastAsia="Aptos"/>
          <w:b/>
          <w:i w:val="0"/>
          <w:color w:val="000000"/>
          <w:sz w:val="20"/>
        </w:rPr>
        <w:t>Course Name:</w:t>
      </w:r>
      <w:r>
        <w:rPr>
          <w:rFonts w:ascii="Aptos" w:hAnsi="Aptos" w:eastAsia="Aptos"/>
          <w:b/>
          <w:i w:val="0"/>
          <w:color w:val="000000"/>
          <w:sz w:val="20"/>
        </w:rPr>
        <w:br/>
      </w:r>
      <w:r>
        <w:rPr>
          <w:rFonts w:ascii="Aptos" w:hAnsi="Aptos" w:eastAsia="Aptos"/>
          <w:b/>
          <w:i w:val="0"/>
          <w:color w:val="000000"/>
          <w:sz w:val="20"/>
        </w:rPr>
        <w:t>AI for Cybersecurity D7084E D7041E</w:t>
      </w:r>
    </w:p>
    <w:p w:rsidR="3B5023CD" w:rsidP="3B5023CD" w:rsidRDefault="3B5023CD" w14:paraId="2F204857" w14:textId="5FB7CA31">
      <w:pPr>
        <w:spacing w:after="0" w:line="300" w:lineRule="auto"/>
        <w:jc w:val="center"/>
        <w:rPr>
          <w:color w:val="000000" w:themeColor="text1"/>
          <w:sz w:val="20"/>
          <w:szCs w:val="20"/>
        </w:rPr>
      </w:pPr>
    </w:p>
    <w:p w:rsidR="51F5419E" w:rsidP="3B5023CD" w:rsidRDefault="51F5419E" w14:paraId="5A7367C8" w14:textId="6555B3F8">
      <w:pPr>
        <w:spacing w:before="0" w:after="0" w:line="300" w:lineRule="auto"/>
        <w:jc w:val="center"/>
        <w:rPr>
          <w:b/>
          <w:bCs/>
          <w:color w:val="000000" w:themeColor="text1"/>
          <w:sz w:val="20"/>
          <w:szCs w:val="20"/>
        </w:rPr>
      </w:pPr>
      <w:r>
        <w:rPr>
          <w:rFonts w:ascii="Aptos" w:hAnsi="Aptos" w:eastAsia="Aptos"/>
          <w:b/>
          <w:i w:val="0"/>
          <w:color w:val="000000"/>
          <w:sz w:val="20"/>
        </w:rPr>
        <w:t>Team:</w:t>
      </w:r>
    </w:p>
    <w:p w:rsidR="51F5419E" w:rsidP="3B5023CD" w:rsidRDefault="51F5419E" w14:paraId="4197E438" w14:textId="7DCBB951">
      <w:pPr>
        <w:spacing w:before="0" w:after="0" w:line="300" w:lineRule="auto"/>
        <w:jc w:val="center"/>
        <w:rPr>
          <w:color w:val="000000" w:themeColor="text1"/>
          <w:sz w:val="20"/>
          <w:szCs w:val="20"/>
        </w:rPr>
      </w:pPr>
      <w:r w:rsidRPr="7C637599" w:rsidR="2910EE36">
        <w:rPr>
          <w:rFonts w:ascii="Aptos" w:hAnsi="Aptos" w:eastAsia="Aptos"/>
          <w:b w:val="1"/>
          <w:bCs w:val="1"/>
          <w:i w:val="0"/>
          <w:iCs w:val="0"/>
          <w:color w:val="000000" w:themeColor="text1" w:themeTint="FF" w:themeShade="FF"/>
          <w:sz w:val="20"/>
          <w:szCs w:val="20"/>
        </w:rPr>
        <w:t>Group 6</w:t>
      </w:r>
    </w:p>
    <w:p w:rsidR="3B5023CD" w:rsidP="3B5023CD" w:rsidRDefault="3B5023CD" w14:paraId="7F122DED" w14:textId="3A9E1833">
      <w:pPr>
        <w:spacing w:after="0" w:line="300" w:lineRule="auto"/>
        <w:jc w:val="center"/>
        <w:rPr>
          <w:color w:val="000000" w:themeColor="text1"/>
          <w:sz w:val="20"/>
          <w:szCs w:val="20"/>
        </w:rPr>
      </w:pPr>
    </w:p>
    <w:p w:rsidR="35DA200A" w:rsidP="3B5023CD" w:rsidRDefault="35DA200A" w14:paraId="07E0DFC8" w14:textId="5EEAE67B">
      <w:pPr>
        <w:spacing w:before="0" w:after="0" w:line="300" w:lineRule="auto"/>
        <w:jc w:val="center"/>
        <w:rPr>
          <w:b w:val="1"/>
          <w:bCs w:val="1"/>
          <w:sz w:val="20"/>
          <w:szCs w:val="20"/>
        </w:rPr>
      </w:pPr>
      <w:r w:rsidRPr="7C637599" w:rsidR="15FF7DDF">
        <w:rPr>
          <w:rFonts w:ascii="Aptos" w:hAnsi="Aptos" w:eastAsia="Aptos"/>
          <w:b w:val="1"/>
          <w:bCs w:val="1"/>
          <w:i w:val="0"/>
          <w:iCs w:val="0"/>
          <w:color w:val="000000" w:themeColor="text1" w:themeTint="FF" w:themeShade="FF"/>
          <w:sz w:val="20"/>
          <w:szCs w:val="20"/>
        </w:rPr>
        <w:t>Authors:</w:t>
      </w:r>
      <w:r>
        <w:br/>
      </w:r>
      <w:r w:rsidRPr="7C637599" w:rsidR="15FF7DDF">
        <w:rPr>
          <w:rFonts w:ascii="Aptos" w:hAnsi="Aptos" w:eastAsia="Aptos"/>
          <w:b w:val="1"/>
          <w:bCs w:val="1"/>
          <w:i w:val="0"/>
          <w:iCs w:val="0"/>
          <w:color w:val="000000" w:themeColor="text1" w:themeTint="FF" w:themeShade="FF"/>
          <w:sz w:val="20"/>
          <w:szCs w:val="20"/>
        </w:rPr>
        <w:t>Kirill Silchenko</w:t>
      </w:r>
      <w:r w:rsidRPr="7C637599" w:rsidR="15FF7DDF">
        <w:rPr>
          <w:rFonts w:ascii="Aptos" w:hAnsi="Aptos" w:eastAsia="Aptos"/>
          <w:b w:val="1"/>
          <w:bCs w:val="1"/>
          <w:i w:val="0"/>
          <w:iCs w:val="0"/>
          <w:color w:val="000000" w:themeColor="text1" w:themeTint="FF" w:themeShade="FF"/>
          <w:sz w:val="20"/>
          <w:szCs w:val="20"/>
        </w:rPr>
        <w:t xml:space="preserve"> </w:t>
      </w:r>
      <w:r w:rsidRPr="7C637599" w:rsidR="15FF7DDF">
        <w:rPr>
          <w:rFonts w:ascii="Aptos" w:hAnsi="Aptos" w:eastAsia="Aptos"/>
          <w:b w:val="1"/>
          <w:bCs w:val="1"/>
          <w:i w:val="0"/>
          <w:iCs w:val="0"/>
          <w:color w:val="000000" w:themeColor="text1" w:themeTint="FF" w:themeShade="FF"/>
          <w:sz w:val="20"/>
          <w:szCs w:val="20"/>
        </w:rPr>
        <w:t>-</w:t>
      </w:r>
      <w:r w:rsidRPr="7C637599" w:rsidR="15FF7DDF">
        <w:rPr>
          <w:rFonts w:ascii="Aptos" w:hAnsi="Aptos" w:eastAsia="Aptos"/>
          <w:b w:val="1"/>
          <w:bCs w:val="1"/>
          <w:i w:val="0"/>
          <w:iCs w:val="0"/>
          <w:color w:val="467886"/>
          <w:sz w:val="20"/>
          <w:szCs w:val="20"/>
        </w:rPr>
        <w:t xml:space="preserve"> kirsil-5@student.ltu.se</w:t>
      </w:r>
      <w:r>
        <w:br/>
      </w:r>
      <w:r w:rsidRPr="7C637599" w:rsidR="15FF7DDF">
        <w:rPr>
          <w:rFonts w:ascii="Aptos" w:hAnsi="Aptos" w:eastAsia="Aptos"/>
          <w:b w:val="1"/>
          <w:bCs w:val="1"/>
          <w:i w:val="0"/>
          <w:iCs w:val="0"/>
          <w:color w:val="000000" w:themeColor="text1" w:themeTint="FF" w:themeShade="FF"/>
          <w:sz w:val="20"/>
          <w:szCs w:val="20"/>
        </w:rPr>
        <w:t>Stefanos Ntentopoulos -</w:t>
      </w:r>
      <w:r w:rsidRPr="7C637599" w:rsidR="15FF7DDF">
        <w:rPr>
          <w:rFonts w:ascii="Aptos" w:hAnsi="Aptos" w:eastAsia="Aptos"/>
          <w:b w:val="1"/>
          <w:bCs w:val="1"/>
          <w:i w:val="0"/>
          <w:iCs w:val="0"/>
          <w:color w:val="467886"/>
          <w:sz w:val="20"/>
          <w:szCs w:val="20"/>
        </w:rPr>
        <w:t xml:space="preserve"> stente-5@student.ltu.se</w:t>
      </w:r>
    </w:p>
    <w:p w:rsidR="3B5023CD" w:rsidP="3B5023CD" w:rsidRDefault="3B5023CD" w14:paraId="448EC2AB" w14:textId="1996C309">
      <w:pPr>
        <w:spacing w:after="0" w:line="300" w:lineRule="auto"/>
        <w:jc w:val="center"/>
        <w:rPr>
          <w:color w:val="000000" w:themeColor="text1"/>
          <w:sz w:val="20"/>
          <w:szCs w:val="20"/>
        </w:rPr>
      </w:pPr>
    </w:p>
    <w:p w:rsidR="3B5023CD" w:rsidP="3B5023CD" w:rsidRDefault="3B5023CD" w14:paraId="3C760D3F" w14:textId="2F74135D">
      <w:pPr>
        <w:spacing w:after="0" w:line="300" w:lineRule="auto"/>
        <w:jc w:val="center"/>
        <w:rPr>
          <w:color w:val="000000" w:themeColor="text1"/>
          <w:sz w:val="20"/>
          <w:szCs w:val="20"/>
        </w:rPr>
      </w:pPr>
    </w:p>
    <w:p w:rsidR="3B5023CD" w:rsidP="3B5023CD" w:rsidRDefault="3B5023CD" w14:paraId="4B220885" w14:textId="06ECE047">
      <w:pPr>
        <w:rPr>
          <w:sz w:val="20"/>
          <w:szCs w:val="20"/>
        </w:rPr>
      </w:pPr>
      <w:r w:rsidRPr="0DAB1007">
        <w:rPr>
          <w:sz w:val="20"/>
          <w:szCs w:val="20"/>
        </w:rPr>
        <w:br w:type="page"/>
      </w:r>
    </w:p>
    <w:p w:rsidR="0DAB1007" w:rsidP="0DAB1007" w:rsidRDefault="0DAB1007" w14:paraId="3779B22E" w14:textId="2D584407">
      <w:pPr>
        <w:rPr>
          <w:sz w:val="20"/>
          <w:szCs w:val="20"/>
        </w:rPr>
      </w:pPr>
    </w:p>
    <w:p xmlns:wp14="http://schemas.microsoft.com/office/word/2010/wordml" w:rsidP="0DAB1007" w14:paraId="02EB378F" wp14:textId="79F1C70C">
      <w:pPr>
        <w:pStyle w:val="Normal"/>
        <w:keepNext w:val="0"/>
        <w:suppressLineNumbers w:val="0"/>
        <w:bidi w:val="0"/>
        <w:spacing w:before="0" w:beforeAutospacing="off" w:after="0" w:afterAutospacing="off" w:line="283" w:lineRule="auto"/>
        <w:ind w:left="0" w:right="0"/>
        <w:jc w:val="left"/>
        <w:rPr>
          <w:rFonts w:ascii="Aptos" w:hAnsi="Aptos" w:eastAsia="Aptos"/>
          <w:b w:val="0"/>
          <w:bCs w:val="0"/>
          <w:i w:val="0"/>
          <w:iCs w:val="0"/>
          <w:color w:val="000000" w:themeColor="text1" w:themeTint="FF" w:themeShade="FF"/>
          <w:sz w:val="20"/>
          <w:szCs w:val="20"/>
        </w:rPr>
      </w:pPr>
    </w:p>
    <w:p>
      <w:r>
        <w:br w:type="page"/>
      </w:r>
    </w:p>
    <w:p>
      <w:pPr>
        <w:pStyle w:val="Heading2"/>
      </w:pPr>
      <w:r>
        <w:t xml:space="preserve">1. Problem</w:t>
      </w:r>
    </w:p>
    <w:p>
      <w:pPr>
        <w:spacing w:after="120"/>
        <w:rPr>
          <w:sz w:val="20"/>
        </w:rPr>
      </w:pPr>
      <w:r>
        <w:rPr>
          <w:sz w:val="20"/>
        </w:rPr>
        <w:t xml:space="preserve">A detector that says "this URL is phishing" is only useful to an analyst who can see </w:t>
      </w:r>
      <w:r>
        <w:rPr>
          <w:i/>
          <w:sz w:val="20"/>
        </w:rPr>
        <w:t xml:space="preserve">why</w:t>
      </w:r>
      <w:r>
        <w:rPr>
          <w:sz w:val="20"/>
        </w:rPr>
        <w:t xml:space="preserve"> before blocking a site or warning users. We build detectors for one question, </w:t>
      </w:r>
      <w:r>
        <w:rPr>
          <w:i/>
          <w:sz w:val="20"/>
        </w:rPr>
        <w:t xml:space="preserve">is this web address a phishing site?</w:t>
      </w:r>
      <w:r>
        <w:rPr>
          <w:sz w:val="20"/>
        </w:rPr>
        <w:t xml:space="preserve">, in the three ways from Labs 1–3: </w:t>
      </w:r>
      <w:r>
        <w:rPr>
          <w:b/>
          <w:sz w:val="20"/>
        </w:rPr>
        <w:t xml:space="preserve">supervised</w:t>
      </w:r>
      <w:r>
        <w:rPr>
          <w:sz w:val="20"/>
        </w:rPr>
        <w:t xml:space="preserve"> (every URL labelled), </w:t>
      </w:r>
      <w:r>
        <w:rPr>
          <w:b/>
          <w:sz w:val="20"/>
        </w:rPr>
        <w:t xml:space="preserve">semi-supervised</w:t>
      </w:r>
      <w:r>
        <w:rPr>
          <w:sz w:val="20"/>
        </w:rPr>
        <w:t xml:space="preserve"> (5% labelled, pseudo-labels for the other 95%) and </w:t>
      </w:r>
      <w:r>
        <w:rPr>
          <w:b/>
          <w:sz w:val="20"/>
        </w:rPr>
        <w:t xml:space="preserve">self-supervised</w:t>
      </w:r>
      <w:r>
        <w:rPr>
          <w:sz w:val="20"/>
        </w:rPr>
        <w:t xml:space="preserve"> (a network first learns from the URLs alone, then a classifier uses the 5% labels). We then explain them in two ways. </w:t>
      </w:r>
      <w:r>
        <w:rPr>
          <w:b/>
          <w:sz w:val="20"/>
        </w:rPr>
        <w:t xml:space="preserve">Glass boxes</w:t>
      </w:r>
      <w:r>
        <w:rPr>
          <w:sz w:val="20"/>
        </w:rPr>
        <w:t xml:space="preserve"> (a small tree, a logistic regression) can be read directly. For the </w:t>
      </w:r>
      <w:r>
        <w:rPr>
          <w:b/>
          <w:sz w:val="20"/>
        </w:rPr>
        <w:t xml:space="preserve">black boxes</w:t>
      </w:r>
      <w:r>
        <w:rPr>
          <w:sz w:val="20"/>
        </w:rPr>
        <w:t xml:space="preserve"> (forests, the self-supervised model) we use </w:t>
      </w:r>
      <w:r>
        <w:rPr>
          <w:b/>
          <w:sz w:val="20"/>
        </w:rPr>
        <w:t xml:space="preserve">post-hoc</w:t>
      </w:r>
      <w:r>
        <w:rPr>
          <w:sz w:val="20"/>
        </w:rPr>
        <w:t xml:space="preserve"> explanations: SHAP and LIME. Finally we turn the two most important features into a Belief Rule-Based expert system (BRB) and check whether SHAP and LIME agree with its rules.</w:t>
      </w:r>
    </w:p>
    <w:p>
      <w:pPr>
        <w:pStyle w:val="Heading2"/>
      </w:pPr>
      <w:r>
        <w:t xml:space="preserve">2. Setup</w:t>
      </w:r>
    </w:p>
    <w:p>
      <w:pPr>
        <w:spacing w:after="120"/>
        <w:rPr>
          <w:sz w:val="20"/>
        </w:rPr>
      </w:pPr>
      <w:r>
        <w:rPr>
          <w:b/>
          <w:sz w:val="20"/>
        </w:rPr>
        <w:t xml:space="preserve">Data.</w:t>
      </w:r>
      <w:r>
        <w:rPr>
          <w:sz w:val="20"/>
        </w:rPr>
        <w:t xml:space="preserve"> Web Page Phishing Detection (Hannousse &amp; Yahiouche, 2021): 11,430 URLs, exactly half phishing, 87 features (56 from the URL text, 24 from the page, 7 external lookups). Split 60/20/20, stratified, </w:t>
      </w:r>
      <w:r>
        <w:rPr>
          <w:rFonts w:ascii="Consolas" w:hAnsi="Consolas"/>
          <w:sz w:val="20"/>
        </w:rPr>
        <w:t xml:space="preserve">random_state=42</w:t>
      </w:r>
      <w:r>
        <w:rPr>
          <w:sz w:val="20"/>
        </w:rPr>
        <w:t xml:space="preserve">: 6,858 training, 2,286 validation (to choose settings) and 2,286 test URLs (final scores only; every model is scored on the same test set). </w:t>
      </w:r>
      <w:r>
        <w:rPr>
          <w:b/>
          <w:sz w:val="20"/>
        </w:rPr>
        <w:t xml:space="preserve">Label budget:</w:t>
      </w:r>
      <w:r>
        <w:rPr>
          <w:sz w:val="20"/>
        </w:rPr>
        <w:t xml:space="preserve"> 342 training URLs (5%, stratified, taken from the training set only) keep their label. The other 6,516 labels are hidden and are only used to count how many pseudo-labels were right, never for training. We report macro-F1, recall (share of phishing caught) and FAR (share of legitimate URLs wrongly flagged). Table 1 lists the models and how each is explained.</w:t>
      </w:r>
    </w:p>
    <w:p>
      <w:pPr>
        <w:keepNext/>
        <w:spacing w:after="60"/>
        <w:rPr>
          <w:sz w:val="18"/>
        </w:rPr>
      </w:pPr>
      <w:r>
        <w:rPr>
          <w:i/>
          <w:sz w:val="18"/>
        </w:rPr>
        <w:t xml:space="preserve">Table 1. Models and explainers.</w:t>
      </w:r>
    </w:p>
    <w:tbl>
      <w:tblPr>
        <w:tblStyle w:val="TableGrid"/>
        <w:tblW w:w="11248" w:type="dxa"/>
        <w:tblLayout w:type="fixed"/>
      </w:tblPr>
      <w:tblGrid>
        <w:gridCol w:w="2426"/>
        <w:gridCol w:w="4411"/>
        <w:gridCol w:w="4411"/>
      </w:tblGrid>
      <w:tr>
        <w:trPr>
          <w:tblHeader/>
        </w:trPr>
        <w:tc>
          <w:tcPr>
            <w:tcW w:w="2426" w:type="dxa"/>
            <w:shd w:val="clear" w:color="auto" w:fill="E7E6E6"/>
            <w:vAlign w:val="center"/>
          </w:tcPr>
          <w:p>
            <w:pPr>
              <w:spacing w:before="20" w:after="20"/>
              <w:rPr>
                <w:sz w:val="17"/>
              </w:rPr>
            </w:pPr>
            <w:r>
              <w:rPr>
                <w:b/>
                <w:sz w:val="17"/>
              </w:rPr>
              <w:t xml:space="preserve">Way of learning</w:t>
            </w:r>
          </w:p>
        </w:tc>
        <w:tc>
          <w:tcPr>
            <w:tcW w:w="4411" w:type="dxa"/>
            <w:shd w:val="clear" w:color="auto" w:fill="E7E6E6"/>
            <w:vAlign w:val="center"/>
          </w:tcPr>
          <w:p>
            <w:pPr>
              <w:spacing w:before="20" w:after="20"/>
              <w:rPr>
                <w:sz w:val="17"/>
              </w:rPr>
            </w:pPr>
            <w:r>
              <w:rPr>
                <w:b/>
                <w:sz w:val="17"/>
              </w:rPr>
              <w:t xml:space="preserve">Models</w:t>
            </w:r>
          </w:p>
        </w:tc>
        <w:tc>
          <w:tcPr>
            <w:tcW w:w="4411" w:type="dxa"/>
            <w:shd w:val="clear" w:color="auto" w:fill="E7E6E6"/>
            <w:vAlign w:val="center"/>
          </w:tcPr>
          <w:p>
            <w:pPr>
              <w:spacing w:before="20" w:after="20"/>
              <w:rPr>
                <w:sz w:val="17"/>
              </w:rPr>
            </w:pPr>
            <w:r>
              <w:rPr>
                <w:b/>
                <w:sz w:val="17"/>
              </w:rPr>
              <w:t xml:space="preserve">Explained with</w:t>
            </w:r>
          </w:p>
        </w:tc>
      </w:tr>
      <w:tr>
        <w:tc>
          <w:tcPr>
            <w:tcW w:w="2426" w:type="dxa"/>
            <w:vAlign w:val="center"/>
          </w:tcPr>
          <w:p>
            <w:pPr>
              <w:spacing w:before="20" w:after="20"/>
              <w:rPr>
                <w:sz w:val="17"/>
              </w:rPr>
            </w:pPr>
            <w:r>
              <w:rPr>
                <w:sz w:val="17"/>
              </w:rPr>
              <w:t xml:space="preserve">Supervised, all labels</w:t>
            </w:r>
          </w:p>
        </w:tc>
        <w:tc>
          <w:tcPr>
            <w:tcW w:w="4411" w:type="dxa"/>
            <w:vAlign w:val="center"/>
          </w:tcPr>
          <w:p>
            <w:pPr>
              <w:spacing w:before="20" w:after="20"/>
              <w:rPr>
                <w:sz w:val="17"/>
              </w:rPr>
            </w:pPr>
            <w:r>
              <w:rPr>
                <w:sz w:val="17"/>
              </w:rPr>
              <w:t xml:space="preserve">decision tree (depth 3 or 4, chosen on validation), logistic regression, Random Forest (300 trees)</w:t>
            </w:r>
          </w:p>
        </w:tc>
        <w:tc>
          <w:tcPr>
            <w:tcW w:w="4411" w:type="dxa"/>
            <w:vAlign w:val="center"/>
          </w:tcPr>
          <w:p>
            <w:pPr>
              <w:spacing w:before="20" w:after="20"/>
              <w:rPr>
                <w:sz w:val="17"/>
              </w:rPr>
            </w:pPr>
            <w:r>
              <w:rPr>
                <w:sz w:val="17"/>
              </w:rPr>
              <w:t xml:space="preserve">tree rules, weights, SHAP TreeExplainer, LIME</w:t>
            </w:r>
          </w:p>
        </w:tc>
      </w:tr>
      <w:tr>
        <w:tc>
          <w:tcPr>
            <w:tcW w:w="2426" w:type="dxa"/>
            <w:vAlign w:val="center"/>
          </w:tcPr>
          <w:p>
            <w:pPr>
              <w:spacing w:before="20" w:after="20"/>
              <w:rPr>
                <w:sz w:val="17"/>
              </w:rPr>
            </w:pPr>
            <w:r>
              <w:rPr>
                <w:sz w:val="17"/>
              </w:rPr>
              <w:t xml:space="preserve">Semi-supervised, 5%</w:t>
            </w:r>
          </w:p>
        </w:tc>
        <w:tc>
          <w:tcPr>
            <w:tcW w:w="4411" w:type="dxa"/>
            <w:vAlign w:val="center"/>
          </w:tcPr>
          <w:p>
            <w:pPr>
              <w:spacing w:before="20" w:after="20"/>
              <w:rPr>
                <w:sz w:val="17"/>
              </w:rPr>
            </w:pPr>
            <w:r>
              <w:rPr>
                <w:sz w:val="17"/>
              </w:rPr>
              <w:t xml:space="preserve">forest on the 5% only (lower line); forest with 3 rounds of pseudo-labels (CUTOFF 0.9)</w:t>
            </w:r>
          </w:p>
        </w:tc>
        <w:tc>
          <w:tcPr>
            <w:tcW w:w="4411" w:type="dxa"/>
            <w:vAlign w:val="center"/>
          </w:tcPr>
          <w:p>
            <w:pPr>
              <w:spacing w:before="20" w:after="20"/>
              <w:rPr>
                <w:sz w:val="17"/>
              </w:rPr>
            </w:pPr>
            <w:r>
              <w:rPr>
                <w:sz w:val="17"/>
              </w:rPr>
              <w:t xml:space="preserve">SHAP TreeExplainer</w:t>
            </w:r>
          </w:p>
        </w:tc>
      </w:tr>
      <w:tr>
        <w:tc>
          <w:tcPr>
            <w:tcW w:w="2426" w:type="dxa"/>
            <w:vAlign w:val="center"/>
          </w:tcPr>
          <w:p>
            <w:pPr>
              <w:spacing w:before="20" w:after="20"/>
              <w:rPr>
                <w:sz w:val="17"/>
              </w:rPr>
            </w:pPr>
            <w:r>
              <w:rPr>
                <w:sz w:val="17"/>
              </w:rPr>
              <w:t xml:space="preserve">Self-supervised, 5%</w:t>
            </w:r>
          </w:p>
        </w:tc>
        <w:tc>
          <w:tcPr>
            <w:tcW w:w="4411" w:type="dxa"/>
            <w:vAlign w:val="center"/>
          </w:tcPr>
          <w:p>
            <w:pPr>
              <w:spacing w:before="20" w:after="20"/>
              <w:rPr>
                <w:sz w:val="17"/>
              </w:rPr>
            </w:pPr>
            <w:r>
              <w:rPr>
                <w:sz w:val="17"/>
              </w:rPr>
              <w:t xml:space="preserve">logistic regression on the 5% (lower line); network that fills in 20% hidden values (32 hidden units) + logistic regression on the 5%</w:t>
            </w:r>
          </w:p>
        </w:tc>
        <w:tc>
          <w:tcPr>
            <w:tcW w:w="4411" w:type="dxa"/>
            <w:vAlign w:val="center"/>
          </w:tcPr>
          <w:p>
            <w:pPr>
              <w:spacing w:before="20" w:after="20"/>
              <w:rPr>
                <w:sz w:val="17"/>
              </w:rPr>
            </w:pPr>
            <w:r>
              <w:rPr>
                <w:sz w:val="17"/>
              </w:rPr>
              <w:t xml:space="preserve">SHAP permutation explainer (seed 42)</w:t>
            </w:r>
          </w:p>
        </w:tc>
      </w:tr>
      <w:tr>
        <w:tc>
          <w:tcPr>
            <w:tcW w:w="2426" w:type="dxa"/>
            <w:vAlign w:val="center"/>
          </w:tcPr>
          <w:p>
            <w:pPr>
              <w:spacing w:before="20" w:after="20"/>
              <w:rPr>
                <w:sz w:val="17"/>
              </w:rPr>
            </w:pPr>
            <w:r>
              <w:rPr>
                <w:sz w:val="17"/>
              </w:rPr>
              <w:t xml:space="preserve">Rules</w:t>
            </w:r>
          </w:p>
        </w:tc>
        <w:tc>
          <w:tcPr>
            <w:tcW w:w="4411" w:type="dxa"/>
            <w:vAlign w:val="center"/>
          </w:tcPr>
          <w:p>
            <w:pPr>
              <w:spacing w:before="20" w:after="20"/>
              <w:rPr>
                <w:sz w:val="17"/>
              </w:rPr>
            </w:pPr>
            <w:r>
              <w:rPr>
                <w:sz w:val="17"/>
              </w:rPr>
              <w:t xml:space="preserve">BRB on the top two SHAP features, 3 × 3 = 9 rules from training data, Evidential Reasoning</w:t>
            </w:r>
          </w:p>
        </w:tc>
        <w:tc>
          <w:tcPr>
            <w:tcW w:w="4411" w:type="dxa"/>
            <w:vAlign w:val="center"/>
          </w:tcPr>
          <w:p>
            <w:pPr>
              <w:spacing w:before="20" w:after="20"/>
              <w:rPr>
                <w:sz w:val="17"/>
              </w:rPr>
            </w:pPr>
            <w:r>
              <w:rPr>
                <w:sz w:val="17"/>
              </w:rPr>
              <w:t xml:space="preserve">the rules; LIME and SHAP KernelExplainer</w:t>
            </w:r>
          </w:p>
        </w:tc>
      </w:tr>
    </w:tbl>
    <w:p>
      <w:pPr>
        <w:spacing w:after="0"/>
        <w:rPr>
          <w:sz w:val="8"/>
        </w:rPr>
      </w:pPr>
    </w:p>
    <w:p>
      <w:pPr>
        <w:pStyle w:val="Heading2"/>
      </w:pPr>
      <w:r>
        <w:t xml:space="preserve">3. Results</w:t>
      </w:r>
    </w:p>
    <w:p>
      <w:pPr>
        <w:keepNext/>
        <w:spacing w:after="60"/>
        <w:rPr>
          <w:sz w:val="18"/>
        </w:rPr>
      </w:pPr>
      <w:r>
        <w:rPr>
          <w:i/>
          <w:sz w:val="18"/>
        </w:rPr>
        <w:t xml:space="preserve">Table 2. All seven detectors on the same 2,286 test URLs.</w:t>
      </w:r>
    </w:p>
    <w:tbl>
      <w:tblPr>
        <w:tblStyle w:val="TableGrid"/>
        <w:tblW w:w="11247" w:type="dxa"/>
        <w:tblLayout w:type="fixed"/>
      </w:tblPr>
      <w:tblGrid>
        <w:gridCol w:w="4115"/>
        <w:gridCol w:w="2195"/>
        <w:gridCol w:w="1646"/>
        <w:gridCol w:w="1920"/>
        <w:gridCol w:w="1371"/>
      </w:tblGrid>
      <w:tr>
        <w:trPr>
          <w:tblHeader/>
        </w:trPr>
        <w:tc>
          <w:tcPr>
            <w:tcW w:w="4115" w:type="dxa"/>
            <w:shd w:val="clear" w:color="auto" w:fill="E7E6E6"/>
            <w:vAlign w:val="center"/>
          </w:tcPr>
          <w:p>
            <w:pPr>
              <w:spacing w:before="20" w:after="20"/>
              <w:rPr>
                <w:sz w:val="17"/>
              </w:rPr>
            </w:pPr>
            <w:r>
              <w:rPr>
                <w:b/>
                <w:sz w:val="17"/>
              </w:rPr>
              <w:t xml:space="preserve">Model</w:t>
            </w:r>
          </w:p>
        </w:tc>
        <w:tc>
          <w:tcPr>
            <w:tcW w:w="2195" w:type="dxa"/>
            <w:shd w:val="clear" w:color="auto" w:fill="E7E6E6"/>
            <w:vAlign w:val="center"/>
          </w:tcPr>
          <w:p>
            <w:pPr>
              <w:spacing w:before="20" w:after="20"/>
              <w:rPr>
                <w:sz w:val="17"/>
              </w:rPr>
            </w:pPr>
            <w:r>
              <w:rPr>
                <w:b/>
                <w:sz w:val="17"/>
              </w:rPr>
              <w:t xml:space="preserve">Macro-F1</w:t>
            </w:r>
          </w:p>
        </w:tc>
        <w:tc>
          <w:tcPr>
            <w:tcW w:w="1646" w:type="dxa"/>
            <w:shd w:val="clear" w:color="auto" w:fill="E7E6E6"/>
            <w:vAlign w:val="center"/>
          </w:tcPr>
          <w:p>
            <w:pPr>
              <w:spacing w:before="20" w:after="20"/>
              <w:rPr>
                <w:sz w:val="17"/>
              </w:rPr>
            </w:pPr>
            <w:r>
              <w:rPr>
                <w:b/>
                <w:sz w:val="17"/>
              </w:rPr>
              <w:t xml:space="preserve">Recall</w:t>
            </w:r>
          </w:p>
        </w:tc>
        <w:tc>
          <w:tcPr>
            <w:tcW w:w="1920" w:type="dxa"/>
            <w:shd w:val="clear" w:color="auto" w:fill="E7E6E6"/>
            <w:vAlign w:val="center"/>
          </w:tcPr>
          <w:p>
            <w:pPr>
              <w:spacing w:before="20" w:after="20"/>
              <w:rPr>
                <w:sz w:val="17"/>
              </w:rPr>
            </w:pPr>
            <w:r>
              <w:rPr>
                <w:b/>
                <w:sz w:val="17"/>
              </w:rPr>
              <w:t xml:space="preserve">ROC-AUC</w:t>
            </w:r>
          </w:p>
        </w:tc>
        <w:tc>
          <w:tcPr>
            <w:tcW w:w="1371" w:type="dxa"/>
            <w:shd w:val="clear" w:color="auto" w:fill="E7E6E6"/>
            <w:vAlign w:val="center"/>
          </w:tcPr>
          <w:p>
            <w:pPr>
              <w:spacing w:before="20" w:after="20"/>
              <w:rPr>
                <w:sz w:val="17"/>
              </w:rPr>
            </w:pPr>
            <w:r>
              <w:rPr>
                <w:b/>
                <w:sz w:val="17"/>
              </w:rPr>
              <w:t xml:space="preserve">FAR</w:t>
            </w:r>
          </w:p>
        </w:tc>
      </w:tr>
      <w:tr>
        <w:tc>
          <w:tcPr>
            <w:tcW w:w="4115" w:type="dxa"/>
            <w:vAlign w:val="center"/>
          </w:tcPr>
          <w:p>
            <w:pPr>
              <w:spacing w:before="20" w:after="20"/>
              <w:rPr>
                <w:sz w:val="17"/>
              </w:rPr>
            </w:pPr>
            <w:r>
              <w:rPr>
                <w:sz w:val="17"/>
              </w:rPr>
              <w:t xml:space="preserve">tree</w:t>
            </w:r>
          </w:p>
        </w:tc>
        <w:tc>
          <w:tcPr>
            <w:tcW w:w="2195" w:type="dxa"/>
            <w:vAlign w:val="center"/>
          </w:tcPr>
          <w:p>
            <w:pPr>
              <w:spacing w:before="20" w:after="20"/>
              <w:rPr>
                <w:sz w:val="17"/>
              </w:rPr>
            </w:pPr>
            <w:r>
              <w:rPr>
                <w:sz w:val="17"/>
              </w:rPr>
              <w:t xml:space="preserve">0.927</w:t>
            </w:r>
          </w:p>
        </w:tc>
        <w:tc>
          <w:tcPr>
            <w:tcW w:w="1646" w:type="dxa"/>
            <w:vAlign w:val="center"/>
          </w:tcPr>
          <w:p>
            <w:pPr>
              <w:spacing w:before="20" w:after="20"/>
              <w:rPr>
                <w:sz w:val="17"/>
              </w:rPr>
            </w:pPr>
            <w:r>
              <w:rPr>
                <w:sz w:val="17"/>
              </w:rPr>
              <w:t xml:space="preserve">0.912</w:t>
            </w:r>
          </w:p>
        </w:tc>
        <w:tc>
          <w:tcPr>
            <w:tcW w:w="1920" w:type="dxa"/>
            <w:vAlign w:val="center"/>
          </w:tcPr>
          <w:p>
            <w:pPr>
              <w:spacing w:before="20" w:after="20"/>
              <w:rPr>
                <w:sz w:val="17"/>
              </w:rPr>
            </w:pPr>
            <w:r>
              <w:rPr>
                <w:sz w:val="17"/>
              </w:rPr>
              <w:t xml:space="preserve">0.953</w:t>
            </w:r>
          </w:p>
        </w:tc>
        <w:tc>
          <w:tcPr>
            <w:tcW w:w="1371" w:type="dxa"/>
            <w:vAlign w:val="center"/>
          </w:tcPr>
          <w:p>
            <w:pPr>
              <w:spacing w:before="20" w:after="20"/>
              <w:rPr>
                <w:sz w:val="17"/>
              </w:rPr>
            </w:pPr>
            <w:r>
              <w:rPr>
                <w:sz w:val="17"/>
              </w:rPr>
              <w:t xml:space="preserve">0.057</w:t>
            </w:r>
          </w:p>
        </w:tc>
      </w:tr>
      <w:tr>
        <w:tc>
          <w:tcPr>
            <w:tcW w:w="4115" w:type="dxa"/>
            <w:vAlign w:val="center"/>
          </w:tcPr>
          <w:p>
            <w:pPr>
              <w:spacing w:before="20" w:after="20"/>
              <w:rPr>
                <w:sz w:val="17"/>
              </w:rPr>
            </w:pPr>
            <w:r>
              <w:rPr>
                <w:sz w:val="17"/>
              </w:rPr>
              <w:t xml:space="preserve">logreg</w:t>
            </w:r>
          </w:p>
        </w:tc>
        <w:tc>
          <w:tcPr>
            <w:tcW w:w="2195" w:type="dxa"/>
            <w:vAlign w:val="center"/>
          </w:tcPr>
          <w:p>
            <w:pPr>
              <w:spacing w:before="20" w:after="20"/>
              <w:rPr>
                <w:sz w:val="17"/>
              </w:rPr>
            </w:pPr>
            <w:r>
              <w:rPr>
                <w:sz w:val="17"/>
              </w:rPr>
              <w:t xml:space="preserve">0.947</w:t>
            </w:r>
          </w:p>
        </w:tc>
        <w:tc>
          <w:tcPr>
            <w:tcW w:w="1646" w:type="dxa"/>
            <w:vAlign w:val="center"/>
          </w:tcPr>
          <w:p>
            <w:pPr>
              <w:spacing w:before="20" w:after="20"/>
              <w:rPr>
                <w:sz w:val="17"/>
              </w:rPr>
            </w:pPr>
            <w:r>
              <w:rPr>
                <w:sz w:val="17"/>
              </w:rPr>
              <w:t xml:space="preserve">0.943</w:t>
            </w:r>
          </w:p>
        </w:tc>
        <w:tc>
          <w:tcPr>
            <w:tcW w:w="1920" w:type="dxa"/>
            <w:vAlign w:val="center"/>
          </w:tcPr>
          <w:p>
            <w:pPr>
              <w:spacing w:before="20" w:after="20"/>
              <w:rPr>
                <w:sz w:val="17"/>
              </w:rPr>
            </w:pPr>
            <w:r>
              <w:rPr>
                <w:sz w:val="17"/>
              </w:rPr>
              <w:t xml:space="preserve">0.985</w:t>
            </w:r>
          </w:p>
        </w:tc>
        <w:tc>
          <w:tcPr>
            <w:tcW w:w="1371" w:type="dxa"/>
            <w:vAlign w:val="center"/>
          </w:tcPr>
          <w:p>
            <w:pPr>
              <w:spacing w:before="20" w:after="20"/>
              <w:rPr>
                <w:sz w:val="17"/>
              </w:rPr>
            </w:pPr>
            <w:r>
              <w:rPr>
                <w:sz w:val="17"/>
              </w:rPr>
              <w:t xml:space="preserve">0.050</w:t>
            </w:r>
          </w:p>
        </w:tc>
      </w:tr>
      <w:tr>
        <w:tc>
          <w:tcPr>
            <w:tcW w:w="4115" w:type="dxa"/>
            <w:vAlign w:val="center"/>
          </w:tcPr>
          <w:p>
            <w:pPr>
              <w:spacing w:before="20" w:after="20"/>
              <w:rPr>
                <w:sz w:val="17"/>
              </w:rPr>
            </w:pPr>
            <w:r>
              <w:rPr>
                <w:sz w:val="17"/>
              </w:rPr>
              <w:t xml:space="preserve">forest (100%)</w:t>
            </w:r>
          </w:p>
        </w:tc>
        <w:tc>
          <w:tcPr>
            <w:tcW w:w="2195" w:type="dxa"/>
            <w:vAlign w:val="center"/>
          </w:tcPr>
          <w:p>
            <w:pPr>
              <w:spacing w:before="20" w:after="20"/>
              <w:rPr>
                <w:sz w:val="17"/>
              </w:rPr>
            </w:pPr>
            <w:r>
              <w:rPr>
                <w:sz w:val="17"/>
              </w:rPr>
              <w:t xml:space="preserve">0.965</w:t>
            </w:r>
          </w:p>
        </w:tc>
        <w:tc>
          <w:tcPr>
            <w:tcW w:w="1646" w:type="dxa"/>
            <w:vAlign w:val="center"/>
          </w:tcPr>
          <w:p>
            <w:pPr>
              <w:spacing w:before="20" w:after="20"/>
              <w:rPr>
                <w:sz w:val="17"/>
              </w:rPr>
            </w:pPr>
            <w:r>
              <w:rPr>
                <w:sz w:val="17"/>
              </w:rPr>
              <w:t xml:space="preserve">0.968</w:t>
            </w:r>
          </w:p>
        </w:tc>
        <w:tc>
          <w:tcPr>
            <w:tcW w:w="1920" w:type="dxa"/>
            <w:vAlign w:val="center"/>
          </w:tcPr>
          <w:p>
            <w:pPr>
              <w:spacing w:before="20" w:after="20"/>
              <w:rPr>
                <w:sz w:val="17"/>
              </w:rPr>
            </w:pPr>
            <w:r>
              <w:rPr>
                <w:sz w:val="17"/>
              </w:rPr>
              <w:t xml:space="preserve">0.994</w:t>
            </w:r>
          </w:p>
        </w:tc>
        <w:tc>
          <w:tcPr>
            <w:tcW w:w="1371" w:type="dxa"/>
            <w:vAlign w:val="center"/>
          </w:tcPr>
          <w:p>
            <w:pPr>
              <w:spacing w:before="20" w:after="20"/>
              <w:rPr>
                <w:sz w:val="17"/>
              </w:rPr>
            </w:pPr>
            <w:r>
              <w:rPr>
                <w:sz w:val="17"/>
              </w:rPr>
              <w:t xml:space="preserve">0.038</w:t>
            </w:r>
          </w:p>
        </w:tc>
      </w:tr>
      <w:tr>
        <w:tc>
          <w:tcPr>
            <w:tcW w:w="4115" w:type="dxa"/>
            <w:vAlign w:val="center"/>
          </w:tcPr>
          <w:p>
            <w:pPr>
              <w:spacing w:before="20" w:after="20"/>
              <w:rPr>
                <w:sz w:val="17"/>
              </w:rPr>
            </w:pPr>
            <w:r>
              <w:rPr>
                <w:sz w:val="17"/>
              </w:rPr>
              <w:t xml:space="preserve">forest (5%)</w:t>
            </w:r>
          </w:p>
        </w:tc>
        <w:tc>
          <w:tcPr>
            <w:tcW w:w="2195" w:type="dxa"/>
            <w:vAlign w:val="center"/>
          </w:tcPr>
          <w:p>
            <w:pPr>
              <w:spacing w:before="20" w:after="20"/>
              <w:rPr>
                <w:sz w:val="17"/>
              </w:rPr>
            </w:pPr>
            <w:r>
              <w:rPr>
                <w:sz w:val="17"/>
              </w:rPr>
              <w:t xml:space="preserve">0.941</w:t>
            </w:r>
          </w:p>
        </w:tc>
        <w:tc>
          <w:tcPr>
            <w:tcW w:w="1646" w:type="dxa"/>
            <w:vAlign w:val="center"/>
          </w:tcPr>
          <w:p>
            <w:pPr>
              <w:spacing w:before="20" w:after="20"/>
              <w:rPr>
                <w:sz w:val="17"/>
              </w:rPr>
            </w:pPr>
            <w:r>
              <w:rPr>
                <w:sz w:val="17"/>
              </w:rPr>
              <w:t xml:space="preserve">0.942</w:t>
            </w:r>
          </w:p>
        </w:tc>
        <w:tc>
          <w:tcPr>
            <w:tcW w:w="1920" w:type="dxa"/>
            <w:vAlign w:val="center"/>
          </w:tcPr>
          <w:p>
            <w:pPr>
              <w:spacing w:before="20" w:after="20"/>
              <w:rPr>
                <w:sz w:val="17"/>
              </w:rPr>
            </w:pPr>
            <w:r>
              <w:rPr>
                <w:sz w:val="17"/>
              </w:rPr>
              <w:t xml:space="preserve">0.985</w:t>
            </w:r>
          </w:p>
        </w:tc>
        <w:tc>
          <w:tcPr>
            <w:tcW w:w="1371" w:type="dxa"/>
            <w:vAlign w:val="center"/>
          </w:tcPr>
          <w:p>
            <w:pPr>
              <w:spacing w:before="20" w:after="20"/>
              <w:rPr>
                <w:sz w:val="17"/>
              </w:rPr>
            </w:pPr>
            <w:r>
              <w:rPr>
                <w:sz w:val="17"/>
              </w:rPr>
              <w:t xml:space="preserve">0.061</w:t>
            </w:r>
          </w:p>
        </w:tc>
      </w:tr>
      <w:tr>
        <w:tc>
          <w:tcPr>
            <w:tcW w:w="4115" w:type="dxa"/>
            <w:vAlign w:val="center"/>
          </w:tcPr>
          <w:p>
            <w:pPr>
              <w:spacing w:before="20" w:after="20"/>
              <w:rPr>
                <w:sz w:val="17"/>
              </w:rPr>
            </w:pPr>
            <w:r>
              <w:rPr>
                <w:sz w:val="17"/>
              </w:rPr>
              <w:t xml:space="preserve">logreg (5%)</w:t>
            </w:r>
          </w:p>
        </w:tc>
        <w:tc>
          <w:tcPr>
            <w:tcW w:w="2195" w:type="dxa"/>
            <w:vAlign w:val="center"/>
          </w:tcPr>
          <w:p>
            <w:pPr>
              <w:spacing w:before="20" w:after="20"/>
              <w:rPr>
                <w:sz w:val="17"/>
              </w:rPr>
            </w:pPr>
            <w:r>
              <w:rPr>
                <w:sz w:val="17"/>
              </w:rPr>
              <w:t xml:space="preserve">0.912</w:t>
            </w:r>
          </w:p>
        </w:tc>
        <w:tc>
          <w:tcPr>
            <w:tcW w:w="1646" w:type="dxa"/>
            <w:vAlign w:val="center"/>
          </w:tcPr>
          <w:p>
            <w:pPr>
              <w:spacing w:before="20" w:after="20"/>
              <w:rPr>
                <w:sz w:val="17"/>
              </w:rPr>
            </w:pPr>
            <w:r>
              <w:rPr>
                <w:sz w:val="17"/>
              </w:rPr>
              <w:t xml:space="preserve">0.908</w:t>
            </w:r>
          </w:p>
        </w:tc>
        <w:tc>
          <w:tcPr>
            <w:tcW w:w="1920" w:type="dxa"/>
            <w:vAlign w:val="center"/>
          </w:tcPr>
          <w:p>
            <w:pPr>
              <w:spacing w:before="20" w:after="20"/>
              <w:rPr>
                <w:sz w:val="17"/>
              </w:rPr>
            </w:pPr>
            <w:r>
              <w:rPr>
                <w:sz w:val="17"/>
              </w:rPr>
              <w:t xml:space="preserve">0.963</w:t>
            </w:r>
          </w:p>
        </w:tc>
        <w:tc>
          <w:tcPr>
            <w:tcW w:w="1371" w:type="dxa"/>
            <w:vAlign w:val="center"/>
          </w:tcPr>
          <w:p>
            <w:pPr>
              <w:spacing w:before="20" w:after="20"/>
              <w:rPr>
                <w:sz w:val="17"/>
              </w:rPr>
            </w:pPr>
            <w:r>
              <w:rPr>
                <w:sz w:val="17"/>
              </w:rPr>
              <w:t xml:space="preserve">0.084</w:t>
            </w:r>
          </w:p>
        </w:tc>
      </w:tr>
      <w:tr>
        <w:tc>
          <w:tcPr>
            <w:tcW w:w="4115" w:type="dxa"/>
            <w:vAlign w:val="center"/>
          </w:tcPr>
          <w:p>
            <w:pPr>
              <w:spacing w:before="20" w:after="20"/>
              <w:rPr>
                <w:sz w:val="17"/>
              </w:rPr>
            </w:pPr>
            <w:r>
              <w:rPr>
                <w:sz w:val="17"/>
              </w:rPr>
              <w:t xml:space="preserve">semi-supervised</w:t>
            </w:r>
          </w:p>
        </w:tc>
        <w:tc>
          <w:tcPr>
            <w:tcW w:w="2195" w:type="dxa"/>
            <w:vAlign w:val="center"/>
          </w:tcPr>
          <w:p>
            <w:pPr>
              <w:spacing w:before="20" w:after="20"/>
              <w:rPr>
                <w:sz w:val="17"/>
              </w:rPr>
            </w:pPr>
            <w:r>
              <w:rPr>
                <w:sz w:val="17"/>
              </w:rPr>
              <w:t xml:space="preserve">0.934</w:t>
            </w:r>
          </w:p>
        </w:tc>
        <w:tc>
          <w:tcPr>
            <w:tcW w:w="1646" w:type="dxa"/>
            <w:vAlign w:val="center"/>
          </w:tcPr>
          <w:p>
            <w:pPr>
              <w:spacing w:before="20" w:after="20"/>
              <w:rPr>
                <w:sz w:val="17"/>
              </w:rPr>
            </w:pPr>
            <w:r>
              <w:rPr>
                <w:sz w:val="17"/>
              </w:rPr>
              <w:t xml:space="preserve">0.940</w:t>
            </w:r>
          </w:p>
        </w:tc>
        <w:tc>
          <w:tcPr>
            <w:tcW w:w="1920" w:type="dxa"/>
            <w:vAlign w:val="center"/>
          </w:tcPr>
          <w:p>
            <w:pPr>
              <w:spacing w:before="20" w:after="20"/>
              <w:rPr>
                <w:sz w:val="17"/>
              </w:rPr>
            </w:pPr>
            <w:r>
              <w:rPr>
                <w:sz w:val="17"/>
              </w:rPr>
              <w:t xml:space="preserve">0.980</w:t>
            </w:r>
          </w:p>
        </w:tc>
        <w:tc>
          <w:tcPr>
            <w:tcW w:w="1371" w:type="dxa"/>
            <w:vAlign w:val="center"/>
          </w:tcPr>
          <w:p>
            <w:pPr>
              <w:spacing w:before="20" w:after="20"/>
              <w:rPr>
                <w:sz w:val="17"/>
              </w:rPr>
            </w:pPr>
            <w:r>
              <w:rPr>
                <w:sz w:val="17"/>
              </w:rPr>
              <w:t xml:space="preserve">0.071</w:t>
            </w:r>
          </w:p>
        </w:tc>
      </w:tr>
      <w:tr>
        <w:tc>
          <w:tcPr>
            <w:tcW w:w="4115" w:type="dxa"/>
            <w:vAlign w:val="center"/>
          </w:tcPr>
          <w:p>
            <w:pPr>
              <w:spacing w:before="20" w:after="20"/>
              <w:rPr>
                <w:sz w:val="17"/>
              </w:rPr>
            </w:pPr>
            <w:r>
              <w:rPr>
                <w:sz w:val="17"/>
              </w:rPr>
              <w:t xml:space="preserve">self-supervised</w:t>
            </w:r>
          </w:p>
        </w:tc>
        <w:tc>
          <w:tcPr>
            <w:tcW w:w="2195" w:type="dxa"/>
            <w:vAlign w:val="center"/>
          </w:tcPr>
          <w:p>
            <w:pPr>
              <w:spacing w:before="20" w:after="20"/>
              <w:rPr>
                <w:sz w:val="17"/>
              </w:rPr>
            </w:pPr>
            <w:r>
              <w:rPr>
                <w:sz w:val="17"/>
              </w:rPr>
              <w:t xml:space="preserve">0.918</w:t>
            </w:r>
          </w:p>
        </w:tc>
        <w:tc>
          <w:tcPr>
            <w:tcW w:w="1646" w:type="dxa"/>
            <w:vAlign w:val="center"/>
          </w:tcPr>
          <w:p>
            <w:pPr>
              <w:spacing w:before="20" w:after="20"/>
              <w:rPr>
                <w:sz w:val="17"/>
              </w:rPr>
            </w:pPr>
            <w:r>
              <w:rPr>
                <w:sz w:val="17"/>
              </w:rPr>
              <w:t xml:space="preserve">0.922</w:t>
            </w:r>
          </w:p>
        </w:tc>
        <w:tc>
          <w:tcPr>
            <w:tcW w:w="1920" w:type="dxa"/>
            <w:vAlign w:val="center"/>
          </w:tcPr>
          <w:p>
            <w:pPr>
              <w:spacing w:before="20" w:after="20"/>
              <w:rPr>
                <w:sz w:val="17"/>
              </w:rPr>
            </w:pPr>
            <w:r>
              <w:rPr>
                <w:sz w:val="17"/>
              </w:rPr>
              <w:t xml:space="preserve">0.970</w:t>
            </w:r>
          </w:p>
        </w:tc>
        <w:tc>
          <w:tcPr>
            <w:tcW w:w="1371" w:type="dxa"/>
            <w:vAlign w:val="center"/>
          </w:tcPr>
          <w:p>
            <w:pPr>
              <w:spacing w:before="20" w:after="20"/>
              <w:rPr>
                <w:sz w:val="17"/>
              </w:rPr>
            </w:pPr>
            <w:r>
              <w:rPr>
                <w:sz w:val="17"/>
              </w:rPr>
              <w:t xml:space="preserve">0.087</w:t>
            </w:r>
          </w:p>
        </w:tc>
      </w:tr>
    </w:tbl>
    <w:p>
      <w:pPr>
        <w:spacing w:after="0"/>
        <w:rPr>
          <w:sz w:val="8"/>
        </w:rPr>
      </w:pPr>
    </w:p>
    <w:p>
      <w:pPr>
        <w:spacing w:after="120"/>
        <w:rPr>
          <w:sz w:val="20"/>
        </w:rPr>
      </w:pPr>
      <w:r>
        <w:rPr>
          <w:sz w:val="20"/>
        </w:rPr>
        <w:t xml:space="preserve">The forest with all labels is best on every metric (Table 2). With 5% of the labels, the plain forest stays closest to it. The pseudo-labels were mostly right (98.9% of 4,265), but less so each round (99.4% → 95.6%).</w:t>
      </w:r>
    </w:p>
    <w:p>
      <w:pPr>
        <w:keepNext/>
        <w:spacing w:after="60"/>
        <w:rPr>
          <w:sz w:val="18"/>
        </w:rPr>
      </w:pPr>
      <w:r>
        <w:rPr>
          <w:i/>
          <w:sz w:val="18"/>
        </w:rPr>
        <w:t xml:space="preserve">Table 3. The five most important features per model: tree importance, absolute logistic-regression weight, and mean |SHAP value| for the three black boxes.</w:t>
      </w:r>
    </w:p>
    <w:tbl>
      <w:tblPr>
        <w:tblStyle w:val="TableGrid"/>
        <w:tblW w:w="11247" w:type="dxa"/>
        <w:tblLayout w:type="fixed"/>
      </w:tblPr>
      <w:tblGrid>
        <w:gridCol w:w="362"/>
        <w:gridCol w:w="1572"/>
        <w:gridCol w:w="2298"/>
        <w:gridCol w:w="2177"/>
        <w:gridCol w:w="2419"/>
        <w:gridCol w:w="2419"/>
      </w:tblGrid>
      <w:tr>
        <w:trPr>
          <w:tblHeader/>
        </w:trPr>
        <w:tc>
          <w:tcPr>
            <w:tcW w:w="362" w:type="dxa"/>
            <w:shd w:val="clear" w:color="auto" w:fill="E7E6E6"/>
            <w:vAlign w:val="center"/>
          </w:tcPr>
          <w:p>
            <w:pPr>
              <w:spacing w:before="20" w:after="20"/>
              <w:rPr>
                <w:sz w:val="17"/>
              </w:rPr>
            </w:pPr>
            <w:r>
              <w:rPr>
                <w:b/>
                <w:sz w:val="17"/>
              </w:rPr>
              <w:t xml:space="preserve">#</w:t>
            </w:r>
          </w:p>
        </w:tc>
        <w:tc>
          <w:tcPr>
            <w:tcW w:w="1572" w:type="dxa"/>
            <w:shd w:val="clear" w:color="auto" w:fill="E7E6E6"/>
            <w:vAlign w:val="center"/>
          </w:tcPr>
          <w:p>
            <w:pPr>
              <w:spacing w:before="20" w:after="20"/>
              <w:rPr>
                <w:sz w:val="17"/>
              </w:rPr>
            </w:pPr>
            <w:r>
              <w:rPr>
                <w:b/>
                <w:sz w:val="17"/>
              </w:rPr>
              <w:t xml:space="preserve">Tree</w:t>
            </w:r>
          </w:p>
        </w:tc>
        <w:tc>
          <w:tcPr>
            <w:tcW w:w="2298" w:type="dxa"/>
            <w:shd w:val="clear" w:color="auto" w:fill="E7E6E6"/>
            <w:vAlign w:val="center"/>
          </w:tcPr>
          <w:p>
            <w:pPr>
              <w:spacing w:before="20" w:after="20"/>
              <w:rPr>
                <w:sz w:val="17"/>
              </w:rPr>
            </w:pPr>
            <w:r>
              <w:rPr>
                <w:b/>
                <w:sz w:val="17"/>
              </w:rPr>
              <w:t xml:space="preserve">Logistic regression</w:t>
            </w:r>
          </w:p>
        </w:tc>
        <w:tc>
          <w:tcPr>
            <w:tcW w:w="2177" w:type="dxa"/>
            <w:shd w:val="clear" w:color="auto" w:fill="E7E6E6"/>
            <w:vAlign w:val="center"/>
          </w:tcPr>
          <w:p>
            <w:pPr>
              <w:spacing w:before="20" w:after="20"/>
              <w:rPr>
                <w:sz w:val="17"/>
              </w:rPr>
            </w:pPr>
            <w:r>
              <w:rPr>
                <w:b/>
                <w:sz w:val="17"/>
              </w:rPr>
              <w:t xml:space="preserve">SHAP forest (100%)</w:t>
            </w:r>
          </w:p>
        </w:tc>
        <w:tc>
          <w:tcPr>
            <w:tcW w:w="2419" w:type="dxa"/>
            <w:shd w:val="clear" w:color="auto" w:fill="E7E6E6"/>
            <w:vAlign w:val="center"/>
          </w:tcPr>
          <w:p>
            <w:pPr>
              <w:spacing w:before="20" w:after="20"/>
              <w:rPr>
                <w:sz w:val="17"/>
              </w:rPr>
            </w:pPr>
            <w:r>
              <w:rPr>
                <w:b/>
                <w:sz w:val="17"/>
              </w:rPr>
              <w:t xml:space="preserve">SHAP semi-supervised</w:t>
            </w:r>
          </w:p>
        </w:tc>
        <w:tc>
          <w:tcPr>
            <w:tcW w:w="2419" w:type="dxa"/>
            <w:shd w:val="clear" w:color="auto" w:fill="E7E6E6"/>
            <w:vAlign w:val="center"/>
          </w:tcPr>
          <w:p>
            <w:pPr>
              <w:spacing w:before="20" w:after="20"/>
              <w:rPr>
                <w:sz w:val="17"/>
              </w:rPr>
            </w:pPr>
            <w:r>
              <w:rPr>
                <w:b/>
                <w:sz w:val="17"/>
              </w:rPr>
              <w:t xml:space="preserve">SHAP self-supervised</w:t>
            </w:r>
          </w:p>
        </w:tc>
      </w:tr>
      <w:tr>
        <w:tc>
          <w:tcPr>
            <w:tcW w:w="362" w:type="dxa"/>
            <w:vAlign w:val="center"/>
          </w:tcPr>
          <w:p>
            <w:pPr>
              <w:spacing w:before="20" w:after="20"/>
              <w:rPr>
                <w:sz w:val="17"/>
              </w:rPr>
            </w:pPr>
            <w:r>
              <w:rPr>
                <w:sz w:val="17"/>
              </w:rPr>
              <w:t xml:space="preserve">1</w:t>
            </w:r>
          </w:p>
        </w:tc>
        <w:tc>
          <w:tcPr>
            <w:tcW w:w="1572" w:type="dxa"/>
            <w:vAlign w:val="center"/>
          </w:tcPr>
          <w:p>
            <w:pPr>
              <w:spacing w:before="20" w:after="20"/>
              <w:rPr>
                <w:sz w:val="17"/>
              </w:rPr>
            </w:pPr>
            <w:r>
              <w:rPr>
                <w:sz w:val="17"/>
              </w:rPr>
              <w:t xml:space="preserve">google_index</w:t>
            </w:r>
          </w:p>
        </w:tc>
        <w:tc>
          <w:tcPr>
            <w:tcW w:w="2298" w:type="dxa"/>
            <w:vAlign w:val="center"/>
          </w:tcPr>
          <w:p>
            <w:pPr>
              <w:spacing w:before="20" w:after="20"/>
              <w:rPr>
                <w:sz w:val="17"/>
              </w:rPr>
            </w:pPr>
            <w:r>
              <w:rPr>
                <w:sz w:val="17"/>
              </w:rPr>
              <w:t xml:space="preserve">longest_words_raw</w:t>
            </w:r>
          </w:p>
        </w:tc>
        <w:tc>
          <w:tcPr>
            <w:tcW w:w="2177" w:type="dxa"/>
            <w:vAlign w:val="center"/>
          </w:tcPr>
          <w:p>
            <w:pPr>
              <w:spacing w:before="20" w:after="20"/>
              <w:rPr>
                <w:sz w:val="17"/>
              </w:rPr>
            </w:pPr>
            <w:r>
              <w:rPr>
                <w:sz w:val="17"/>
              </w:rPr>
              <w:t xml:space="preserve">google_index</w:t>
            </w:r>
          </w:p>
        </w:tc>
        <w:tc>
          <w:tcPr>
            <w:tcW w:w="2419" w:type="dxa"/>
            <w:vAlign w:val="center"/>
          </w:tcPr>
          <w:p>
            <w:pPr>
              <w:spacing w:before="20" w:after="20"/>
              <w:rPr>
                <w:sz w:val="17"/>
              </w:rPr>
            </w:pPr>
            <w:r>
              <w:rPr>
                <w:sz w:val="17"/>
              </w:rPr>
              <w:t xml:space="preserve">google_index</w:t>
            </w:r>
          </w:p>
        </w:tc>
        <w:tc>
          <w:tcPr>
            <w:tcW w:w="2419" w:type="dxa"/>
            <w:vAlign w:val="center"/>
          </w:tcPr>
          <w:p>
            <w:pPr>
              <w:spacing w:before="20" w:after="20"/>
              <w:rPr>
                <w:sz w:val="17"/>
              </w:rPr>
            </w:pPr>
            <w:r>
              <w:rPr>
                <w:sz w:val="17"/>
              </w:rPr>
              <w:t xml:space="preserve">google_index</w:t>
            </w:r>
          </w:p>
        </w:tc>
      </w:tr>
      <w:tr>
        <w:tc>
          <w:tcPr>
            <w:tcW w:w="362" w:type="dxa"/>
            <w:vAlign w:val="center"/>
          </w:tcPr>
          <w:p>
            <w:pPr>
              <w:spacing w:before="20" w:after="20"/>
              <w:rPr>
                <w:sz w:val="17"/>
              </w:rPr>
            </w:pPr>
            <w:r>
              <w:rPr>
                <w:sz w:val="17"/>
              </w:rPr>
              <w:t xml:space="preserve">2</w:t>
            </w:r>
          </w:p>
        </w:tc>
        <w:tc>
          <w:tcPr>
            <w:tcW w:w="1572" w:type="dxa"/>
            <w:vAlign w:val="center"/>
          </w:tcPr>
          <w:p>
            <w:pPr>
              <w:spacing w:before="20" w:after="20"/>
              <w:rPr>
                <w:sz w:val="17"/>
              </w:rPr>
            </w:pPr>
            <w:r>
              <w:rPr>
                <w:sz w:val="17"/>
              </w:rPr>
              <w:t xml:space="preserve">page_rank</w:t>
            </w:r>
          </w:p>
        </w:tc>
        <w:tc>
          <w:tcPr>
            <w:tcW w:w="2298" w:type="dxa"/>
            <w:vAlign w:val="center"/>
          </w:tcPr>
          <w:p>
            <w:pPr>
              <w:spacing w:before="20" w:after="20"/>
              <w:rPr>
                <w:sz w:val="17"/>
              </w:rPr>
            </w:pPr>
            <w:r>
              <w:rPr>
                <w:sz w:val="17"/>
              </w:rPr>
              <w:t xml:space="preserve">page_rank</w:t>
            </w:r>
          </w:p>
        </w:tc>
        <w:tc>
          <w:tcPr>
            <w:tcW w:w="2177" w:type="dxa"/>
            <w:vAlign w:val="center"/>
          </w:tcPr>
          <w:p>
            <w:pPr>
              <w:spacing w:before="20" w:after="20"/>
              <w:rPr>
                <w:sz w:val="17"/>
              </w:rPr>
            </w:pPr>
            <w:r>
              <w:rPr>
                <w:sz w:val="17"/>
              </w:rPr>
              <w:t xml:space="preserve">page_rank</w:t>
            </w:r>
          </w:p>
        </w:tc>
        <w:tc>
          <w:tcPr>
            <w:tcW w:w="2419" w:type="dxa"/>
            <w:vAlign w:val="center"/>
          </w:tcPr>
          <w:p>
            <w:pPr>
              <w:spacing w:before="20" w:after="20"/>
              <w:rPr>
                <w:sz w:val="17"/>
              </w:rPr>
            </w:pPr>
            <w:r>
              <w:rPr>
                <w:sz w:val="17"/>
              </w:rPr>
              <w:t xml:space="preserve">web_traffic</w:t>
            </w:r>
          </w:p>
        </w:tc>
        <w:tc>
          <w:tcPr>
            <w:tcW w:w="2419" w:type="dxa"/>
            <w:vAlign w:val="center"/>
          </w:tcPr>
          <w:p>
            <w:pPr>
              <w:spacing w:before="20" w:after="20"/>
              <w:rPr>
                <w:sz w:val="17"/>
              </w:rPr>
            </w:pPr>
            <w:r>
              <w:rPr>
                <w:sz w:val="17"/>
              </w:rPr>
              <w:t xml:space="preserve">nb_www</w:t>
            </w:r>
          </w:p>
        </w:tc>
      </w:tr>
      <w:tr>
        <w:tc>
          <w:tcPr>
            <w:tcW w:w="362" w:type="dxa"/>
            <w:vAlign w:val="center"/>
          </w:tcPr>
          <w:p>
            <w:pPr>
              <w:spacing w:before="20" w:after="20"/>
              <w:rPr>
                <w:sz w:val="17"/>
              </w:rPr>
            </w:pPr>
            <w:r>
              <w:rPr>
                <w:sz w:val="17"/>
              </w:rPr>
              <w:t xml:space="preserve">3</w:t>
            </w:r>
          </w:p>
        </w:tc>
        <w:tc>
          <w:tcPr>
            <w:tcW w:w="1572" w:type="dxa"/>
            <w:vAlign w:val="center"/>
          </w:tcPr>
          <w:p>
            <w:pPr>
              <w:spacing w:before="20" w:after="20"/>
              <w:rPr>
                <w:sz w:val="17"/>
              </w:rPr>
            </w:pPr>
            <w:r>
              <w:rPr>
                <w:sz w:val="17"/>
              </w:rPr>
              <w:t xml:space="preserve">nb_hyperlinks</w:t>
            </w:r>
          </w:p>
        </w:tc>
        <w:tc>
          <w:tcPr>
            <w:tcW w:w="2298" w:type="dxa"/>
            <w:vAlign w:val="center"/>
          </w:tcPr>
          <w:p>
            <w:pPr>
              <w:spacing w:before="20" w:after="20"/>
              <w:rPr>
                <w:sz w:val="17"/>
              </w:rPr>
            </w:pPr>
            <w:r>
              <w:rPr>
                <w:sz w:val="17"/>
              </w:rPr>
              <w:t xml:space="preserve">phish_hints</w:t>
            </w:r>
          </w:p>
        </w:tc>
        <w:tc>
          <w:tcPr>
            <w:tcW w:w="2177" w:type="dxa"/>
            <w:vAlign w:val="center"/>
          </w:tcPr>
          <w:p>
            <w:pPr>
              <w:spacing w:before="20" w:after="20"/>
              <w:rPr>
                <w:sz w:val="17"/>
              </w:rPr>
            </w:pPr>
            <w:r>
              <w:rPr>
                <w:sz w:val="17"/>
              </w:rPr>
              <w:t xml:space="preserve">nb_hyperlinks</w:t>
            </w:r>
          </w:p>
        </w:tc>
        <w:tc>
          <w:tcPr>
            <w:tcW w:w="2419" w:type="dxa"/>
            <w:vAlign w:val="center"/>
          </w:tcPr>
          <w:p>
            <w:pPr>
              <w:spacing w:before="20" w:after="20"/>
              <w:rPr>
                <w:sz w:val="17"/>
              </w:rPr>
            </w:pPr>
            <w:r>
              <w:rPr>
                <w:sz w:val="17"/>
              </w:rPr>
              <w:t xml:space="preserve">page_rank</w:t>
            </w:r>
          </w:p>
        </w:tc>
        <w:tc>
          <w:tcPr>
            <w:tcW w:w="2419" w:type="dxa"/>
            <w:vAlign w:val="center"/>
          </w:tcPr>
          <w:p>
            <w:pPr>
              <w:spacing w:before="20" w:after="20"/>
              <w:rPr>
                <w:sz w:val="17"/>
              </w:rPr>
            </w:pPr>
            <w:r>
              <w:rPr>
                <w:sz w:val="17"/>
              </w:rPr>
              <w:t xml:space="preserve">nb_hyphens</w:t>
            </w:r>
          </w:p>
        </w:tc>
      </w:tr>
      <w:tr>
        <w:tc>
          <w:tcPr>
            <w:tcW w:w="362" w:type="dxa"/>
            <w:vAlign w:val="center"/>
          </w:tcPr>
          <w:p>
            <w:pPr>
              <w:spacing w:before="20" w:after="20"/>
              <w:rPr>
                <w:sz w:val="17"/>
              </w:rPr>
            </w:pPr>
            <w:r>
              <w:rPr>
                <w:sz w:val="17"/>
              </w:rPr>
              <w:t xml:space="preserve">4</w:t>
            </w:r>
          </w:p>
        </w:tc>
        <w:tc>
          <w:tcPr>
            <w:tcW w:w="1572" w:type="dxa"/>
            <w:vAlign w:val="center"/>
          </w:tcPr>
          <w:p>
            <w:pPr>
              <w:spacing w:before="20" w:after="20"/>
              <w:rPr>
                <w:sz w:val="17"/>
              </w:rPr>
            </w:pPr>
            <w:r>
              <w:rPr>
                <w:sz w:val="17"/>
              </w:rPr>
              <w:t xml:space="preserve">nb_www</w:t>
            </w:r>
          </w:p>
        </w:tc>
        <w:tc>
          <w:tcPr>
            <w:tcW w:w="2298" w:type="dxa"/>
            <w:vAlign w:val="center"/>
          </w:tcPr>
          <w:p>
            <w:pPr>
              <w:spacing w:before="20" w:after="20"/>
              <w:rPr>
                <w:sz w:val="17"/>
              </w:rPr>
            </w:pPr>
            <w:r>
              <w:rPr>
                <w:sz w:val="17"/>
              </w:rPr>
              <w:t xml:space="preserve">google_index</w:t>
            </w:r>
          </w:p>
        </w:tc>
        <w:tc>
          <w:tcPr>
            <w:tcW w:w="2177" w:type="dxa"/>
            <w:vAlign w:val="center"/>
          </w:tcPr>
          <w:p>
            <w:pPr>
              <w:spacing w:before="20" w:after="20"/>
              <w:rPr>
                <w:sz w:val="17"/>
              </w:rPr>
            </w:pPr>
            <w:r>
              <w:rPr>
                <w:sz w:val="17"/>
              </w:rPr>
              <w:t xml:space="preserve">web_traffic</w:t>
            </w:r>
          </w:p>
        </w:tc>
        <w:tc>
          <w:tcPr>
            <w:tcW w:w="2419" w:type="dxa"/>
            <w:vAlign w:val="center"/>
          </w:tcPr>
          <w:p>
            <w:pPr>
              <w:spacing w:before="20" w:after="20"/>
              <w:rPr>
                <w:sz w:val="17"/>
              </w:rPr>
            </w:pPr>
            <w:r>
              <w:rPr>
                <w:sz w:val="17"/>
              </w:rPr>
              <w:t xml:space="preserve">nb_hyperlinks</w:t>
            </w:r>
          </w:p>
        </w:tc>
        <w:tc>
          <w:tcPr>
            <w:tcW w:w="2419" w:type="dxa"/>
            <w:vAlign w:val="center"/>
          </w:tcPr>
          <w:p>
            <w:pPr>
              <w:spacing w:before="20" w:after="20"/>
              <w:rPr>
                <w:sz w:val="17"/>
              </w:rPr>
            </w:pPr>
            <w:r>
              <w:rPr>
                <w:sz w:val="17"/>
              </w:rPr>
              <w:t xml:space="preserve">domain_age</w:t>
            </w:r>
          </w:p>
        </w:tc>
      </w:tr>
      <w:tr>
        <w:tc>
          <w:tcPr>
            <w:tcW w:w="362" w:type="dxa"/>
            <w:vAlign w:val="center"/>
          </w:tcPr>
          <w:p>
            <w:pPr>
              <w:spacing w:before="20" w:after="20"/>
              <w:rPr>
                <w:sz w:val="17"/>
              </w:rPr>
            </w:pPr>
            <w:r>
              <w:rPr>
                <w:sz w:val="17"/>
              </w:rPr>
              <w:t xml:space="preserve">5</w:t>
            </w:r>
          </w:p>
        </w:tc>
        <w:tc>
          <w:tcPr>
            <w:tcW w:w="1572" w:type="dxa"/>
            <w:vAlign w:val="center"/>
          </w:tcPr>
          <w:p>
            <w:pPr>
              <w:spacing w:before="20" w:after="20"/>
              <w:rPr>
                <w:sz w:val="17"/>
              </w:rPr>
            </w:pPr>
            <w:r>
              <w:rPr>
                <w:sz w:val="17"/>
              </w:rPr>
              <w:t xml:space="preserve">nb_qm</w:t>
            </w:r>
          </w:p>
        </w:tc>
        <w:tc>
          <w:tcPr>
            <w:tcW w:w="2298" w:type="dxa"/>
            <w:vAlign w:val="center"/>
          </w:tcPr>
          <w:p>
            <w:pPr>
              <w:spacing w:before="20" w:after="20"/>
              <w:rPr>
                <w:sz w:val="17"/>
              </w:rPr>
            </w:pPr>
            <w:r>
              <w:rPr>
                <w:sz w:val="17"/>
              </w:rPr>
              <w:t xml:space="preserve">avg_word_host</w:t>
            </w:r>
          </w:p>
        </w:tc>
        <w:tc>
          <w:tcPr>
            <w:tcW w:w="2177" w:type="dxa"/>
            <w:vAlign w:val="center"/>
          </w:tcPr>
          <w:p>
            <w:pPr>
              <w:spacing w:before="20" w:after="20"/>
              <w:rPr>
                <w:sz w:val="17"/>
              </w:rPr>
            </w:pPr>
            <w:r>
              <w:rPr>
                <w:sz w:val="17"/>
              </w:rPr>
              <w:t xml:space="preserve">nb_www</w:t>
            </w:r>
          </w:p>
        </w:tc>
        <w:tc>
          <w:tcPr>
            <w:tcW w:w="2419" w:type="dxa"/>
            <w:vAlign w:val="center"/>
          </w:tcPr>
          <w:p>
            <w:pPr>
              <w:spacing w:before="20" w:after="20"/>
              <w:rPr>
                <w:sz w:val="17"/>
              </w:rPr>
            </w:pPr>
            <w:r>
              <w:rPr>
                <w:sz w:val="17"/>
              </w:rPr>
              <w:t xml:space="preserve">nb_www</w:t>
            </w:r>
          </w:p>
        </w:tc>
        <w:tc>
          <w:tcPr>
            <w:tcW w:w="2419" w:type="dxa"/>
            <w:vAlign w:val="center"/>
          </w:tcPr>
          <w:p>
            <w:pPr>
              <w:spacing w:before="20" w:after="20"/>
              <w:rPr>
                <w:sz w:val="17"/>
              </w:rPr>
            </w:pPr>
            <w:r>
              <w:rPr>
                <w:sz w:val="17"/>
              </w:rPr>
              <w:t xml:space="preserve">page_rank</w:t>
            </w:r>
          </w:p>
        </w:tc>
      </w:tr>
    </w:tbl>
    <w:p>
      <w:pPr>
        <w:spacing w:after="0"/>
        <w:rPr>
          <w:sz w:val="8"/>
        </w:rPr>
      </w:pPr>
    </w:p>
    <w:p>
      <w:pPr>
        <w:keepNext/>
        <w:jc w:val="center"/>
        <w:spacing w:after="40"/>
      </w:pPr>
      <w:r>
        <w:drawing>
          <wp:inline distT="0" distB="0" distL="0" distR="0">
            <wp:extent cx="3314700" cy="1954302"/>
            <wp:docPr id="100" name="Picture 100"/>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8"/>
                    <a:stretch>
                      <a:fillRect/>
                    </a:stretch>
                  </pic:blipFill>
                  <pic:spPr>
                    <a:xfrm>
                      <a:off x="0" y="0"/>
                      <a:ext cx="3314700" cy="1954302"/>
                    </a:xfrm>
                    <a:prstGeom prst="rect">
                      <a:avLst/>
                    </a:prstGeom>
                  </pic:spPr>
                </pic:pic>
              </a:graphicData>
            </a:graphic>
          </wp:inline>
        </w:drawing>
      </w:r>
      <w:r>
        <w:t xml:space="preserve">  </w:t>
      </w:r>
      <w:r>
        <w:drawing>
          <wp:inline distT="0" distB="0" distL="0" distR="0">
            <wp:extent cx="3314700" cy="2167651"/>
            <wp:docPr id="101" name="Picture 101"/>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9"/>
                    <a:stretch>
                      <a:fillRect/>
                    </a:stretch>
                  </pic:blipFill>
                  <pic:spPr>
                    <a:xfrm>
                      <a:off x="0" y="0"/>
                      <a:ext cx="3314700" cy="2167651"/>
                    </a:xfrm>
                    <a:prstGeom prst="rect">
                      <a:avLst/>
                    </a:prstGeom>
                  </pic:spPr>
                </pic:pic>
              </a:graphicData>
            </a:graphic>
          </wp:inline>
        </w:drawing>
      </w:r>
    </w:p>
    <w:p>
      <w:pPr>
        <w:jc w:val="center"/>
        <w:rPr>
          <w:sz w:val="18"/>
        </w:rPr>
      </w:pPr>
      <w:r>
        <w:rPr>
          <w:i/>
          <w:sz w:val="18"/>
        </w:rPr>
        <w:t xml:space="preserve">Figure 1. Left: SHAP for the supervised forest on 500 test URLs (one dot per URL; red = high value, right = toward phishing). Right: LIME for the forest's most confident mistake, graphicsfairy.blogspot.ru (legitimate, P(phishing) = 0.950); LIME fit score 0.481.</w:t>
      </w:r>
    </w:p>
    <w:p>
      <w:pPr>
        <w:keepNext/>
        <w:spacing w:after="60"/>
        <w:rPr>
          <w:sz w:val="18"/>
        </w:rPr>
      </w:pPr>
      <w:r>
        <w:rPr>
          <w:i/>
          <w:sz w:val="18"/>
        </w:rPr>
        <w:t xml:space="preserve">Table 4. Testing the detector and the explanation. Ablation: forest without the 7 external features. Stability: how many of 5 LIME runs (seeds 0–4) give the same top-3 features; SHAP gave identical values 5 of 5 times on every URL.</w:t>
      </w:r>
    </w:p>
    <w:tbl>
      <w:tblPr>
        <w:tblStyle w:val="TableGrid"/>
        <w:tblW w:w="11250" w:type="dxa"/>
        <w:tblLayout w:type="fixed"/>
      </w:tblPr>
      <w:tblGrid>
        <w:gridCol w:w="5250"/>
        <w:gridCol w:w="6000"/>
      </w:tblGrid>
      <w:tr>
        <w:trPr>
          <w:tblHeader/>
        </w:trPr>
        <w:tc>
          <w:tcPr>
            <w:tcW w:w="5250" w:type="dxa"/>
            <w:shd w:val="clear" w:color="auto" w:fill="E7E6E6"/>
            <w:vAlign w:val="center"/>
          </w:tcPr>
          <w:p>
            <w:pPr>
              <w:spacing w:before="20" w:after="20"/>
              <w:rPr>
                <w:sz w:val="17"/>
              </w:rPr>
            </w:pPr>
            <w:r>
              <w:rPr>
                <w:b/>
                <w:sz w:val="17"/>
              </w:rPr>
              <w:t xml:space="preserve">Test</w:t>
            </w:r>
          </w:p>
        </w:tc>
        <w:tc>
          <w:tcPr>
            <w:tcW w:w="6000" w:type="dxa"/>
            <w:shd w:val="clear" w:color="auto" w:fill="E7E6E6"/>
            <w:vAlign w:val="center"/>
          </w:tcPr>
          <w:p>
            <w:pPr>
              <w:spacing w:before="20" w:after="20"/>
              <w:rPr>
                <w:sz w:val="17"/>
              </w:rPr>
            </w:pPr>
            <w:r>
              <w:rPr>
                <w:b/>
                <w:sz w:val="17"/>
              </w:rPr>
              <w:t xml:space="preserve">Result</w:t>
            </w:r>
          </w:p>
        </w:tc>
      </w:tr>
      <w:tr>
        <w:tc>
          <w:tcPr>
            <w:tcW w:w="5250" w:type="dxa"/>
            <w:vAlign w:val="center"/>
          </w:tcPr>
          <w:p>
            <w:pPr>
              <w:spacing w:before="20" w:after="20"/>
              <w:rPr>
                <w:sz w:val="17"/>
              </w:rPr>
            </w:pPr>
            <w:r>
              <w:rPr>
                <w:sz w:val="17"/>
              </w:rPr>
              <w:t xml:space="preserve">Ablation, macro-F1 / recall / FAR</w:t>
            </w:r>
          </w:p>
        </w:tc>
        <w:tc>
          <w:tcPr>
            <w:tcW w:w="6000" w:type="dxa"/>
            <w:vAlign w:val="center"/>
          </w:tcPr>
          <w:p>
            <w:pPr>
              <w:spacing w:before="20" w:after="20"/>
              <w:rPr>
                <w:sz w:val="17"/>
              </w:rPr>
            </w:pPr>
            <w:r>
              <w:rPr>
                <w:sz w:val="17"/>
              </w:rPr>
              <w:t xml:space="preserve">with external: 0.965 / 0.968 / 0.038; without: 0.944 / 0.940 / 0.052</w:t>
            </w:r>
          </w:p>
        </w:tc>
      </w:tr>
      <w:tr>
        <w:tc>
          <w:tcPr>
            <w:tcW w:w="5250" w:type="dxa"/>
            <w:vAlign w:val="center"/>
          </w:tcPr>
          <w:p>
            <w:pPr>
              <w:spacing w:before="20" w:after="20"/>
              <w:rPr>
                <w:sz w:val="17"/>
              </w:rPr>
            </w:pPr>
            <w:r>
              <w:rPr>
                <w:sz w:val="17"/>
              </w:rPr>
              <w:t xml:space="preserve">New top 5 without external features</w:t>
            </w:r>
          </w:p>
        </w:tc>
        <w:tc>
          <w:tcPr>
            <w:tcW w:w="6000" w:type="dxa"/>
            <w:vAlign w:val="center"/>
          </w:tcPr>
          <w:p>
            <w:pPr>
              <w:spacing w:before="20" w:after="20"/>
              <w:rPr>
                <w:sz w:val="17"/>
              </w:rPr>
            </w:pPr>
            <w:r>
              <w:rPr>
                <w:rFonts w:ascii="Consolas" w:hAnsi="Consolas"/>
                <w:sz w:val="17"/>
              </w:rPr>
              <w:t xml:space="preserve">nb_hyperlinks</w:t>
            </w:r>
            <w:r>
              <w:rPr>
                <w:sz w:val="17"/>
              </w:rPr>
              <w:t xml:space="preserve">, </w:t>
            </w:r>
            <w:r>
              <w:rPr>
                <w:rFonts w:ascii="Consolas" w:hAnsi="Consolas"/>
                <w:sz w:val="17"/>
              </w:rPr>
              <w:t xml:space="preserve">nb_www</w:t>
            </w:r>
            <w:r>
              <w:rPr>
                <w:sz w:val="17"/>
              </w:rPr>
              <w:t xml:space="preserve">, </w:t>
            </w:r>
            <w:r>
              <w:rPr>
                <w:rFonts w:ascii="Consolas" w:hAnsi="Consolas"/>
                <w:sz w:val="17"/>
              </w:rPr>
              <w:t xml:space="preserve">phish_hints</w:t>
            </w:r>
            <w:r>
              <w:rPr>
                <w:sz w:val="17"/>
              </w:rPr>
              <w:t xml:space="preserve">, </w:t>
            </w:r>
            <w:r>
              <w:rPr>
                <w:rFonts w:ascii="Consolas" w:hAnsi="Consolas"/>
                <w:sz w:val="17"/>
              </w:rPr>
              <w:t xml:space="preserve">safe_anchor</w:t>
            </w:r>
            <w:r>
              <w:rPr>
                <w:sz w:val="17"/>
              </w:rPr>
              <w:t xml:space="preserve">, </w:t>
            </w:r>
            <w:r>
              <w:rPr>
                <w:rFonts w:ascii="Consolas" w:hAnsi="Consolas"/>
                <w:sz w:val="17"/>
              </w:rPr>
              <w:t xml:space="preserve">ratio_extHyperlinks</w:t>
            </w:r>
          </w:p>
        </w:tc>
      </w:tr>
      <w:tr>
        <w:tc>
          <w:tcPr>
            <w:tcW w:w="5250" w:type="dxa"/>
            <w:vAlign w:val="center"/>
          </w:tcPr>
          <w:p>
            <w:pPr>
              <w:spacing w:before="20" w:after="20"/>
              <w:rPr>
                <w:sz w:val="17"/>
              </w:rPr>
            </w:pPr>
            <w:r>
              <w:rPr>
                <w:sz w:val="17"/>
              </w:rPr>
              <w:t xml:space="preserve">LIME stability (fit score)</w:t>
            </w:r>
          </w:p>
        </w:tc>
        <w:tc>
          <w:tcPr>
            <w:tcW w:w="6000" w:type="dxa"/>
            <w:vAlign w:val="center"/>
          </w:tcPr>
          <w:p>
            <w:pPr>
              <w:spacing w:before="20" w:after="20"/>
              <w:rPr>
                <w:sz w:val="17"/>
              </w:rPr>
            </w:pPr>
            <w:r>
              <w:rPr>
                <w:sz w:val="17"/>
              </w:rPr>
              <w:t xml:space="preserve">surest phishing URL 5 of 5 (0.62); surest legitimate 1 of 5 (0.41); the mistake 3 of 5 (0.46)</w:t>
            </w:r>
          </w:p>
        </w:tc>
      </w:tr>
    </w:tbl>
    <w:p>
      <w:pPr>
        <w:spacing w:after="0"/>
        <w:rPr>
          <w:sz w:val="8"/>
        </w:rPr>
      </w:pPr>
    </w:p>
    <w:p>
      <w:pPr>
        <w:spacing w:after="120"/>
        <w:rPr>
          <w:sz w:val="20"/>
        </w:rPr>
      </w:pPr>
      <w:r>
        <w:rPr>
          <w:b/>
          <w:sz w:val="20"/>
        </w:rPr>
        <w:t xml:space="preserve">BRB.</w:t>
      </w:r>
      <w:r>
        <w:rPr>
          <w:sz w:val="20"/>
        </w:rPr>
        <w:t xml:space="preserve"> The top SHAP feature, </w:t>
      </w:r>
      <w:r>
        <w:rPr>
          <w:rFonts w:ascii="Consolas" w:hAnsi="Consolas"/>
          <w:sz w:val="20"/>
        </w:rPr>
        <w:t xml:space="preserve">google_index</w:t>
      </w:r>
      <w:r>
        <w:rPr>
          <w:sz w:val="20"/>
        </w:rPr>
        <w:t xml:space="preserve">, is 0/1 and cannot have Low/Medium/High levels, so the antecedents are the next two: </w:t>
      </w:r>
      <w:r>
        <w:rPr>
          <w:b/>
          <w:sz w:val="20"/>
        </w:rPr>
        <w:t xml:space="preserve">page_rank</w:t>
      </w:r>
      <w:r>
        <w:rPr>
          <w:sz w:val="20"/>
        </w:rPr>
        <w:t xml:space="preserve"> (how well-linked the site is) and </w:t>
      </w:r>
      <w:r>
        <w:rPr>
          <w:b/>
          <w:sz w:val="20"/>
        </w:rPr>
        <w:t xml:space="preserve">nb_hyperlinks</w:t>
      </w:r>
      <w:r>
        <w:rPr>
          <w:sz w:val="20"/>
        </w:rPr>
        <w:t xml:space="preserve"> (how many links the page has). Ranking the features on 500 validation URLs instead of test URLs gives the same top 10 in the same order, so this choice does not leak test information. Referential values are the 5th percentile, median and 95th percentile of the training data (</w:t>
      </w:r>
      <w:r>
        <w:rPr>
          <w:rFonts w:ascii="Consolas" w:hAnsi="Consolas"/>
          <w:sz w:val="20"/>
        </w:rPr>
        <w:t xml:space="preserve">page_rank</w:t>
      </w:r>
      <w:r>
        <w:rPr>
          <w:sz w:val="20"/>
        </w:rPr>
        <w:t xml:space="preserve"> 0 / 3 / 8, </w:t>
      </w:r>
      <w:r>
        <w:rPr>
          <w:rFonts w:ascii="Consolas" w:hAnsi="Consolas"/>
          <w:sz w:val="20"/>
        </w:rPr>
        <w:t xml:space="preserve">nb_hyperlinks</w:t>
      </w:r>
      <w:r>
        <w:rPr>
          <w:sz w:val="20"/>
        </w:rPr>
        <w:t xml:space="preserve"> 0 / 33 / 325). Each rule's beliefs come from the share of phishing among the training URLs that activate it; the smallest rule is backed by 141 URLs (Table 5). Table 6 compares the BRB with models that see the same two features.</w:t>
      </w:r>
    </w:p>
    <w:p>
      <w:pPr>
        <w:keepNext/>
        <w:spacing w:after="60"/>
        <w:rPr>
          <w:sz w:val="18"/>
        </w:rPr>
      </w:pPr>
      <w:r>
        <w:rPr>
          <w:i/>
          <w:sz w:val="18"/>
        </w:rPr>
        <w:t xml:space="preserve">Table 5. The nine belief rules (beliefs in Low / Medium / High phishing risk) and their support in the training data.</w:t>
      </w:r>
    </w:p>
    <w:tbl>
      <w:tblPr>
        <w:tblStyle w:val="TableGrid"/>
        <w:tblW w:w="11246" w:type="dxa"/>
        <w:tblLayout w:type="fixed"/>
      </w:tblPr>
      <w:tblGrid>
        <w:gridCol w:w="918"/>
        <w:gridCol w:w="2066"/>
        <w:gridCol w:w="2984"/>
        <w:gridCol w:w="1147"/>
        <w:gridCol w:w="1377"/>
        <w:gridCol w:w="1147"/>
        <w:gridCol w:w="1607"/>
      </w:tblGrid>
      <w:tr>
        <w:trPr>
          <w:tblHeader/>
        </w:trPr>
        <w:tc>
          <w:tcPr>
            <w:tcW w:w="918" w:type="dxa"/>
            <w:shd w:val="clear" w:color="auto" w:fill="E7E6E6"/>
            <w:vAlign w:val="center"/>
          </w:tcPr>
          <w:p>
            <w:pPr>
              <w:spacing w:before="20" w:after="20"/>
              <w:rPr>
                <w:sz w:val="17"/>
              </w:rPr>
            </w:pPr>
            <w:r>
              <w:rPr>
                <w:b/>
                <w:sz w:val="17"/>
              </w:rPr>
              <w:t xml:space="preserve">Rule</w:t>
            </w:r>
          </w:p>
        </w:tc>
        <w:tc>
          <w:tcPr>
            <w:tcW w:w="2066" w:type="dxa"/>
            <w:shd w:val="clear" w:color="auto" w:fill="E7E6E6"/>
            <w:vAlign w:val="center"/>
          </w:tcPr>
          <w:p>
            <w:pPr>
              <w:spacing w:before="20" w:after="20"/>
              <w:rPr>
                <w:sz w:val="17"/>
              </w:rPr>
            </w:pPr>
            <w:r>
              <w:rPr>
                <w:b/>
                <w:sz w:val="17"/>
              </w:rPr>
              <w:t xml:space="preserve">page_rank</w:t>
            </w:r>
          </w:p>
        </w:tc>
        <w:tc>
          <w:tcPr>
            <w:tcW w:w="2984" w:type="dxa"/>
            <w:shd w:val="clear" w:color="auto" w:fill="E7E6E6"/>
            <w:vAlign w:val="center"/>
          </w:tcPr>
          <w:p>
            <w:pPr>
              <w:spacing w:before="20" w:after="20"/>
              <w:rPr>
                <w:sz w:val="17"/>
              </w:rPr>
            </w:pPr>
            <w:r>
              <w:rPr>
                <w:b/>
                <w:sz w:val="17"/>
              </w:rPr>
              <w:t xml:space="preserve">nb_hyperlinks</w:t>
            </w:r>
          </w:p>
        </w:tc>
        <w:tc>
          <w:tcPr>
            <w:tcW w:w="1147" w:type="dxa"/>
            <w:shd w:val="clear" w:color="auto" w:fill="E7E6E6"/>
            <w:vAlign w:val="center"/>
          </w:tcPr>
          <w:p>
            <w:pPr>
              <w:spacing w:before="20" w:after="20"/>
              <w:rPr>
                <w:sz w:val="17"/>
              </w:rPr>
            </w:pPr>
            <w:r>
              <w:rPr>
                <w:b/>
                <w:sz w:val="17"/>
              </w:rPr>
              <w:t xml:space="preserve">Low</w:t>
            </w:r>
          </w:p>
        </w:tc>
        <w:tc>
          <w:tcPr>
            <w:tcW w:w="1377" w:type="dxa"/>
            <w:shd w:val="clear" w:color="auto" w:fill="E7E6E6"/>
            <w:vAlign w:val="center"/>
          </w:tcPr>
          <w:p>
            <w:pPr>
              <w:spacing w:before="20" w:after="20"/>
              <w:rPr>
                <w:sz w:val="17"/>
              </w:rPr>
            </w:pPr>
            <w:r>
              <w:rPr>
                <w:b/>
                <w:sz w:val="17"/>
              </w:rPr>
              <w:t xml:space="preserve">Medium</w:t>
            </w:r>
          </w:p>
        </w:tc>
        <w:tc>
          <w:tcPr>
            <w:tcW w:w="1147" w:type="dxa"/>
            <w:shd w:val="clear" w:color="auto" w:fill="E7E6E6"/>
            <w:vAlign w:val="center"/>
          </w:tcPr>
          <w:p>
            <w:pPr>
              <w:spacing w:before="20" w:after="20"/>
              <w:rPr>
                <w:sz w:val="17"/>
              </w:rPr>
            </w:pPr>
            <w:r>
              <w:rPr>
                <w:b/>
                <w:sz w:val="17"/>
              </w:rPr>
              <w:t xml:space="preserve">High</w:t>
            </w:r>
          </w:p>
        </w:tc>
        <w:tc>
          <w:tcPr>
            <w:tcW w:w="1607" w:type="dxa"/>
            <w:shd w:val="clear" w:color="auto" w:fill="E7E6E6"/>
            <w:vAlign w:val="center"/>
          </w:tcPr>
          <w:p>
            <w:pPr>
              <w:spacing w:before="20" w:after="20"/>
              <w:rPr>
                <w:sz w:val="17"/>
              </w:rPr>
            </w:pPr>
            <w:r>
              <w:rPr>
                <w:b/>
                <w:sz w:val="17"/>
              </w:rPr>
              <w:t xml:space="preserve">Support</w:t>
            </w:r>
          </w:p>
        </w:tc>
      </w:tr>
      <w:tr>
        <w:tc>
          <w:tcPr>
            <w:tcW w:w="918" w:type="dxa"/>
            <w:vAlign w:val="center"/>
          </w:tcPr>
          <w:p>
            <w:pPr>
              <w:spacing w:before="20" w:after="20"/>
              <w:rPr>
                <w:sz w:val="17"/>
              </w:rPr>
            </w:pPr>
            <w:r>
              <w:rPr>
                <w:sz w:val="17"/>
              </w:rPr>
              <w:t xml:space="preserve">R1</w:t>
            </w:r>
          </w:p>
        </w:tc>
        <w:tc>
          <w:tcPr>
            <w:tcW w:w="2066" w:type="dxa"/>
            <w:vAlign w:val="center"/>
          </w:tcPr>
          <w:p>
            <w:pPr>
              <w:spacing w:before="20" w:after="20"/>
              <w:rPr>
                <w:sz w:val="17"/>
              </w:rPr>
            </w:pPr>
            <w:r>
              <w:rPr>
                <w:sz w:val="17"/>
              </w:rPr>
              <w:t xml:space="preserve">Low</w:t>
            </w:r>
          </w:p>
        </w:tc>
        <w:tc>
          <w:tcPr>
            <w:tcW w:w="2984" w:type="dxa"/>
            <w:vAlign w:val="center"/>
          </w:tcPr>
          <w:p>
            <w:pPr>
              <w:spacing w:before="20" w:after="20"/>
              <w:rPr>
                <w:sz w:val="17"/>
              </w:rPr>
            </w:pPr>
            <w:r>
              <w:rPr>
                <w:sz w:val="17"/>
              </w:rPr>
              <w:t xml:space="preserve">Low</w:t>
            </w:r>
          </w:p>
        </w:tc>
        <w:tc>
          <w:tcPr>
            <w:tcW w:w="1147" w:type="dxa"/>
            <w:vAlign w:val="center"/>
          </w:tcPr>
          <w:p>
            <w:pPr>
              <w:spacing w:before="20" w:after="20"/>
              <w:rPr>
                <w:sz w:val="17"/>
              </w:rPr>
            </w:pPr>
            <w:r>
              <w:rPr>
                <w:sz w:val="17"/>
              </w:rPr>
              <w:t xml:space="preserve">0.000</w:t>
            </w:r>
          </w:p>
        </w:tc>
        <w:tc>
          <w:tcPr>
            <w:tcW w:w="1377" w:type="dxa"/>
            <w:vAlign w:val="center"/>
          </w:tcPr>
          <w:p>
            <w:pPr>
              <w:spacing w:before="20" w:after="20"/>
              <w:rPr>
                <w:sz w:val="17"/>
              </w:rPr>
            </w:pPr>
            <w:r>
              <w:rPr>
                <w:sz w:val="17"/>
              </w:rPr>
              <w:t xml:space="preserve">0.114</w:t>
            </w:r>
          </w:p>
        </w:tc>
        <w:tc>
          <w:tcPr>
            <w:tcW w:w="1147" w:type="dxa"/>
            <w:vAlign w:val="center"/>
          </w:tcPr>
          <w:p>
            <w:pPr>
              <w:spacing w:before="20" w:after="20"/>
              <w:rPr>
                <w:sz w:val="17"/>
              </w:rPr>
            </w:pPr>
            <w:r>
              <w:rPr>
                <w:sz w:val="17"/>
              </w:rPr>
              <w:t xml:space="preserve">0.886</w:t>
            </w:r>
          </w:p>
        </w:tc>
        <w:tc>
          <w:tcPr>
            <w:tcW w:w="1607" w:type="dxa"/>
            <w:vAlign w:val="center"/>
          </w:tcPr>
          <w:p>
            <w:pPr>
              <w:spacing w:before="20" w:after="20"/>
              <w:rPr>
                <w:sz w:val="17"/>
              </w:rPr>
            </w:pPr>
            <w:r>
              <w:rPr>
                <w:sz w:val="17"/>
              </w:rPr>
              <w:t xml:space="preserve">1,106</w:t>
            </w:r>
          </w:p>
        </w:tc>
      </w:tr>
      <w:tr>
        <w:tc>
          <w:tcPr>
            <w:tcW w:w="918" w:type="dxa"/>
            <w:vAlign w:val="center"/>
          </w:tcPr>
          <w:p>
            <w:pPr>
              <w:spacing w:before="20" w:after="20"/>
              <w:rPr>
                <w:sz w:val="17"/>
              </w:rPr>
            </w:pPr>
            <w:r>
              <w:rPr>
                <w:sz w:val="17"/>
              </w:rPr>
              <w:t xml:space="preserve">R2</w:t>
            </w:r>
          </w:p>
        </w:tc>
        <w:tc>
          <w:tcPr>
            <w:tcW w:w="2066" w:type="dxa"/>
            <w:vAlign w:val="center"/>
          </w:tcPr>
          <w:p>
            <w:pPr>
              <w:spacing w:before="20" w:after="20"/>
              <w:rPr>
                <w:sz w:val="17"/>
              </w:rPr>
            </w:pPr>
            <w:r>
              <w:rPr>
                <w:sz w:val="17"/>
              </w:rPr>
              <w:t xml:space="preserve">Low</w:t>
            </w:r>
          </w:p>
        </w:tc>
        <w:tc>
          <w:tcPr>
            <w:tcW w:w="2984" w:type="dxa"/>
            <w:vAlign w:val="center"/>
          </w:tcPr>
          <w:p>
            <w:pPr>
              <w:spacing w:before="20" w:after="20"/>
              <w:rPr>
                <w:sz w:val="17"/>
              </w:rPr>
            </w:pPr>
            <w:r>
              <w:rPr>
                <w:sz w:val="17"/>
              </w:rPr>
              <w:t xml:space="preserve">Medium</w:t>
            </w:r>
          </w:p>
        </w:tc>
        <w:tc>
          <w:tcPr>
            <w:tcW w:w="1147" w:type="dxa"/>
            <w:vAlign w:val="center"/>
          </w:tcPr>
          <w:p>
            <w:pPr>
              <w:spacing w:before="20" w:after="20"/>
              <w:rPr>
                <w:sz w:val="17"/>
              </w:rPr>
            </w:pPr>
            <w:r>
              <w:rPr>
                <w:sz w:val="17"/>
              </w:rPr>
              <w:t xml:space="preserve">0.000</w:t>
            </w:r>
          </w:p>
        </w:tc>
        <w:tc>
          <w:tcPr>
            <w:tcW w:w="1377" w:type="dxa"/>
            <w:vAlign w:val="center"/>
          </w:tcPr>
          <w:p>
            <w:pPr>
              <w:spacing w:before="20" w:after="20"/>
              <w:rPr>
                <w:sz w:val="17"/>
              </w:rPr>
            </w:pPr>
            <w:r>
              <w:rPr>
                <w:sz w:val="17"/>
              </w:rPr>
              <w:t xml:space="preserve">0.318</w:t>
            </w:r>
          </w:p>
        </w:tc>
        <w:tc>
          <w:tcPr>
            <w:tcW w:w="1147" w:type="dxa"/>
            <w:vAlign w:val="center"/>
          </w:tcPr>
          <w:p>
            <w:pPr>
              <w:spacing w:before="20" w:after="20"/>
              <w:rPr>
                <w:sz w:val="17"/>
              </w:rPr>
            </w:pPr>
            <w:r>
              <w:rPr>
                <w:sz w:val="17"/>
              </w:rPr>
              <w:t xml:space="preserve">0.682</w:t>
            </w:r>
          </w:p>
        </w:tc>
        <w:tc>
          <w:tcPr>
            <w:tcW w:w="1607" w:type="dxa"/>
            <w:vAlign w:val="center"/>
          </w:tcPr>
          <w:p>
            <w:pPr>
              <w:spacing w:before="20" w:after="20"/>
              <w:rPr>
                <w:sz w:val="17"/>
              </w:rPr>
            </w:pPr>
            <w:r>
              <w:rPr>
                <w:sz w:val="17"/>
              </w:rPr>
              <w:t xml:space="preserve">960</w:t>
            </w:r>
          </w:p>
        </w:tc>
      </w:tr>
      <w:tr>
        <w:tc>
          <w:tcPr>
            <w:tcW w:w="918" w:type="dxa"/>
            <w:vAlign w:val="center"/>
          </w:tcPr>
          <w:p>
            <w:pPr>
              <w:spacing w:before="20" w:after="20"/>
              <w:rPr>
                <w:sz w:val="17"/>
              </w:rPr>
            </w:pPr>
            <w:r>
              <w:rPr>
                <w:sz w:val="17"/>
              </w:rPr>
              <w:t xml:space="preserve">R3</w:t>
            </w:r>
          </w:p>
        </w:tc>
        <w:tc>
          <w:tcPr>
            <w:tcW w:w="2066" w:type="dxa"/>
            <w:vAlign w:val="center"/>
          </w:tcPr>
          <w:p>
            <w:pPr>
              <w:spacing w:before="20" w:after="20"/>
              <w:rPr>
                <w:sz w:val="17"/>
              </w:rPr>
            </w:pPr>
            <w:r>
              <w:rPr>
                <w:sz w:val="17"/>
              </w:rPr>
              <w:t xml:space="preserve">Low</w:t>
            </w:r>
          </w:p>
        </w:tc>
        <w:tc>
          <w:tcPr>
            <w:tcW w:w="2984" w:type="dxa"/>
            <w:vAlign w:val="center"/>
          </w:tcPr>
          <w:p>
            <w:pPr>
              <w:spacing w:before="20" w:after="20"/>
              <w:rPr>
                <w:sz w:val="17"/>
              </w:rPr>
            </w:pPr>
            <w:r>
              <w:rPr>
                <w:sz w:val="17"/>
              </w:rPr>
              <w:t xml:space="preserve">High</w:t>
            </w:r>
          </w:p>
        </w:tc>
        <w:tc>
          <w:tcPr>
            <w:tcW w:w="1147" w:type="dxa"/>
            <w:vAlign w:val="center"/>
          </w:tcPr>
          <w:p>
            <w:pPr>
              <w:spacing w:before="20" w:after="20"/>
              <w:rPr>
                <w:sz w:val="17"/>
              </w:rPr>
            </w:pPr>
            <w:r>
              <w:rPr>
                <w:sz w:val="17"/>
              </w:rPr>
              <w:t xml:space="preserve">0.000</w:t>
            </w:r>
          </w:p>
        </w:tc>
        <w:tc>
          <w:tcPr>
            <w:tcW w:w="1377" w:type="dxa"/>
            <w:vAlign w:val="center"/>
          </w:tcPr>
          <w:p>
            <w:pPr>
              <w:spacing w:before="20" w:after="20"/>
              <w:rPr>
                <w:sz w:val="17"/>
              </w:rPr>
            </w:pPr>
            <w:r>
              <w:rPr>
                <w:sz w:val="17"/>
              </w:rPr>
              <w:t xml:space="preserve">0.752</w:t>
            </w:r>
          </w:p>
        </w:tc>
        <w:tc>
          <w:tcPr>
            <w:tcW w:w="1147" w:type="dxa"/>
            <w:vAlign w:val="center"/>
          </w:tcPr>
          <w:p>
            <w:pPr>
              <w:spacing w:before="20" w:after="20"/>
              <w:rPr>
                <w:sz w:val="17"/>
              </w:rPr>
            </w:pPr>
            <w:r>
              <w:rPr>
                <w:sz w:val="17"/>
              </w:rPr>
              <w:t xml:space="preserve">0.248</w:t>
            </w:r>
          </w:p>
        </w:tc>
        <w:tc>
          <w:tcPr>
            <w:tcW w:w="1607" w:type="dxa"/>
            <w:vAlign w:val="center"/>
          </w:tcPr>
          <w:p>
            <w:pPr>
              <w:spacing w:before="20" w:after="20"/>
              <w:rPr>
                <w:sz w:val="17"/>
              </w:rPr>
            </w:pPr>
            <w:r>
              <w:rPr>
                <w:sz w:val="17"/>
              </w:rPr>
              <w:t xml:space="preserve">141</w:t>
            </w:r>
          </w:p>
        </w:tc>
      </w:tr>
      <w:tr>
        <w:tc>
          <w:tcPr>
            <w:tcW w:w="918" w:type="dxa"/>
            <w:vAlign w:val="center"/>
          </w:tcPr>
          <w:p>
            <w:pPr>
              <w:spacing w:before="20" w:after="20"/>
              <w:rPr>
                <w:sz w:val="17"/>
              </w:rPr>
            </w:pPr>
            <w:r>
              <w:rPr>
                <w:sz w:val="17"/>
              </w:rPr>
              <w:t xml:space="preserve">R4</w:t>
            </w:r>
          </w:p>
        </w:tc>
        <w:tc>
          <w:tcPr>
            <w:tcW w:w="2066" w:type="dxa"/>
            <w:vAlign w:val="center"/>
          </w:tcPr>
          <w:p>
            <w:pPr>
              <w:spacing w:before="20" w:after="20"/>
              <w:rPr>
                <w:sz w:val="17"/>
              </w:rPr>
            </w:pPr>
            <w:r>
              <w:rPr>
                <w:sz w:val="17"/>
              </w:rPr>
              <w:t xml:space="preserve">Medium</w:t>
            </w:r>
          </w:p>
        </w:tc>
        <w:tc>
          <w:tcPr>
            <w:tcW w:w="2984" w:type="dxa"/>
            <w:vAlign w:val="center"/>
          </w:tcPr>
          <w:p>
            <w:pPr>
              <w:spacing w:before="20" w:after="20"/>
              <w:rPr>
                <w:sz w:val="17"/>
              </w:rPr>
            </w:pPr>
            <w:r>
              <w:rPr>
                <w:sz w:val="17"/>
              </w:rPr>
              <w:t xml:space="preserve">Low</w:t>
            </w:r>
          </w:p>
        </w:tc>
        <w:tc>
          <w:tcPr>
            <w:tcW w:w="1147" w:type="dxa"/>
            <w:vAlign w:val="center"/>
          </w:tcPr>
          <w:p>
            <w:pPr>
              <w:spacing w:before="20" w:after="20"/>
              <w:rPr>
                <w:sz w:val="17"/>
              </w:rPr>
            </w:pPr>
            <w:r>
              <w:rPr>
                <w:sz w:val="17"/>
              </w:rPr>
              <w:t xml:space="preserve">0.000</w:t>
            </w:r>
          </w:p>
        </w:tc>
        <w:tc>
          <w:tcPr>
            <w:tcW w:w="1377" w:type="dxa"/>
            <w:vAlign w:val="center"/>
          </w:tcPr>
          <w:p>
            <w:pPr>
              <w:spacing w:before="20" w:after="20"/>
              <w:rPr>
                <w:sz w:val="17"/>
              </w:rPr>
            </w:pPr>
            <w:r>
              <w:rPr>
                <w:sz w:val="17"/>
              </w:rPr>
              <w:t xml:space="preserve">0.630</w:t>
            </w:r>
          </w:p>
        </w:tc>
        <w:tc>
          <w:tcPr>
            <w:tcW w:w="1147" w:type="dxa"/>
            <w:vAlign w:val="center"/>
          </w:tcPr>
          <w:p>
            <w:pPr>
              <w:spacing w:before="20" w:after="20"/>
              <w:rPr>
                <w:sz w:val="17"/>
              </w:rPr>
            </w:pPr>
            <w:r>
              <w:rPr>
                <w:sz w:val="17"/>
              </w:rPr>
              <w:t xml:space="preserve">0.370</w:t>
            </w:r>
          </w:p>
        </w:tc>
        <w:tc>
          <w:tcPr>
            <w:tcW w:w="1607" w:type="dxa"/>
            <w:vAlign w:val="center"/>
          </w:tcPr>
          <w:p>
            <w:pPr>
              <w:spacing w:before="20" w:after="20"/>
              <w:rPr>
                <w:sz w:val="17"/>
              </w:rPr>
            </w:pPr>
            <w:r>
              <w:rPr>
                <w:sz w:val="17"/>
              </w:rPr>
              <w:t xml:space="preserve">854</w:t>
            </w:r>
          </w:p>
        </w:tc>
      </w:tr>
      <w:tr>
        <w:tc>
          <w:tcPr>
            <w:tcW w:w="918" w:type="dxa"/>
            <w:vAlign w:val="center"/>
          </w:tcPr>
          <w:p>
            <w:pPr>
              <w:spacing w:before="20" w:after="20"/>
              <w:rPr>
                <w:sz w:val="17"/>
              </w:rPr>
            </w:pPr>
            <w:r>
              <w:rPr>
                <w:sz w:val="17"/>
              </w:rPr>
              <w:t xml:space="preserve">R5</w:t>
            </w:r>
          </w:p>
        </w:tc>
        <w:tc>
          <w:tcPr>
            <w:tcW w:w="2066" w:type="dxa"/>
            <w:vAlign w:val="center"/>
          </w:tcPr>
          <w:p>
            <w:pPr>
              <w:spacing w:before="20" w:after="20"/>
              <w:rPr>
                <w:sz w:val="17"/>
              </w:rPr>
            </w:pPr>
            <w:r>
              <w:rPr>
                <w:sz w:val="17"/>
              </w:rPr>
              <w:t xml:space="preserve">Medium</w:t>
            </w:r>
          </w:p>
        </w:tc>
        <w:tc>
          <w:tcPr>
            <w:tcW w:w="2984" w:type="dxa"/>
            <w:vAlign w:val="center"/>
          </w:tcPr>
          <w:p>
            <w:pPr>
              <w:spacing w:before="20" w:after="20"/>
              <w:rPr>
                <w:sz w:val="17"/>
              </w:rPr>
            </w:pPr>
            <w:r>
              <w:rPr>
                <w:sz w:val="17"/>
              </w:rPr>
              <w:t xml:space="preserve">Medium</w:t>
            </w:r>
          </w:p>
        </w:tc>
        <w:tc>
          <w:tcPr>
            <w:tcW w:w="1147" w:type="dxa"/>
            <w:vAlign w:val="center"/>
          </w:tcPr>
          <w:p>
            <w:pPr>
              <w:spacing w:before="20" w:after="20"/>
              <w:rPr>
                <w:sz w:val="17"/>
              </w:rPr>
            </w:pPr>
            <w:r>
              <w:rPr>
                <w:sz w:val="17"/>
              </w:rPr>
              <w:t xml:space="preserve">0.426</w:t>
            </w:r>
          </w:p>
        </w:tc>
        <w:tc>
          <w:tcPr>
            <w:tcW w:w="1377" w:type="dxa"/>
            <w:vAlign w:val="center"/>
          </w:tcPr>
          <w:p>
            <w:pPr>
              <w:spacing w:before="20" w:after="20"/>
              <w:rPr>
                <w:sz w:val="17"/>
              </w:rPr>
            </w:pPr>
            <w:r>
              <w:rPr>
                <w:sz w:val="17"/>
              </w:rPr>
              <w:t xml:space="preserve">0.574</w:t>
            </w:r>
          </w:p>
        </w:tc>
        <w:tc>
          <w:tcPr>
            <w:tcW w:w="1147" w:type="dxa"/>
            <w:vAlign w:val="center"/>
          </w:tcPr>
          <w:p>
            <w:pPr>
              <w:spacing w:before="20" w:after="20"/>
              <w:rPr>
                <w:sz w:val="17"/>
              </w:rPr>
            </w:pPr>
            <w:r>
              <w:rPr>
                <w:sz w:val="17"/>
              </w:rPr>
              <w:t xml:space="preserve">0.000</w:t>
            </w:r>
          </w:p>
        </w:tc>
        <w:tc>
          <w:tcPr>
            <w:tcW w:w="1607" w:type="dxa"/>
            <w:vAlign w:val="center"/>
          </w:tcPr>
          <w:p>
            <w:pPr>
              <w:spacing w:before="20" w:after="20"/>
              <w:rPr>
                <w:sz w:val="17"/>
              </w:rPr>
            </w:pPr>
            <w:r>
              <w:rPr>
                <w:sz w:val="17"/>
              </w:rPr>
              <w:t xml:space="preserve">1,650</w:t>
            </w:r>
          </w:p>
        </w:tc>
      </w:tr>
      <w:tr>
        <w:tc>
          <w:tcPr>
            <w:tcW w:w="918" w:type="dxa"/>
            <w:vAlign w:val="center"/>
          </w:tcPr>
          <w:p>
            <w:pPr>
              <w:spacing w:before="20" w:after="20"/>
              <w:rPr>
                <w:sz w:val="17"/>
              </w:rPr>
            </w:pPr>
            <w:r>
              <w:rPr>
                <w:sz w:val="17"/>
              </w:rPr>
              <w:t xml:space="preserve">R6</w:t>
            </w:r>
          </w:p>
        </w:tc>
        <w:tc>
          <w:tcPr>
            <w:tcW w:w="2066" w:type="dxa"/>
            <w:vAlign w:val="center"/>
          </w:tcPr>
          <w:p>
            <w:pPr>
              <w:spacing w:before="20" w:after="20"/>
              <w:rPr>
                <w:sz w:val="17"/>
              </w:rPr>
            </w:pPr>
            <w:r>
              <w:rPr>
                <w:sz w:val="17"/>
              </w:rPr>
              <w:t xml:space="preserve">Medium</w:t>
            </w:r>
          </w:p>
        </w:tc>
        <w:tc>
          <w:tcPr>
            <w:tcW w:w="2984" w:type="dxa"/>
            <w:vAlign w:val="center"/>
          </w:tcPr>
          <w:p>
            <w:pPr>
              <w:spacing w:before="20" w:after="20"/>
              <w:rPr>
                <w:sz w:val="17"/>
              </w:rPr>
            </w:pPr>
            <w:r>
              <w:rPr>
                <w:sz w:val="17"/>
              </w:rPr>
              <w:t xml:space="preserve">High</w:t>
            </w:r>
          </w:p>
        </w:tc>
        <w:tc>
          <w:tcPr>
            <w:tcW w:w="1147" w:type="dxa"/>
            <w:vAlign w:val="center"/>
          </w:tcPr>
          <w:p>
            <w:pPr>
              <w:spacing w:before="20" w:after="20"/>
              <w:rPr>
                <w:sz w:val="17"/>
              </w:rPr>
            </w:pPr>
            <w:r>
              <w:rPr>
                <w:sz w:val="17"/>
              </w:rPr>
              <w:t xml:space="preserve">0.837</w:t>
            </w:r>
          </w:p>
        </w:tc>
        <w:tc>
          <w:tcPr>
            <w:tcW w:w="1377" w:type="dxa"/>
            <w:vAlign w:val="center"/>
          </w:tcPr>
          <w:p>
            <w:pPr>
              <w:spacing w:before="20" w:after="20"/>
              <w:rPr>
                <w:sz w:val="17"/>
              </w:rPr>
            </w:pPr>
            <w:r>
              <w:rPr>
                <w:sz w:val="17"/>
              </w:rPr>
              <w:t xml:space="preserve">0.163</w:t>
            </w:r>
          </w:p>
        </w:tc>
        <w:tc>
          <w:tcPr>
            <w:tcW w:w="1147" w:type="dxa"/>
            <w:vAlign w:val="center"/>
          </w:tcPr>
          <w:p>
            <w:pPr>
              <w:spacing w:before="20" w:after="20"/>
              <w:rPr>
                <w:sz w:val="17"/>
              </w:rPr>
            </w:pPr>
            <w:r>
              <w:rPr>
                <w:sz w:val="17"/>
              </w:rPr>
              <w:t xml:space="preserve">0.000</w:t>
            </w:r>
          </w:p>
        </w:tc>
        <w:tc>
          <w:tcPr>
            <w:tcW w:w="1607" w:type="dxa"/>
            <w:vAlign w:val="center"/>
          </w:tcPr>
          <w:p>
            <w:pPr>
              <w:spacing w:before="20" w:after="20"/>
              <w:rPr>
                <w:sz w:val="17"/>
              </w:rPr>
            </w:pPr>
            <w:r>
              <w:rPr>
                <w:sz w:val="17"/>
              </w:rPr>
              <w:t xml:space="preserve">627</w:t>
            </w:r>
          </w:p>
        </w:tc>
      </w:tr>
      <w:tr>
        <w:tc>
          <w:tcPr>
            <w:tcW w:w="918" w:type="dxa"/>
            <w:vAlign w:val="center"/>
          </w:tcPr>
          <w:p>
            <w:pPr>
              <w:spacing w:before="20" w:after="20"/>
              <w:rPr>
                <w:sz w:val="17"/>
              </w:rPr>
            </w:pPr>
            <w:r>
              <w:rPr>
                <w:sz w:val="17"/>
              </w:rPr>
              <w:t xml:space="preserve">R7</w:t>
            </w:r>
          </w:p>
        </w:tc>
        <w:tc>
          <w:tcPr>
            <w:tcW w:w="2066" w:type="dxa"/>
            <w:vAlign w:val="center"/>
          </w:tcPr>
          <w:p>
            <w:pPr>
              <w:spacing w:before="20" w:after="20"/>
              <w:rPr>
                <w:sz w:val="17"/>
              </w:rPr>
            </w:pPr>
            <w:r>
              <w:rPr>
                <w:sz w:val="17"/>
              </w:rPr>
              <w:t xml:space="preserve">High</w:t>
            </w:r>
          </w:p>
        </w:tc>
        <w:tc>
          <w:tcPr>
            <w:tcW w:w="2984" w:type="dxa"/>
            <w:vAlign w:val="center"/>
          </w:tcPr>
          <w:p>
            <w:pPr>
              <w:spacing w:before="20" w:after="20"/>
              <w:rPr>
                <w:sz w:val="17"/>
              </w:rPr>
            </w:pPr>
            <w:r>
              <w:rPr>
                <w:sz w:val="17"/>
              </w:rPr>
              <w:t xml:space="preserve">Low</w:t>
            </w:r>
          </w:p>
        </w:tc>
        <w:tc>
          <w:tcPr>
            <w:tcW w:w="1147" w:type="dxa"/>
            <w:vAlign w:val="center"/>
          </w:tcPr>
          <w:p>
            <w:pPr>
              <w:spacing w:before="20" w:after="20"/>
              <w:rPr>
                <w:sz w:val="17"/>
              </w:rPr>
            </w:pPr>
            <w:r>
              <w:rPr>
                <w:sz w:val="17"/>
              </w:rPr>
              <w:t xml:space="preserve">0.000</w:t>
            </w:r>
          </w:p>
        </w:tc>
        <w:tc>
          <w:tcPr>
            <w:tcW w:w="1377" w:type="dxa"/>
            <w:vAlign w:val="center"/>
          </w:tcPr>
          <w:p>
            <w:pPr>
              <w:spacing w:before="20" w:after="20"/>
              <w:rPr>
                <w:sz w:val="17"/>
              </w:rPr>
            </w:pPr>
            <w:r>
              <w:rPr>
                <w:sz w:val="17"/>
              </w:rPr>
              <w:t xml:space="preserve">0.768</w:t>
            </w:r>
          </w:p>
        </w:tc>
        <w:tc>
          <w:tcPr>
            <w:tcW w:w="1147" w:type="dxa"/>
            <w:vAlign w:val="center"/>
          </w:tcPr>
          <w:p>
            <w:pPr>
              <w:spacing w:before="20" w:after="20"/>
              <w:rPr>
                <w:sz w:val="17"/>
              </w:rPr>
            </w:pPr>
            <w:r>
              <w:rPr>
                <w:sz w:val="17"/>
              </w:rPr>
              <w:t xml:space="preserve">0.232</w:t>
            </w:r>
          </w:p>
        </w:tc>
        <w:tc>
          <w:tcPr>
            <w:tcW w:w="1607" w:type="dxa"/>
            <w:vAlign w:val="center"/>
          </w:tcPr>
          <w:p>
            <w:pPr>
              <w:spacing w:before="20" w:after="20"/>
              <w:rPr>
                <w:sz w:val="17"/>
              </w:rPr>
            </w:pPr>
            <w:r>
              <w:rPr>
                <w:sz w:val="17"/>
              </w:rPr>
              <w:t xml:space="preserve">344</w:t>
            </w:r>
          </w:p>
        </w:tc>
      </w:tr>
      <w:tr>
        <w:tc>
          <w:tcPr>
            <w:tcW w:w="918" w:type="dxa"/>
            <w:vAlign w:val="center"/>
          </w:tcPr>
          <w:p>
            <w:pPr>
              <w:spacing w:before="20" w:after="20"/>
              <w:rPr>
                <w:sz w:val="17"/>
              </w:rPr>
            </w:pPr>
            <w:r>
              <w:rPr>
                <w:sz w:val="17"/>
              </w:rPr>
              <w:t xml:space="preserve">R8</w:t>
            </w:r>
          </w:p>
        </w:tc>
        <w:tc>
          <w:tcPr>
            <w:tcW w:w="2066" w:type="dxa"/>
            <w:vAlign w:val="center"/>
          </w:tcPr>
          <w:p>
            <w:pPr>
              <w:spacing w:before="20" w:after="20"/>
              <w:rPr>
                <w:sz w:val="17"/>
              </w:rPr>
            </w:pPr>
            <w:r>
              <w:rPr>
                <w:sz w:val="17"/>
              </w:rPr>
              <w:t xml:space="preserve">High</w:t>
            </w:r>
          </w:p>
        </w:tc>
        <w:tc>
          <w:tcPr>
            <w:tcW w:w="2984" w:type="dxa"/>
            <w:vAlign w:val="center"/>
          </w:tcPr>
          <w:p>
            <w:pPr>
              <w:spacing w:before="20" w:after="20"/>
              <w:rPr>
                <w:sz w:val="17"/>
              </w:rPr>
            </w:pPr>
            <w:r>
              <w:rPr>
                <w:sz w:val="17"/>
              </w:rPr>
              <w:t xml:space="preserve">Medium</w:t>
            </w:r>
          </w:p>
        </w:tc>
        <w:tc>
          <w:tcPr>
            <w:tcW w:w="1147" w:type="dxa"/>
            <w:vAlign w:val="center"/>
          </w:tcPr>
          <w:p>
            <w:pPr>
              <w:spacing w:before="20" w:after="20"/>
              <w:rPr>
                <w:sz w:val="17"/>
              </w:rPr>
            </w:pPr>
            <w:r>
              <w:rPr>
                <w:sz w:val="17"/>
              </w:rPr>
              <w:t xml:space="preserve">0.582</w:t>
            </w:r>
          </w:p>
        </w:tc>
        <w:tc>
          <w:tcPr>
            <w:tcW w:w="1377" w:type="dxa"/>
            <w:vAlign w:val="center"/>
          </w:tcPr>
          <w:p>
            <w:pPr>
              <w:spacing w:before="20" w:after="20"/>
              <w:rPr>
                <w:sz w:val="17"/>
              </w:rPr>
            </w:pPr>
            <w:r>
              <w:rPr>
                <w:sz w:val="17"/>
              </w:rPr>
              <w:t xml:space="preserve">0.418</w:t>
            </w:r>
          </w:p>
        </w:tc>
        <w:tc>
          <w:tcPr>
            <w:tcW w:w="1147" w:type="dxa"/>
            <w:vAlign w:val="center"/>
          </w:tcPr>
          <w:p>
            <w:pPr>
              <w:spacing w:before="20" w:after="20"/>
              <w:rPr>
                <w:sz w:val="17"/>
              </w:rPr>
            </w:pPr>
            <w:r>
              <w:rPr>
                <w:sz w:val="17"/>
              </w:rPr>
              <w:t xml:space="preserve">0.000</w:t>
            </w:r>
          </w:p>
        </w:tc>
        <w:tc>
          <w:tcPr>
            <w:tcW w:w="1607" w:type="dxa"/>
            <w:vAlign w:val="center"/>
          </w:tcPr>
          <w:p>
            <w:pPr>
              <w:spacing w:before="20" w:after="20"/>
              <w:rPr>
                <w:sz w:val="17"/>
              </w:rPr>
            </w:pPr>
            <w:r>
              <w:rPr>
                <w:sz w:val="17"/>
              </w:rPr>
              <w:t xml:space="preserve">773</w:t>
            </w:r>
          </w:p>
        </w:tc>
      </w:tr>
      <w:tr>
        <w:tc>
          <w:tcPr>
            <w:tcW w:w="918" w:type="dxa"/>
            <w:vAlign w:val="center"/>
          </w:tcPr>
          <w:p>
            <w:pPr>
              <w:spacing w:before="20" w:after="20"/>
              <w:rPr>
                <w:sz w:val="17"/>
              </w:rPr>
            </w:pPr>
            <w:r>
              <w:rPr>
                <w:sz w:val="17"/>
              </w:rPr>
              <w:t xml:space="preserve">R9</w:t>
            </w:r>
          </w:p>
        </w:tc>
        <w:tc>
          <w:tcPr>
            <w:tcW w:w="2066" w:type="dxa"/>
            <w:vAlign w:val="center"/>
          </w:tcPr>
          <w:p>
            <w:pPr>
              <w:spacing w:before="20" w:after="20"/>
              <w:rPr>
                <w:sz w:val="17"/>
              </w:rPr>
            </w:pPr>
            <w:r>
              <w:rPr>
                <w:sz w:val="17"/>
              </w:rPr>
              <w:t xml:space="preserve">High</w:t>
            </w:r>
          </w:p>
        </w:tc>
        <w:tc>
          <w:tcPr>
            <w:tcW w:w="2984" w:type="dxa"/>
            <w:vAlign w:val="center"/>
          </w:tcPr>
          <w:p>
            <w:pPr>
              <w:spacing w:before="20" w:after="20"/>
              <w:rPr>
                <w:sz w:val="17"/>
              </w:rPr>
            </w:pPr>
            <w:r>
              <w:rPr>
                <w:sz w:val="17"/>
              </w:rPr>
              <w:t xml:space="preserve">High</w:t>
            </w:r>
          </w:p>
        </w:tc>
        <w:tc>
          <w:tcPr>
            <w:tcW w:w="1147" w:type="dxa"/>
            <w:vAlign w:val="center"/>
          </w:tcPr>
          <w:p>
            <w:pPr>
              <w:spacing w:before="20" w:after="20"/>
              <w:rPr>
                <w:sz w:val="17"/>
              </w:rPr>
            </w:pPr>
            <w:r>
              <w:rPr>
                <w:sz w:val="17"/>
              </w:rPr>
              <w:t xml:space="preserve">0.963</w:t>
            </w:r>
          </w:p>
        </w:tc>
        <w:tc>
          <w:tcPr>
            <w:tcW w:w="1377" w:type="dxa"/>
            <w:vAlign w:val="center"/>
          </w:tcPr>
          <w:p>
            <w:pPr>
              <w:spacing w:before="20" w:after="20"/>
              <w:rPr>
                <w:sz w:val="17"/>
              </w:rPr>
            </w:pPr>
            <w:r>
              <w:rPr>
                <w:sz w:val="17"/>
              </w:rPr>
              <w:t xml:space="preserve">0.037</w:t>
            </w:r>
          </w:p>
        </w:tc>
        <w:tc>
          <w:tcPr>
            <w:tcW w:w="1147" w:type="dxa"/>
            <w:vAlign w:val="center"/>
          </w:tcPr>
          <w:p>
            <w:pPr>
              <w:spacing w:before="20" w:after="20"/>
              <w:rPr>
                <w:sz w:val="17"/>
              </w:rPr>
            </w:pPr>
            <w:r>
              <w:rPr>
                <w:sz w:val="17"/>
              </w:rPr>
              <w:t xml:space="preserve">0.000</w:t>
            </w:r>
          </w:p>
        </w:tc>
        <w:tc>
          <w:tcPr>
            <w:tcW w:w="1607" w:type="dxa"/>
            <w:vAlign w:val="center"/>
          </w:tcPr>
          <w:p>
            <w:pPr>
              <w:spacing w:before="20" w:after="20"/>
              <w:rPr>
                <w:sz w:val="17"/>
              </w:rPr>
            </w:pPr>
            <w:r>
              <w:rPr>
                <w:sz w:val="17"/>
              </w:rPr>
              <w:t xml:space="preserve">403</w:t>
            </w:r>
          </w:p>
        </w:tc>
      </w:tr>
    </w:tbl>
    <w:p>
      <w:pPr>
        <w:spacing w:after="0"/>
        <w:rPr>
          <w:sz w:val="8"/>
        </w:rPr>
      </w:pPr>
    </w:p>
    <w:p>
      <w:pPr>
        <w:keepNext/>
        <w:spacing w:after="60"/>
        <w:rPr>
          <w:sz w:val="18"/>
        </w:rPr>
      </w:pPr>
      <w:r>
        <w:rPr>
          <w:i/>
          <w:sz w:val="18"/>
        </w:rPr>
        <w:t xml:space="preserve">Table 6. The BRB against models that see the same two features, and the full forest (test set).</w:t>
      </w:r>
    </w:p>
    <w:tbl>
      <w:tblPr>
        <w:tblStyle w:val="TableGrid"/>
        <w:tblW w:w="11248" w:type="dxa"/>
        <w:tblLayout w:type="fixed"/>
      </w:tblPr>
      <w:tblGrid>
        <w:gridCol w:w="5625"/>
        <w:gridCol w:w="1730"/>
        <w:gridCol w:w="1298"/>
        <w:gridCol w:w="1514"/>
        <w:gridCol w:w="1081"/>
      </w:tblGrid>
      <w:tr>
        <w:trPr>
          <w:tblHeader/>
        </w:trPr>
        <w:tc>
          <w:tcPr>
            <w:tcW w:w="5625" w:type="dxa"/>
            <w:shd w:val="clear" w:color="auto" w:fill="E7E6E6"/>
            <w:vAlign w:val="center"/>
          </w:tcPr>
          <w:p>
            <w:pPr>
              <w:spacing w:before="20" w:after="20"/>
              <w:rPr>
                <w:sz w:val="17"/>
              </w:rPr>
            </w:pPr>
            <w:r>
              <w:rPr>
                <w:b/>
                <w:sz w:val="17"/>
              </w:rPr>
              <w:t xml:space="preserve">Model</w:t>
            </w:r>
          </w:p>
        </w:tc>
        <w:tc>
          <w:tcPr>
            <w:tcW w:w="1730" w:type="dxa"/>
            <w:shd w:val="clear" w:color="auto" w:fill="E7E6E6"/>
            <w:vAlign w:val="center"/>
          </w:tcPr>
          <w:p>
            <w:pPr>
              <w:spacing w:before="20" w:after="20"/>
              <w:rPr>
                <w:sz w:val="17"/>
              </w:rPr>
            </w:pPr>
            <w:r>
              <w:rPr>
                <w:b/>
                <w:sz w:val="17"/>
              </w:rPr>
              <w:t xml:space="preserve">Macro-F1</w:t>
            </w:r>
          </w:p>
        </w:tc>
        <w:tc>
          <w:tcPr>
            <w:tcW w:w="1298" w:type="dxa"/>
            <w:shd w:val="clear" w:color="auto" w:fill="E7E6E6"/>
            <w:vAlign w:val="center"/>
          </w:tcPr>
          <w:p>
            <w:pPr>
              <w:spacing w:before="20" w:after="20"/>
              <w:rPr>
                <w:sz w:val="17"/>
              </w:rPr>
            </w:pPr>
            <w:r>
              <w:rPr>
                <w:b/>
                <w:sz w:val="17"/>
              </w:rPr>
              <w:t xml:space="preserve">Recall</w:t>
            </w:r>
          </w:p>
        </w:tc>
        <w:tc>
          <w:tcPr>
            <w:tcW w:w="1514" w:type="dxa"/>
            <w:shd w:val="clear" w:color="auto" w:fill="E7E6E6"/>
            <w:vAlign w:val="center"/>
          </w:tcPr>
          <w:p>
            <w:pPr>
              <w:spacing w:before="20" w:after="20"/>
              <w:rPr>
                <w:sz w:val="17"/>
              </w:rPr>
            </w:pPr>
            <w:r>
              <w:rPr>
                <w:b/>
                <w:sz w:val="17"/>
              </w:rPr>
              <w:t xml:space="preserve">ROC-AUC</w:t>
            </w:r>
          </w:p>
        </w:tc>
        <w:tc>
          <w:tcPr>
            <w:tcW w:w="1081" w:type="dxa"/>
            <w:shd w:val="clear" w:color="auto" w:fill="E7E6E6"/>
            <w:vAlign w:val="center"/>
          </w:tcPr>
          <w:p>
            <w:pPr>
              <w:spacing w:before="20" w:after="20"/>
              <w:rPr>
                <w:sz w:val="17"/>
              </w:rPr>
            </w:pPr>
            <w:r>
              <w:rPr>
                <w:b/>
                <w:sz w:val="17"/>
              </w:rPr>
              <w:t xml:space="preserve">FAR</w:t>
            </w:r>
          </w:p>
        </w:tc>
      </w:tr>
      <w:tr>
        <w:tc>
          <w:tcPr>
            <w:tcW w:w="5625" w:type="dxa"/>
            <w:vAlign w:val="center"/>
          </w:tcPr>
          <w:p>
            <w:pPr>
              <w:spacing w:before="20" w:after="20"/>
              <w:rPr>
                <w:sz w:val="17"/>
              </w:rPr>
            </w:pPr>
            <w:r>
              <w:rPr>
                <w:sz w:val="17"/>
              </w:rPr>
              <w:t xml:space="preserve">BRB, 2 features</w:t>
            </w:r>
          </w:p>
        </w:tc>
        <w:tc>
          <w:tcPr>
            <w:tcW w:w="1730" w:type="dxa"/>
            <w:vAlign w:val="center"/>
          </w:tcPr>
          <w:p>
            <w:pPr>
              <w:spacing w:before="20" w:after="20"/>
              <w:rPr>
                <w:sz w:val="17"/>
              </w:rPr>
            </w:pPr>
            <w:r>
              <w:rPr>
                <w:sz w:val="17"/>
              </w:rPr>
              <w:t xml:space="preserve">0.802</w:t>
            </w:r>
          </w:p>
        </w:tc>
        <w:tc>
          <w:tcPr>
            <w:tcW w:w="1298" w:type="dxa"/>
            <w:vAlign w:val="center"/>
          </w:tcPr>
          <w:p>
            <w:pPr>
              <w:spacing w:before="20" w:after="20"/>
              <w:rPr>
                <w:sz w:val="17"/>
              </w:rPr>
            </w:pPr>
            <w:r>
              <w:rPr>
                <w:sz w:val="17"/>
              </w:rPr>
              <w:t xml:space="preserve">0.773</w:t>
            </w:r>
          </w:p>
        </w:tc>
        <w:tc>
          <w:tcPr>
            <w:tcW w:w="1514" w:type="dxa"/>
            <w:vAlign w:val="center"/>
          </w:tcPr>
          <w:p>
            <w:pPr>
              <w:spacing w:before="20" w:after="20"/>
              <w:rPr>
                <w:sz w:val="17"/>
              </w:rPr>
            </w:pPr>
            <w:r>
              <w:rPr>
                <w:sz w:val="17"/>
              </w:rPr>
              <w:t xml:space="preserve">0.914</w:t>
            </w:r>
          </w:p>
        </w:tc>
        <w:tc>
          <w:tcPr>
            <w:tcW w:w="1081" w:type="dxa"/>
            <w:vAlign w:val="center"/>
          </w:tcPr>
          <w:p>
            <w:pPr>
              <w:spacing w:before="20" w:after="20"/>
              <w:rPr>
                <w:sz w:val="17"/>
              </w:rPr>
            </w:pPr>
            <w:r>
              <w:rPr>
                <w:sz w:val="17"/>
              </w:rPr>
              <w:t xml:space="preserve">0.169</w:t>
            </w:r>
          </w:p>
        </w:tc>
      </w:tr>
      <w:tr>
        <w:tc>
          <w:tcPr>
            <w:tcW w:w="5625" w:type="dxa"/>
            <w:vAlign w:val="center"/>
          </w:tcPr>
          <w:p>
            <w:pPr>
              <w:spacing w:before="20" w:after="20"/>
              <w:rPr>
                <w:sz w:val="17"/>
              </w:rPr>
            </w:pPr>
            <w:r>
              <w:rPr>
                <w:sz w:val="17"/>
              </w:rPr>
              <w:t xml:space="preserve">tree (depth 2), 2 features</w:t>
            </w:r>
          </w:p>
        </w:tc>
        <w:tc>
          <w:tcPr>
            <w:tcW w:w="1730" w:type="dxa"/>
            <w:vAlign w:val="center"/>
          </w:tcPr>
          <w:p>
            <w:pPr>
              <w:spacing w:before="20" w:after="20"/>
              <w:rPr>
                <w:sz w:val="17"/>
              </w:rPr>
            </w:pPr>
            <w:r>
              <w:rPr>
                <w:sz w:val="17"/>
              </w:rPr>
              <w:t xml:space="preserve">0.803</w:t>
            </w:r>
          </w:p>
        </w:tc>
        <w:tc>
          <w:tcPr>
            <w:tcW w:w="1298" w:type="dxa"/>
            <w:vAlign w:val="center"/>
          </w:tcPr>
          <w:p>
            <w:pPr>
              <w:spacing w:before="20" w:after="20"/>
              <w:rPr>
                <w:sz w:val="17"/>
              </w:rPr>
            </w:pPr>
            <w:r>
              <w:rPr>
                <w:sz w:val="17"/>
              </w:rPr>
              <w:t xml:space="preserve">0.948</w:t>
            </w:r>
          </w:p>
        </w:tc>
        <w:tc>
          <w:tcPr>
            <w:tcW w:w="1514" w:type="dxa"/>
            <w:vAlign w:val="center"/>
          </w:tcPr>
          <w:p>
            <w:pPr>
              <w:spacing w:before="20" w:after="20"/>
              <w:rPr>
                <w:sz w:val="17"/>
              </w:rPr>
            </w:pPr>
            <w:r>
              <w:rPr>
                <w:sz w:val="17"/>
              </w:rPr>
              <w:t xml:space="preserve">0.885</w:t>
            </w:r>
          </w:p>
        </w:tc>
        <w:tc>
          <w:tcPr>
            <w:tcW w:w="1081" w:type="dxa"/>
            <w:vAlign w:val="center"/>
          </w:tcPr>
          <w:p>
            <w:pPr>
              <w:spacing w:before="20" w:after="20"/>
              <w:rPr>
                <w:sz w:val="17"/>
              </w:rPr>
            </w:pPr>
            <w:r>
              <w:rPr>
                <w:sz w:val="17"/>
              </w:rPr>
              <w:t xml:space="preserve">0.334</w:t>
            </w:r>
          </w:p>
        </w:tc>
      </w:tr>
      <w:tr>
        <w:tc>
          <w:tcPr>
            <w:tcW w:w="5625" w:type="dxa"/>
            <w:vAlign w:val="center"/>
          </w:tcPr>
          <w:p>
            <w:pPr>
              <w:spacing w:before="20" w:after="20"/>
              <w:rPr>
                <w:sz w:val="17"/>
              </w:rPr>
            </w:pPr>
            <w:r>
              <w:rPr>
                <w:sz w:val="17"/>
              </w:rPr>
              <w:t xml:space="preserve">forest, 2 features</w:t>
            </w:r>
          </w:p>
        </w:tc>
        <w:tc>
          <w:tcPr>
            <w:tcW w:w="1730" w:type="dxa"/>
            <w:vAlign w:val="center"/>
          </w:tcPr>
          <w:p>
            <w:pPr>
              <w:spacing w:before="20" w:after="20"/>
              <w:rPr>
                <w:sz w:val="17"/>
              </w:rPr>
            </w:pPr>
            <w:r>
              <w:rPr>
                <w:sz w:val="17"/>
              </w:rPr>
              <w:t xml:space="preserve">0.847</w:t>
            </w:r>
          </w:p>
        </w:tc>
        <w:tc>
          <w:tcPr>
            <w:tcW w:w="1298" w:type="dxa"/>
            <w:vAlign w:val="center"/>
          </w:tcPr>
          <w:p>
            <w:pPr>
              <w:spacing w:before="20" w:after="20"/>
              <w:rPr>
                <w:sz w:val="17"/>
              </w:rPr>
            </w:pPr>
            <w:r>
              <w:rPr>
                <w:sz w:val="17"/>
              </w:rPr>
              <w:t xml:space="preserve">0.842</w:t>
            </w:r>
          </w:p>
        </w:tc>
        <w:tc>
          <w:tcPr>
            <w:tcW w:w="1514" w:type="dxa"/>
            <w:vAlign w:val="center"/>
          </w:tcPr>
          <w:p>
            <w:pPr>
              <w:spacing w:before="20" w:after="20"/>
              <w:rPr>
                <w:sz w:val="17"/>
              </w:rPr>
            </w:pPr>
            <w:r>
              <w:rPr>
                <w:sz w:val="17"/>
              </w:rPr>
              <w:t xml:space="preserve">0.927</w:t>
            </w:r>
          </w:p>
        </w:tc>
        <w:tc>
          <w:tcPr>
            <w:tcW w:w="1081" w:type="dxa"/>
            <w:vAlign w:val="center"/>
          </w:tcPr>
          <w:p>
            <w:pPr>
              <w:spacing w:before="20" w:after="20"/>
              <w:rPr>
                <w:sz w:val="17"/>
              </w:rPr>
            </w:pPr>
            <w:r>
              <w:rPr>
                <w:sz w:val="17"/>
              </w:rPr>
              <w:t xml:space="preserve">0.148</w:t>
            </w:r>
          </w:p>
        </w:tc>
      </w:tr>
      <w:tr>
        <w:tc>
          <w:tcPr>
            <w:tcW w:w="5625" w:type="dxa"/>
            <w:vAlign w:val="center"/>
          </w:tcPr>
          <w:p>
            <w:pPr>
              <w:spacing w:before="20" w:after="20"/>
              <w:rPr>
                <w:sz w:val="17"/>
              </w:rPr>
            </w:pPr>
            <w:r>
              <w:rPr>
                <w:sz w:val="17"/>
              </w:rPr>
              <w:t xml:space="preserve">forest, all 87 features</w:t>
            </w:r>
          </w:p>
        </w:tc>
        <w:tc>
          <w:tcPr>
            <w:tcW w:w="1730" w:type="dxa"/>
            <w:vAlign w:val="center"/>
          </w:tcPr>
          <w:p>
            <w:pPr>
              <w:spacing w:before="20" w:after="20"/>
              <w:rPr>
                <w:sz w:val="17"/>
              </w:rPr>
            </w:pPr>
            <w:r>
              <w:rPr>
                <w:sz w:val="17"/>
              </w:rPr>
              <w:t xml:space="preserve">0.965</w:t>
            </w:r>
          </w:p>
        </w:tc>
        <w:tc>
          <w:tcPr>
            <w:tcW w:w="1298" w:type="dxa"/>
            <w:vAlign w:val="center"/>
          </w:tcPr>
          <w:p>
            <w:pPr>
              <w:spacing w:before="20" w:after="20"/>
              <w:rPr>
                <w:sz w:val="17"/>
              </w:rPr>
            </w:pPr>
            <w:r>
              <w:rPr>
                <w:sz w:val="17"/>
              </w:rPr>
              <w:t xml:space="preserve">0.968</w:t>
            </w:r>
          </w:p>
        </w:tc>
        <w:tc>
          <w:tcPr>
            <w:tcW w:w="1514" w:type="dxa"/>
            <w:vAlign w:val="center"/>
          </w:tcPr>
          <w:p>
            <w:pPr>
              <w:spacing w:before="20" w:after="20"/>
              <w:rPr>
                <w:sz w:val="17"/>
              </w:rPr>
            </w:pPr>
            <w:r>
              <w:rPr>
                <w:sz w:val="17"/>
              </w:rPr>
              <w:t xml:space="preserve">0.994</w:t>
            </w:r>
          </w:p>
        </w:tc>
        <w:tc>
          <w:tcPr>
            <w:tcW w:w="1081" w:type="dxa"/>
            <w:vAlign w:val="center"/>
          </w:tcPr>
          <w:p>
            <w:pPr>
              <w:spacing w:before="20" w:after="20"/>
              <w:rPr>
                <w:sz w:val="17"/>
              </w:rPr>
            </w:pPr>
            <w:r>
              <w:rPr>
                <w:sz w:val="17"/>
              </w:rPr>
              <w:t xml:space="preserve">0.038</w:t>
            </w:r>
          </w:p>
        </w:tc>
      </w:tr>
    </w:tbl>
    <w:p>
      <w:pPr>
        <w:spacing w:after="0"/>
        <w:rPr>
          <w:sz w:val="8"/>
        </w:rPr>
      </w:pPr>
    </w:p>
    <w:p>
      <w:pPr>
        <w:pStyle w:val="Heading2"/>
      </w:pPr>
      <w:r>
        <w:t xml:space="preserve">4. Discussion</w:t>
      </w:r>
    </w:p>
    <w:p>
      <w:pPr>
        <w:spacing w:after="120"/>
        <w:rPr>
          <w:sz w:val="20"/>
        </w:rPr>
      </w:pPr>
      <w:r>
        <w:rPr>
          <w:b/>
          <w:sz w:val="20"/>
        </w:rPr>
        <w:t xml:space="preserve">Did the unlabelled data help? No.</w:t>
      </w:r>
      <w:r>
        <w:rPr>
          <w:sz w:val="20"/>
        </w:rPr>
        <w:t xml:space="preserve"> The semi-supervised forest is below its lower line (macro-F1 0.934 vs 0.941) and raises more false alarms (FAR 0.071 vs 0.061): the few wrong pseudo-labels cost more than the extra data gains. This does not depend on the cutoff: with 0.85, 0.90 or 0.95 no version beats the forest on the 5% on validation. The self-supervised model is only slightly above its lower line (0.918 vs 0.912), a gap that one split and one seed cannot separate from noise. As the lab warned, a forest is already strong with 342 labels.</w:t>
      </w:r>
    </w:p>
    <w:p>
      <w:pPr>
        <w:spacing w:after="120"/>
        <w:rPr>
          <w:sz w:val="20"/>
        </w:rPr>
      </w:pPr>
      <w:r>
        <w:rPr>
          <w:b/>
          <w:sz w:val="20"/>
        </w:rPr>
        <w:t xml:space="preserve">Do the models look at the same clues? Mostly.</w:t>
      </w:r>
      <w:r>
        <w:rPr>
          <w:sz w:val="20"/>
        </w:rPr>
        <w:t xml:space="preserve"> </w:t>
      </w:r>
      <w:r>
        <w:rPr>
          <w:rFonts w:ascii="Consolas" w:hAnsi="Consolas"/>
          <w:sz w:val="20"/>
        </w:rPr>
        <w:t xml:space="preserve">google_index</w:t>
      </w:r>
      <w:r>
        <w:rPr>
          <w:sz w:val="20"/>
        </w:rPr>
        <w:t xml:space="preserve">, </w:t>
      </w:r>
      <w:r>
        <w:rPr>
          <w:rFonts w:ascii="Consolas" w:hAnsi="Consolas"/>
          <w:sz w:val="20"/>
        </w:rPr>
        <w:t xml:space="preserve">page_rank</w:t>
      </w:r>
      <w:r>
        <w:rPr>
          <w:sz w:val="20"/>
        </w:rPr>
        <w:t xml:space="preserve"> and </w:t>
      </w:r>
      <w:r>
        <w:rPr>
          <w:rFonts w:ascii="Consolas" w:hAnsi="Consolas"/>
          <w:sz w:val="20"/>
        </w:rPr>
        <w:t xml:space="preserve">nb_www</w:t>
      </w:r>
      <w:r>
        <w:rPr>
          <w:sz w:val="20"/>
        </w:rPr>
        <w:t xml:space="preserve"> are in all five top-10 lists (Table 3 shows the top 5), and </w:t>
      </w:r>
      <w:r>
        <w:rPr>
          <w:rFonts w:ascii="Consolas" w:hAnsi="Consolas"/>
          <w:sz w:val="20"/>
        </w:rPr>
        <w:t xml:space="preserve">nb_hyperlinks</w:t>
      </w:r>
      <w:r>
        <w:rPr>
          <w:sz w:val="20"/>
        </w:rPr>
        <w:t xml:space="preserve"> and </w:t>
      </w:r>
      <w:r>
        <w:rPr>
          <w:rFonts w:ascii="Consolas" w:hAnsi="Consolas"/>
          <w:sz w:val="20"/>
        </w:rPr>
        <w:t xml:space="preserve">phish_hints</w:t>
      </w:r>
      <w:r>
        <w:rPr>
          <w:sz w:val="20"/>
        </w:rPr>
        <w:t xml:space="preserve"> in four. The tree's first question is "has Google indexed this page?", and in the beeswarm the red dots of </w:t>
      </w:r>
      <w:r>
        <w:rPr>
          <w:rFonts w:ascii="Consolas" w:hAnsi="Consolas"/>
          <w:sz w:val="20"/>
        </w:rPr>
        <w:t xml:space="preserve">google_index</w:t>
      </w:r>
      <w:r>
        <w:rPr>
          <w:sz w:val="20"/>
        </w:rPr>
        <w:t xml:space="preserve"> (1 = </w:t>
      </w:r>
      <w:r>
        <w:rPr>
          <w:i/>
          <w:sz w:val="20"/>
        </w:rPr>
        <w:t xml:space="preserve">not</w:t>
      </w:r>
      <w:r>
        <w:rPr>
          <w:sz w:val="20"/>
        </w:rPr>
        <w:t xml:space="preserve"> indexed) are on the right: not being indexed is the forest's strongest reason to say phishing. The two forests share 8 of their top 10 features, which is expected because the pseudo-labels came from a forest. The self-supervised model shares only 5 with the forest and adds URL-text features (</w:t>
      </w:r>
      <w:r>
        <w:rPr>
          <w:rFonts w:ascii="Consolas" w:hAnsi="Consolas"/>
          <w:sz w:val="20"/>
        </w:rPr>
        <w:t xml:space="preserve">nb_hyphens</w:t>
      </w:r>
      <w:r>
        <w:rPr>
          <w:sz w:val="20"/>
        </w:rPr>
        <w:t xml:space="preserve">, </w:t>
      </w:r>
      <w:r>
        <w:rPr>
          <w:rFonts w:ascii="Consolas" w:hAnsi="Consolas"/>
          <w:sz w:val="20"/>
        </w:rPr>
        <w:t xml:space="preserve">prefix_suffix</w:t>
      </w:r>
      <w:r>
        <w:rPr>
          <w:sz w:val="20"/>
        </w:rPr>
        <w:t xml:space="preserve">, </w:t>
      </w:r>
      <w:r>
        <w:rPr>
          <w:rFonts w:ascii="Consolas" w:hAnsi="Consolas"/>
          <w:sz w:val="20"/>
        </w:rPr>
        <w:t xml:space="preserve">shortening_service</w:t>
      </w:r>
      <w:r>
        <w:rPr>
          <w:sz w:val="20"/>
        </w:rPr>
        <w:t xml:space="preserve">). Surprisingly, in its SHAP plot more hyphens push toward </w:t>
      </w:r>
      <w:r>
        <w:rPr>
          <w:i/>
          <w:sz w:val="20"/>
        </w:rPr>
        <w:t xml:space="preserve">legitimate</w:t>
      </w:r>
      <w:r>
        <w:rPr>
          <w:sz w:val="20"/>
        </w:rPr>
        <w:t xml:space="preserve">. The logistic regression is the odd one out (top weight </w:t>
      </w:r>
      <w:r>
        <w:rPr>
          <w:rFonts w:ascii="Consolas" w:hAnsi="Consolas"/>
          <w:sz w:val="20"/>
        </w:rPr>
        <w:t xml:space="preserve">longest_words_raw</w:t>
      </w:r>
      <w:r>
        <w:rPr>
          <w:sz w:val="20"/>
        </w:rPr>
        <w:t xml:space="preserve">) and uses 79 of its 87 weights, so this "glass box" is harder to read than its top 10 suggests. The tree, with 16 leaves, really is readable, but it misses more attacks (recall 0.912).</w:t>
      </w:r>
    </w:p>
    <w:p>
      <w:pPr>
        <w:spacing w:after="120"/>
        <w:rPr>
          <w:sz w:val="20"/>
        </w:rPr>
      </w:pPr>
      <w:r>
        <w:rPr>
          <w:b/>
          <w:sz w:val="20"/>
        </w:rPr>
        <w:t xml:space="preserve">What does the mistake show?</w:t>
      </w:r>
      <w:r>
        <w:rPr>
          <w:sz w:val="20"/>
        </w:rPr>
        <w:t xml:space="preserve"> </w:t>
      </w:r>
      <w:r>
        <w:rPr>
          <w:rFonts w:ascii="Consolas" w:hAnsi="Consolas"/>
          <w:sz w:val="20"/>
        </w:rPr>
        <w:t xml:space="preserve">graphicsfairy.blogspot.ru</w:t>
      </w:r>
      <w:r>
        <w:rPr>
          <w:sz w:val="20"/>
        </w:rPr>
        <w:t xml:space="preserve"> is a real blog on a free hosting service. It is not indexed by Google, has only 5 links, no "www" and no traffic rank: exactly the profile of a throw-away phishing page (Figure 1). SHAP and LIME agree on </w:t>
      </w:r>
      <w:r>
        <w:rPr>
          <w:rFonts w:ascii="Consolas" w:hAnsi="Consolas"/>
          <w:sz w:val="20"/>
        </w:rPr>
        <w:t xml:space="preserve">google_index</w:t>
      </w:r>
      <w:r>
        <w:rPr>
          <w:sz w:val="20"/>
        </w:rPr>
        <w:t xml:space="preserve"> and </w:t>
      </w:r>
      <w:r>
        <w:rPr>
          <w:rFonts w:ascii="Consolas" w:hAnsi="Consolas"/>
          <w:sz w:val="20"/>
        </w:rPr>
        <w:t xml:space="preserve">nb_www</w:t>
      </w:r>
      <w:r>
        <w:rPr>
          <w:sz w:val="20"/>
        </w:rPr>
        <w:t xml:space="preserve"> but share only 2 of their top 3 features, and LIME's fit score is below 0.5. On the two URLs with a fit below 0.5, LIME also changed its top 3 between seeds (Table 4), while SHAP never changed. The BRB is fooled too (phishing score 0.735): its two strongest rules, R4 and R1, both have "few links". A BRB built on a pair chosen by hand, </w:t>
      </w:r>
      <w:r>
        <w:rPr>
          <w:rFonts w:ascii="Consolas" w:hAnsi="Consolas"/>
          <w:sz w:val="20"/>
        </w:rPr>
        <w:t xml:space="preserve">domain_age</w:t>
      </w:r>
      <w:r>
        <w:rPr>
          <w:sz w:val="20"/>
        </w:rPr>
        <w:t xml:space="preserve"> + </w:t>
      </w:r>
      <w:r>
        <w:rPr>
          <w:rFonts w:ascii="Consolas" w:hAnsi="Consolas"/>
          <w:sz w:val="20"/>
        </w:rPr>
        <w:t xml:space="preserve">length_url</w:t>
      </w:r>
      <w:r>
        <w:rPr>
          <w:sz w:val="20"/>
        </w:rPr>
        <w:t xml:space="preserve">, is not fooled (score 0.366, an old domain with a short URL), but it is much weaker overall (macro-F1 0.717). Here SHAP chose better features than intuition, but different features make different mistakes.</w:t>
      </w:r>
    </w:p>
    <w:p>
      <w:pPr>
        <w:spacing w:after="120"/>
        <w:rPr>
          <w:sz w:val="20"/>
        </w:rPr>
      </w:pPr>
      <w:r>
        <w:rPr>
          <w:b/>
          <w:sz w:val="20"/>
        </w:rPr>
        <w:t xml:space="preserve">Which top features can an attacker fake?</w:t>
      </w:r>
      <w:r>
        <w:rPr>
          <w:sz w:val="20"/>
        </w:rPr>
        <w:t xml:space="preserve"> Everything in the URL text or the page is in the attacker's hands: adding "www" to the host name (</w:t>
      </w:r>
      <w:r>
        <w:rPr>
          <w:rFonts w:ascii="Consolas" w:hAnsi="Consolas"/>
          <w:sz w:val="20"/>
        </w:rPr>
        <w:t xml:space="preserve">nb_www</w:t>
      </w:r>
      <w:r>
        <w:rPr>
          <w:sz w:val="20"/>
        </w:rPr>
        <w:t xml:space="preserve">), avoiding words such as "login" (</w:t>
      </w:r>
      <w:r>
        <w:rPr>
          <w:rFonts w:ascii="Consolas" w:hAnsi="Consolas"/>
          <w:sz w:val="20"/>
        </w:rPr>
        <w:t xml:space="preserve">phish_hints</w:t>
      </w:r>
      <w:r>
        <w:rPr>
          <w:sz w:val="20"/>
        </w:rPr>
        <w:t xml:space="preserve">), or putting hundreds of hidden links on the page (</w:t>
      </w:r>
      <w:r>
        <w:rPr>
          <w:rFonts w:ascii="Consolas" w:hAnsi="Consolas"/>
          <w:sz w:val="20"/>
        </w:rPr>
        <w:t xml:space="preserve">nb_hyperlinks</w:t>
      </w:r>
      <w:r>
        <w:rPr>
          <w:sz w:val="20"/>
        </w:rPr>
        <w:t xml:space="preserve">), which would move a phishing page into the BRB's low-risk "many links" rules. The external lookups (</w:t>
      </w:r>
      <w:r>
        <w:rPr>
          <w:rFonts w:ascii="Consolas" w:hAnsi="Consolas"/>
          <w:sz w:val="20"/>
        </w:rPr>
        <w:t xml:space="preserve">google_index</w:t>
      </w:r>
      <w:r>
        <w:rPr>
          <w:sz w:val="20"/>
        </w:rPr>
        <w:t xml:space="preserve">, </w:t>
      </w:r>
      <w:r>
        <w:rPr>
          <w:rFonts w:ascii="Consolas" w:hAnsi="Consolas"/>
          <w:sz w:val="20"/>
        </w:rPr>
        <w:t xml:space="preserve">page_rank</w:t>
      </w:r>
      <w:r>
        <w:rPr>
          <w:sz w:val="20"/>
        </w:rPr>
        <w:t xml:space="preserve">, </w:t>
      </w:r>
      <w:r>
        <w:rPr>
          <w:rFonts w:ascii="Consolas" w:hAnsi="Consolas"/>
          <w:sz w:val="20"/>
        </w:rPr>
        <w:t xml:space="preserve">web_traffic</w:t>
      </w:r>
      <w:r>
        <w:rPr>
          <w:sz w:val="20"/>
        </w:rPr>
        <w:t xml:space="preserve">, </w:t>
      </w:r>
      <w:r>
        <w:rPr>
          <w:rFonts w:ascii="Consolas" w:hAnsi="Consolas"/>
          <w:sz w:val="20"/>
        </w:rPr>
        <w:t xml:space="preserve">domain_age</w:t>
      </w:r>
      <w:r>
        <w:rPr>
          <w:sz w:val="20"/>
        </w:rPr>
        <w:t xml:space="preserve">) are much harder to fake quickly. Without them the forest's macro-F1 falls from 0.965 to 0.944 and its FAR rises from 0.038 to 0.052, and every one of its new top features is one the attacker controls.</w:t>
      </w:r>
    </w:p>
    <w:p>
      <w:pPr>
        <w:spacing w:after="120"/>
        <w:rPr>
          <w:sz w:val="20"/>
        </w:rPr>
      </w:pPr>
      <w:r>
        <w:rPr>
          <w:b/>
          <w:sz w:val="20"/>
        </w:rPr>
        <w:t xml:space="preserve">Which model would we deploy?</w:t>
      </w:r>
      <w:r>
        <w:rPr>
          <w:sz w:val="20"/>
        </w:rPr>
        <w:t xml:space="preserve"> The forest with all labels and its SHAP explanations: it is the most accurate, SHAP TreeExplainer is exact and stable, and the analyst gets a waterfall per alert. We would run it without waiting for the live lookups as a fast first filter (it still catches 94% of phishing), and let the full model decide when the lookups arrive. We would not show LIME explanations with a fit score below 0.5. If labels are expensive, a plain forest on 5% of the labels comes close (macro-F1 0.941 against 0.965); the unlabelled data did not add anything on top of that.</w:t>
      </w:r>
    </w:p>
    <w:p>
      <w:pPr>
        <w:spacing w:after="120"/>
        <w:rPr>
          <w:sz w:val="20"/>
        </w:rPr>
      </w:pPr>
      <w:r>
        <w:rPr>
          <w:b/>
          <w:sz w:val="20"/>
        </w:rPr>
        <w:t xml:space="preserve">The BRB and the explanations.</w:t>
      </w:r>
      <w:r>
        <w:rPr>
          <w:sz w:val="20"/>
        </w:rPr>
        <w:t xml:space="preserve"> The rules make sense: R1 (low page rank, few links) is 0.89 High risk, R9 (high page rank, many links) 0.96 Low, and risk falls when either feature grows. As the lab predicted, the BRB and a depth-2 tree have almost the same macro-F1 (0.802 vs 0.803), but the tree flags 33% of legitimate URLs against the BRB's 17%; a security team would prefer the BRB, because an alarm on every third legitimate site gets ignored. Editing R4 by hand (Medium/High → 0.2/0.8) raises recall to 0.818 but also FAR to 0.183, and makes the mistake above worse. For the mistake, SHAP agrees with the rules: the few links push High risk up most (+0.15). LIME (fit 0.74) ranks </w:t>
      </w:r>
      <w:r>
        <w:rPr>
          <w:rFonts w:ascii="Consolas" w:hAnsi="Consolas"/>
          <w:sz w:val="20"/>
        </w:rPr>
        <w:t xml:space="preserve">page_rank</w:t>
      </w:r>
      <w:r>
        <w:rPr>
          <w:sz w:val="20"/>
        </w:rPr>
        <w:t xml:space="preserve"> slightly first, because without discretisation its weights are local slopes rather than contributions. The BRB reports a large Unknown (0.315) for this URL. Checking the lab's recursive Evidential Reasoning against the analytical ER algorithm from our Lab 3 code gave identical phishing scores on all test URLs (difference below 1e-15). But the analytical version reports no Unknown, so here Unknown means "several rules fire partly" rather than "the rules disagree".</w:t>
      </w:r>
    </w:p>
    <w:p>
      <w:pPr>
        <w:pStyle w:val="Heading2"/>
      </w:pPr>
      <w:r>
        <w:t xml:space="preserve">5. Who did what</w:t>
      </w:r>
    </w:p>
    <w:p>
      <w:pPr>
        <w:spacing w:after="120"/>
        <w:rPr>
          <w:sz w:val="20"/>
        </w:rPr>
      </w:pPr>
      <w:r>
        <w:rPr>
          <w:sz w:val="20"/>
        </w:rPr>
        <w:t xml:space="preserve">Kirill Silchenko and Stefanos Ntentopoulos each worked through the complete lab (Parts A–D, the extra checks and the report), compared the results, and chose this version to hand in.</w:t>
      </w:r>
    </w:p>
    <w:p>
      <w:pPr>
        <w:spacing w:after="120"/>
        <w:rPr>
          <w:sz w:val="20"/>
        </w:rPr>
      </w:pPr>
      <w:r>
        <w:rPr>
          <w:b/>
          <w:sz w:val="20"/>
        </w:rPr>
        <w:t xml:space="preserve">Use of AI and sources.</w:t>
      </w:r>
      <w:r>
        <w:rPr>
          <w:sz w:val="20"/>
        </w:rPr>
        <w:t xml:space="preserve"> An AI assistant (Claude, by Anthropic, used through Claude Code) was used to plan the work, write and run the notebook code, and draft this report. We used the lab's example code, scikit-learn (Pedregosa et al., 2011), SHAP (Lundberg &amp; Lee, 2017), LIME (Ribeiro et al., 2016), the RIMER BRB method (Yang et al., 2006), the analytical ER algorithm (Wang et al., 2006) as implemented in our Lab 3 code, and the dataset of Hannousse &amp; Yahiouche (2021, Mendeley Data, doi:10.17632/c2gw7fy2j4.3, CC BY 4.0).</w:t>
      </w:r>
    </w:p>
    <w:p>
      <w:pPr>
        <w:spacing w:after="120"/>
        <w:rPr>
          <w:sz w:val="20"/>
        </w:rPr>
      </w:pPr>
      <w:r>
        <w:rPr>
          <w:i/>
          <w:sz w:val="20"/>
        </w:rPr>
        <w:t xml:space="preserve">References.</w:t>
      </w:r>
      <w:r>
        <w:rPr>
          <w:sz w:val="20"/>
        </w:rPr>
        <w:t xml:space="preserve"> Hannousse, A. &amp; Yahiouche, S. (2021). Towards benchmark datasets for machine learning based website phishing detection: An experimental study. </w:t>
      </w:r>
      <w:r>
        <w:rPr>
          <w:i/>
          <w:sz w:val="20"/>
        </w:rPr>
        <w:t xml:space="preserve">Engineering Applications of Artificial Intelligence</w:t>
      </w:r>
      <w:r>
        <w:rPr>
          <w:sz w:val="20"/>
        </w:rPr>
        <w:t xml:space="preserve">, 104, 104347. · Lundberg, S. M. &amp; Lee, S.-I. (2017). A unified approach to interpreting model predictions. </w:t>
      </w:r>
      <w:r>
        <w:rPr>
          <w:i/>
          <w:sz w:val="20"/>
        </w:rPr>
        <w:t xml:space="preserve">NeurIPS 30</w:t>
      </w:r>
      <w:r>
        <w:rPr>
          <w:sz w:val="20"/>
        </w:rPr>
        <w:t xml:space="preserve">. · Pedregosa, F. et al. (2011). Scikit-learn: Machine learning in Python. </w:t>
      </w:r>
      <w:r>
        <w:rPr>
          <w:i/>
          <w:sz w:val="20"/>
        </w:rPr>
        <w:t xml:space="preserve">JMLR</w:t>
      </w:r>
      <w:r>
        <w:rPr>
          <w:sz w:val="20"/>
        </w:rPr>
        <w:t xml:space="preserve">, 12, 2825–2830. · Ribeiro, M. T., Singh, S. &amp; Guestrin, C. (2016). "Why should I trust you?" Explaining the predictions of any classifier. </w:t>
      </w:r>
      <w:r>
        <w:rPr>
          <w:i/>
          <w:sz w:val="20"/>
        </w:rPr>
        <w:t xml:space="preserve">KDD 2016</w:t>
      </w:r>
      <w:r>
        <w:rPr>
          <w:sz w:val="20"/>
        </w:rPr>
        <w:t xml:space="preserve">. · Wang, Y.-M., Yang, J.-B. &amp; Xu, D.-L. (2006). Environmental impact assessment using the evidential reasoning approach. </w:t>
      </w:r>
      <w:r>
        <w:rPr>
          <w:i/>
          <w:sz w:val="20"/>
        </w:rPr>
        <w:t xml:space="preserve">EJOR</w:t>
      </w:r>
      <w:r>
        <w:rPr>
          <w:sz w:val="20"/>
        </w:rPr>
        <w:t xml:space="preserve">, 174(3). · Yang, J.-B., Liu, J., Wang, J., Sii, H.-S. &amp; Wang, H.-W. (2006). Belief rule-base inference methodology using the evidential reasoning approach (RIMER). </w:t>
      </w:r>
      <w:r>
        <w:rPr>
          <w:i/>
          <w:sz w:val="20"/>
        </w:rPr>
        <w:t xml:space="preserve">IEEE Trans. SMC-A</w:t>
      </w:r>
      <w:r>
        <w:rPr>
          <w:sz w:val="20"/>
        </w:rPr>
        <w:t xml:space="preserve">, 36(2).</w:t>
      </w:r>
    </w:p>
    <w:p>
      <w:r>
        <w:br w:type="page"/>
      </w:r>
    </w:p>
    <w:p>
      <w:pPr>
        <w:pStyle w:val="Heading2"/>
      </w:pPr>
      <w:r>
        <w:t xml:space="preserve">Appendix: code</w:t>
      </w:r>
    </w:p>
    <w:p>
      <w:pPr>
        <w:spacing w:after="120"/>
        <w:rPr>
          <w:sz w:val="20"/>
        </w:rPr>
      </w:pPr>
      <w:r>
        <w:rPr>
          <w:sz w:val="20"/>
        </w:rPr>
        <w:t xml:space="preserve">The notebook </w:t>
      </w:r>
      <w:r>
        <w:rPr>
          <w:rFonts w:ascii="Consolas" w:hAnsi="Consolas"/>
          <w:sz w:val="20"/>
        </w:rPr>
        <w:t xml:space="preserve">lab4_1_explaining_phishing_detectors.ipynb</w:t>
      </w:r>
      <w:r>
        <w:rPr>
          <w:sz w:val="20"/>
        </w:rPr>
        <w:t xml:space="preserve"> runs from top to bottom and writes every number and figure in this report. Below (Figures 2 and 3): two of its cells, the pseudo-labelling with the check of the guesses against the hidden labels (step A8), and the referential values and data-driven rules of the BRB (step D3).</w:t>
      </w:r>
    </w:p>
    <w:p>
      <w:pPr>
        <w:keepNext/>
        <w:jc w:val="center"/>
        <w:spacing w:after="40"/>
      </w:pPr>
      <w:r>
        <w:drawing>
          <wp:inline distT="0" distB="0" distL="0" distR="0">
            <wp:extent cx="6766560" cy="5975718"/>
            <wp:docPr id="102" name="Picture 102"/>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20"/>
                    <a:stretch>
                      <a:fillRect/>
                    </a:stretch>
                  </pic:blipFill>
                  <pic:spPr>
                    <a:xfrm>
                      <a:off x="0" y="0"/>
                      <a:ext cx="6766560" cy="5975718"/>
                    </a:xfrm>
                    <a:prstGeom prst="rect">
                      <a:avLst/>
                    </a:prstGeom>
                  </pic:spPr>
                </pic:pic>
              </a:graphicData>
            </a:graphic>
          </wp:inline>
        </w:drawing>
      </w:r>
    </w:p>
    <w:p>
      <w:pPr>
        <w:jc w:val="center"/>
        <w:rPr>
          <w:sz w:val="18"/>
        </w:rPr>
      </w:pPr>
      <w:r>
        <w:rPr>
          <w:i/>
          <w:sz w:val="18"/>
        </w:rPr>
        <w:t xml:space="preserve">Figure 2. Step A8: pseudo-labelling; the hidden labels are only used to count correct guesses.</w:t>
      </w:r>
    </w:p>
    <w:p>
      <w:pPr>
        <w:keepNext/>
        <w:jc w:val="center"/>
        <w:spacing w:after="40"/>
      </w:pPr>
      <w:r>
        <w:drawing>
          <wp:inline distT="0" distB="0" distL="0" distR="0">
            <wp:extent cx="6269659" cy="7772400"/>
            <wp:docPr id="103" name="Picture 103"/>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21"/>
                    <a:stretch>
                      <a:fillRect/>
                    </a:stretch>
                  </pic:blipFill>
                  <pic:spPr>
                    <a:xfrm>
                      <a:off x="0" y="0"/>
                      <a:ext cx="6269659" cy="7772400"/>
                    </a:xfrm>
                    <a:prstGeom prst="rect">
                      <a:avLst/>
                    </a:prstGeom>
                  </pic:spPr>
                </pic:pic>
              </a:graphicData>
            </a:graphic>
          </wp:inline>
        </w:drawing>
      </w:r>
    </w:p>
    <w:p>
      <w:pPr>
        <w:jc w:val="center"/>
        <w:rPr>
          <w:sz w:val="18"/>
        </w:rPr>
      </w:pPr>
      <w:r>
        <w:rPr>
          <w:i/>
          <w:sz w:val="18"/>
        </w:rPr>
        <w:t xml:space="preserve">Figure 3. Step D3: referential values from the training data and the nine rules.</w:t>
      </w:r>
    </w:p>
    <w:sectPr w:rsidR="249E763A">
      <w:pgSz w:w="12240" w:h="15840" w:orient="portrait"/>
      <w:pgMar w:top="360" w:right="540" w:bottom="9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5E22"/>
    <w:multiLevelType w:val="hybridMultilevel"/>
    <w:tmpl w:val="EB78DC6C"/>
    <w:lvl w:ilvl="0" w:tplc="966AFF08">
      <w:start w:val="1"/>
      <w:numFmt w:val="bullet"/>
      <w:lvlText w:val=""/>
      <w:lvlJc w:val="left"/>
      <w:pPr>
        <w:ind w:left="720" w:hanging="360"/>
      </w:pPr>
      <w:rPr>
        <w:rFonts w:hint="default" w:ascii="Symbol" w:hAnsi="Symbol"/>
      </w:rPr>
    </w:lvl>
    <w:lvl w:ilvl="1" w:tplc="801C4FA8">
      <w:start w:val="1"/>
      <w:numFmt w:val="bullet"/>
      <w:lvlText w:val="o"/>
      <w:lvlJc w:val="left"/>
      <w:pPr>
        <w:ind w:left="1440" w:hanging="360"/>
      </w:pPr>
      <w:rPr>
        <w:rFonts w:hint="default" w:ascii="Courier New" w:hAnsi="Courier New"/>
      </w:rPr>
    </w:lvl>
    <w:lvl w:ilvl="2" w:tplc="5AE683B4">
      <w:start w:val="1"/>
      <w:numFmt w:val="bullet"/>
      <w:lvlText w:val=""/>
      <w:lvlJc w:val="left"/>
      <w:pPr>
        <w:ind w:left="2160" w:hanging="360"/>
      </w:pPr>
      <w:rPr>
        <w:rFonts w:hint="default" w:ascii="Wingdings" w:hAnsi="Wingdings"/>
      </w:rPr>
    </w:lvl>
    <w:lvl w:ilvl="3" w:tplc="FD6CDEEA">
      <w:start w:val="1"/>
      <w:numFmt w:val="bullet"/>
      <w:lvlText w:val=""/>
      <w:lvlJc w:val="left"/>
      <w:pPr>
        <w:ind w:left="2880" w:hanging="360"/>
      </w:pPr>
      <w:rPr>
        <w:rFonts w:hint="default" w:ascii="Symbol" w:hAnsi="Symbol"/>
      </w:rPr>
    </w:lvl>
    <w:lvl w:ilvl="4" w:tplc="744E6E5C">
      <w:start w:val="1"/>
      <w:numFmt w:val="bullet"/>
      <w:lvlText w:val="o"/>
      <w:lvlJc w:val="left"/>
      <w:pPr>
        <w:ind w:left="3600" w:hanging="360"/>
      </w:pPr>
      <w:rPr>
        <w:rFonts w:hint="default" w:ascii="Courier New" w:hAnsi="Courier New"/>
      </w:rPr>
    </w:lvl>
    <w:lvl w:ilvl="5" w:tplc="1D2436B6">
      <w:start w:val="1"/>
      <w:numFmt w:val="bullet"/>
      <w:lvlText w:val=""/>
      <w:lvlJc w:val="left"/>
      <w:pPr>
        <w:ind w:left="4320" w:hanging="360"/>
      </w:pPr>
      <w:rPr>
        <w:rFonts w:hint="default" w:ascii="Wingdings" w:hAnsi="Wingdings"/>
      </w:rPr>
    </w:lvl>
    <w:lvl w:ilvl="6" w:tplc="312257C8">
      <w:start w:val="1"/>
      <w:numFmt w:val="bullet"/>
      <w:lvlText w:val=""/>
      <w:lvlJc w:val="left"/>
      <w:pPr>
        <w:ind w:left="5040" w:hanging="360"/>
      </w:pPr>
      <w:rPr>
        <w:rFonts w:hint="default" w:ascii="Symbol" w:hAnsi="Symbol"/>
      </w:rPr>
    </w:lvl>
    <w:lvl w:ilvl="7" w:tplc="2C728196">
      <w:start w:val="1"/>
      <w:numFmt w:val="bullet"/>
      <w:lvlText w:val="o"/>
      <w:lvlJc w:val="left"/>
      <w:pPr>
        <w:ind w:left="5760" w:hanging="360"/>
      </w:pPr>
      <w:rPr>
        <w:rFonts w:hint="default" w:ascii="Courier New" w:hAnsi="Courier New"/>
      </w:rPr>
    </w:lvl>
    <w:lvl w:ilvl="8" w:tplc="C01EE0A2">
      <w:start w:val="1"/>
      <w:numFmt w:val="bullet"/>
      <w:lvlText w:val=""/>
      <w:lvlJc w:val="left"/>
      <w:pPr>
        <w:ind w:left="6480" w:hanging="360"/>
      </w:pPr>
      <w:rPr>
        <w:rFonts w:hint="default" w:ascii="Wingdings" w:hAnsi="Wingdings"/>
      </w:rPr>
    </w:lvl>
  </w:abstractNum>
  <w:num w:numId="1" w16cid:durableId="46126622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B3E23F"/>
    <w:rsid w:val="001A8F97"/>
    <w:rsid w:val="002784F1"/>
    <w:rsid w:val="00486E9A"/>
    <w:rsid w:val="007E0ED1"/>
    <w:rsid w:val="00980229"/>
    <w:rsid w:val="00A61029"/>
    <w:rsid w:val="00B37DCC"/>
    <w:rsid w:val="00C0A7FD"/>
    <w:rsid w:val="00E53E43"/>
    <w:rsid w:val="0115BAC2"/>
    <w:rsid w:val="01BA1D17"/>
    <w:rsid w:val="01E8C0C5"/>
    <w:rsid w:val="028300FD"/>
    <w:rsid w:val="03005C05"/>
    <w:rsid w:val="03095DB6"/>
    <w:rsid w:val="03378F6C"/>
    <w:rsid w:val="03427947"/>
    <w:rsid w:val="039E97C7"/>
    <w:rsid w:val="03D48D77"/>
    <w:rsid w:val="03D605C5"/>
    <w:rsid w:val="03DDAF18"/>
    <w:rsid w:val="041C847C"/>
    <w:rsid w:val="043A915A"/>
    <w:rsid w:val="0456B567"/>
    <w:rsid w:val="04A3F99D"/>
    <w:rsid w:val="04AF7AA0"/>
    <w:rsid w:val="04D54657"/>
    <w:rsid w:val="051E5734"/>
    <w:rsid w:val="0523CBCE"/>
    <w:rsid w:val="0554959E"/>
    <w:rsid w:val="058724B1"/>
    <w:rsid w:val="05B3E23F"/>
    <w:rsid w:val="062920C7"/>
    <w:rsid w:val="066EC50A"/>
    <w:rsid w:val="06712E6C"/>
    <w:rsid w:val="069CF656"/>
    <w:rsid w:val="06BF2B38"/>
    <w:rsid w:val="06F090AF"/>
    <w:rsid w:val="071DCA1C"/>
    <w:rsid w:val="071F2D6A"/>
    <w:rsid w:val="072A2DD4"/>
    <w:rsid w:val="07357FAC"/>
    <w:rsid w:val="0740AED5"/>
    <w:rsid w:val="0748596D"/>
    <w:rsid w:val="075331A7"/>
    <w:rsid w:val="07EABA1E"/>
    <w:rsid w:val="07F69B6E"/>
    <w:rsid w:val="08402553"/>
    <w:rsid w:val="084C2EA0"/>
    <w:rsid w:val="086547EE"/>
    <w:rsid w:val="08C86995"/>
    <w:rsid w:val="08CB3112"/>
    <w:rsid w:val="0906A54C"/>
    <w:rsid w:val="090C71A4"/>
    <w:rsid w:val="0934EC7A"/>
    <w:rsid w:val="09562C94"/>
    <w:rsid w:val="095D5ED3"/>
    <w:rsid w:val="09654327"/>
    <w:rsid w:val="0988B830"/>
    <w:rsid w:val="0A209ED2"/>
    <w:rsid w:val="0A528557"/>
    <w:rsid w:val="0A6D0159"/>
    <w:rsid w:val="0A7215CD"/>
    <w:rsid w:val="0AFA1518"/>
    <w:rsid w:val="0B36DFBA"/>
    <w:rsid w:val="0B4B645F"/>
    <w:rsid w:val="0B4D4D75"/>
    <w:rsid w:val="0B6A90D0"/>
    <w:rsid w:val="0BBB3CD8"/>
    <w:rsid w:val="0BF55159"/>
    <w:rsid w:val="0C0539E4"/>
    <w:rsid w:val="0C0539E4"/>
    <w:rsid w:val="0C0B2B7B"/>
    <w:rsid w:val="0C42A6CC"/>
    <w:rsid w:val="0C8AAB35"/>
    <w:rsid w:val="0DAB1007"/>
    <w:rsid w:val="0DB5F913"/>
    <w:rsid w:val="0DB6D1CE"/>
    <w:rsid w:val="0DDB409A"/>
    <w:rsid w:val="0DE0F36E"/>
    <w:rsid w:val="0DEE3856"/>
    <w:rsid w:val="0E85B8DA"/>
    <w:rsid w:val="0F00F76E"/>
    <w:rsid w:val="0F162E77"/>
    <w:rsid w:val="0F5095E9"/>
    <w:rsid w:val="0F6A5023"/>
    <w:rsid w:val="0F6E0940"/>
    <w:rsid w:val="0FAFDC10"/>
    <w:rsid w:val="0FE5892D"/>
    <w:rsid w:val="10091311"/>
    <w:rsid w:val="1033AAF1"/>
    <w:rsid w:val="107E0D64"/>
    <w:rsid w:val="109FA05C"/>
    <w:rsid w:val="10B63A51"/>
    <w:rsid w:val="10D02828"/>
    <w:rsid w:val="11383759"/>
    <w:rsid w:val="11A4B6DF"/>
    <w:rsid w:val="11EE4120"/>
    <w:rsid w:val="1205E753"/>
    <w:rsid w:val="122D802A"/>
    <w:rsid w:val="12538F64"/>
    <w:rsid w:val="1260A78B"/>
    <w:rsid w:val="1292C06D"/>
    <w:rsid w:val="1340AF13"/>
    <w:rsid w:val="13826B37"/>
    <w:rsid w:val="13965B0D"/>
    <w:rsid w:val="13A09FB7"/>
    <w:rsid w:val="13CC8C54"/>
    <w:rsid w:val="13D056DC"/>
    <w:rsid w:val="13D39901"/>
    <w:rsid w:val="13D90CB3"/>
    <w:rsid w:val="13EC51A9"/>
    <w:rsid w:val="13FD34CA"/>
    <w:rsid w:val="145A92D6"/>
    <w:rsid w:val="14BFBFCA"/>
    <w:rsid w:val="152A71BC"/>
    <w:rsid w:val="15644949"/>
    <w:rsid w:val="1592D5CC"/>
    <w:rsid w:val="15BB31D8"/>
    <w:rsid w:val="15CD87AF"/>
    <w:rsid w:val="15FF7DDF"/>
    <w:rsid w:val="16455B2A"/>
    <w:rsid w:val="1659BF84"/>
    <w:rsid w:val="166AC8E0"/>
    <w:rsid w:val="16B30333"/>
    <w:rsid w:val="16C750D8"/>
    <w:rsid w:val="16FF42D9"/>
    <w:rsid w:val="1742AE70"/>
    <w:rsid w:val="1747C7FE"/>
    <w:rsid w:val="177CCAED"/>
    <w:rsid w:val="17C0E349"/>
    <w:rsid w:val="17D0F695"/>
    <w:rsid w:val="17D503B6"/>
    <w:rsid w:val="186CF432"/>
    <w:rsid w:val="18927D12"/>
    <w:rsid w:val="18F38EBB"/>
    <w:rsid w:val="190DF8AB"/>
    <w:rsid w:val="1919DD58"/>
    <w:rsid w:val="19BD7B05"/>
    <w:rsid w:val="19E1E41D"/>
    <w:rsid w:val="19FA775D"/>
    <w:rsid w:val="1A060E0C"/>
    <w:rsid w:val="1A0CDF74"/>
    <w:rsid w:val="1A3FABBE"/>
    <w:rsid w:val="1A7ADC40"/>
    <w:rsid w:val="1A7D6BC9"/>
    <w:rsid w:val="1AB0F017"/>
    <w:rsid w:val="1B13C665"/>
    <w:rsid w:val="1BC767B0"/>
    <w:rsid w:val="1BDB8440"/>
    <w:rsid w:val="1BE558F1"/>
    <w:rsid w:val="1C10A589"/>
    <w:rsid w:val="1C2A4F16"/>
    <w:rsid w:val="1C5FB0FE"/>
    <w:rsid w:val="1C84C637"/>
    <w:rsid w:val="1CA523E3"/>
    <w:rsid w:val="1CC7B45E"/>
    <w:rsid w:val="1CE65B19"/>
    <w:rsid w:val="1DB2382B"/>
    <w:rsid w:val="1DED9068"/>
    <w:rsid w:val="1E2B63C5"/>
    <w:rsid w:val="1E3B374C"/>
    <w:rsid w:val="1E7D48D5"/>
    <w:rsid w:val="1E8D3EE8"/>
    <w:rsid w:val="1EC931D5"/>
    <w:rsid w:val="1ECBCE6C"/>
    <w:rsid w:val="1EF043FB"/>
    <w:rsid w:val="1EF50828"/>
    <w:rsid w:val="1F457E98"/>
    <w:rsid w:val="1FC206AD"/>
    <w:rsid w:val="2047BA54"/>
    <w:rsid w:val="20945837"/>
    <w:rsid w:val="209A9609"/>
    <w:rsid w:val="20BD2D8D"/>
    <w:rsid w:val="20C1ACEC"/>
    <w:rsid w:val="20C4E627"/>
    <w:rsid w:val="20CC6240"/>
    <w:rsid w:val="20CDC6BE"/>
    <w:rsid w:val="210E3D74"/>
    <w:rsid w:val="2134A543"/>
    <w:rsid w:val="21CD3E45"/>
    <w:rsid w:val="21F4879B"/>
    <w:rsid w:val="22048700"/>
    <w:rsid w:val="223AAFC0"/>
    <w:rsid w:val="2247F169"/>
    <w:rsid w:val="22A1F64C"/>
    <w:rsid w:val="22FCC3DA"/>
    <w:rsid w:val="23026939"/>
    <w:rsid w:val="239C53E2"/>
    <w:rsid w:val="24845388"/>
    <w:rsid w:val="249E763A"/>
    <w:rsid w:val="24F73EB1"/>
    <w:rsid w:val="254A9B25"/>
    <w:rsid w:val="2565EB23"/>
    <w:rsid w:val="267981B9"/>
    <w:rsid w:val="26C30C47"/>
    <w:rsid w:val="275050E7"/>
    <w:rsid w:val="275DB039"/>
    <w:rsid w:val="27B067C7"/>
    <w:rsid w:val="284B570A"/>
    <w:rsid w:val="28543BE7"/>
    <w:rsid w:val="288418CE"/>
    <w:rsid w:val="28A25C86"/>
    <w:rsid w:val="2903A514"/>
    <w:rsid w:val="290E5F4E"/>
    <w:rsid w:val="2910EE36"/>
    <w:rsid w:val="2935DBC0"/>
    <w:rsid w:val="2960B7FC"/>
    <w:rsid w:val="299019B0"/>
    <w:rsid w:val="29C82E35"/>
    <w:rsid w:val="2A220D7D"/>
    <w:rsid w:val="2B58EF98"/>
    <w:rsid w:val="2B5F586B"/>
    <w:rsid w:val="2B8E7729"/>
    <w:rsid w:val="2B954A86"/>
    <w:rsid w:val="2C0BD34B"/>
    <w:rsid w:val="2C4CC52E"/>
    <w:rsid w:val="2C4EEA3C"/>
    <w:rsid w:val="2C627DD0"/>
    <w:rsid w:val="2C9AB59C"/>
    <w:rsid w:val="2CBD165D"/>
    <w:rsid w:val="2CC39E63"/>
    <w:rsid w:val="2CDEC94F"/>
    <w:rsid w:val="2D182FAC"/>
    <w:rsid w:val="2D8FC984"/>
    <w:rsid w:val="2DB1B883"/>
    <w:rsid w:val="2DBFFAE2"/>
    <w:rsid w:val="2DE923EF"/>
    <w:rsid w:val="2E1A8CB5"/>
    <w:rsid w:val="2E5F92C5"/>
    <w:rsid w:val="2EA1F72A"/>
    <w:rsid w:val="2EB84C8F"/>
    <w:rsid w:val="2F1F89C7"/>
    <w:rsid w:val="2F34DC96"/>
    <w:rsid w:val="2F693C33"/>
    <w:rsid w:val="306FA0EF"/>
    <w:rsid w:val="30918760"/>
    <w:rsid w:val="309EC7F9"/>
    <w:rsid w:val="30B442D0"/>
    <w:rsid w:val="30B4D719"/>
    <w:rsid w:val="30D56AE0"/>
    <w:rsid w:val="3114E615"/>
    <w:rsid w:val="319E8039"/>
    <w:rsid w:val="31DCABA4"/>
    <w:rsid w:val="31E1D20D"/>
    <w:rsid w:val="31E36AEB"/>
    <w:rsid w:val="3240C3E1"/>
    <w:rsid w:val="324A2533"/>
    <w:rsid w:val="3265EDE9"/>
    <w:rsid w:val="32769990"/>
    <w:rsid w:val="3299A8CF"/>
    <w:rsid w:val="32BC26A8"/>
    <w:rsid w:val="32C5ACA4"/>
    <w:rsid w:val="32EB5275"/>
    <w:rsid w:val="3313B5E5"/>
    <w:rsid w:val="335A6B3B"/>
    <w:rsid w:val="33B7C770"/>
    <w:rsid w:val="33BD5636"/>
    <w:rsid w:val="33D48CC3"/>
    <w:rsid w:val="33D5B9B6"/>
    <w:rsid w:val="33E34C35"/>
    <w:rsid w:val="33E65986"/>
    <w:rsid w:val="342FAC98"/>
    <w:rsid w:val="349D498E"/>
    <w:rsid w:val="34CC4941"/>
    <w:rsid w:val="35112578"/>
    <w:rsid w:val="351A4B7C"/>
    <w:rsid w:val="35D4076C"/>
    <w:rsid w:val="35DA200A"/>
    <w:rsid w:val="3645D326"/>
    <w:rsid w:val="3660588E"/>
    <w:rsid w:val="3685382C"/>
    <w:rsid w:val="368C26D8"/>
    <w:rsid w:val="368FE5FD"/>
    <w:rsid w:val="36B26F9A"/>
    <w:rsid w:val="36C682F5"/>
    <w:rsid w:val="36D6A6F6"/>
    <w:rsid w:val="3718EEEF"/>
    <w:rsid w:val="372C9BCD"/>
    <w:rsid w:val="373B1F18"/>
    <w:rsid w:val="378772B8"/>
    <w:rsid w:val="37A093BB"/>
    <w:rsid w:val="37FA4FDE"/>
    <w:rsid w:val="38551A88"/>
    <w:rsid w:val="387868A7"/>
    <w:rsid w:val="38D3D87A"/>
    <w:rsid w:val="38FF6A52"/>
    <w:rsid w:val="398C5A70"/>
    <w:rsid w:val="39FE6EEA"/>
    <w:rsid w:val="39FEB721"/>
    <w:rsid w:val="39FF4CCC"/>
    <w:rsid w:val="3A1FCB3E"/>
    <w:rsid w:val="3AB709F2"/>
    <w:rsid w:val="3AB8782E"/>
    <w:rsid w:val="3ABD731B"/>
    <w:rsid w:val="3AD0A3E9"/>
    <w:rsid w:val="3AE2271A"/>
    <w:rsid w:val="3B173B0F"/>
    <w:rsid w:val="3B4BDD21"/>
    <w:rsid w:val="3B4CCCB9"/>
    <w:rsid w:val="3B5023CD"/>
    <w:rsid w:val="3B5B1CC1"/>
    <w:rsid w:val="3B6CF904"/>
    <w:rsid w:val="3BC73A34"/>
    <w:rsid w:val="3CC43912"/>
    <w:rsid w:val="3CC43912"/>
    <w:rsid w:val="3CC5F41B"/>
    <w:rsid w:val="3CE7F7D3"/>
    <w:rsid w:val="3CEFEBA2"/>
    <w:rsid w:val="3CF28966"/>
    <w:rsid w:val="3D20E970"/>
    <w:rsid w:val="3DB292C2"/>
    <w:rsid w:val="3DDC722E"/>
    <w:rsid w:val="3E1662C8"/>
    <w:rsid w:val="3E208C49"/>
    <w:rsid w:val="3E3CEB82"/>
    <w:rsid w:val="3E6F29E4"/>
    <w:rsid w:val="3EC33D05"/>
    <w:rsid w:val="3F66FCE9"/>
    <w:rsid w:val="3F722343"/>
    <w:rsid w:val="3FB733C9"/>
    <w:rsid w:val="3FBDE45A"/>
    <w:rsid w:val="400EEEC2"/>
    <w:rsid w:val="403F47C2"/>
    <w:rsid w:val="4041E8C5"/>
    <w:rsid w:val="404D534E"/>
    <w:rsid w:val="4057291E"/>
    <w:rsid w:val="4059CF17"/>
    <w:rsid w:val="40890370"/>
    <w:rsid w:val="40A22848"/>
    <w:rsid w:val="40A5EF4F"/>
    <w:rsid w:val="4160C4F9"/>
    <w:rsid w:val="41894EB6"/>
    <w:rsid w:val="420FCFCE"/>
    <w:rsid w:val="422F9CAA"/>
    <w:rsid w:val="42716B7A"/>
    <w:rsid w:val="429BE23C"/>
    <w:rsid w:val="42BFE23B"/>
    <w:rsid w:val="42BFF125"/>
    <w:rsid w:val="43137C37"/>
    <w:rsid w:val="433448B1"/>
    <w:rsid w:val="435D21E8"/>
    <w:rsid w:val="43658564"/>
    <w:rsid w:val="439610A6"/>
    <w:rsid w:val="439DC61A"/>
    <w:rsid w:val="43B51F44"/>
    <w:rsid w:val="43E64CBE"/>
    <w:rsid w:val="4423527F"/>
    <w:rsid w:val="443048D3"/>
    <w:rsid w:val="44458EDB"/>
    <w:rsid w:val="4461191A"/>
    <w:rsid w:val="44AAD0BE"/>
    <w:rsid w:val="44D9631C"/>
    <w:rsid w:val="44E96467"/>
    <w:rsid w:val="4539656B"/>
    <w:rsid w:val="4541EAFB"/>
    <w:rsid w:val="45587A9B"/>
    <w:rsid w:val="45A048CC"/>
    <w:rsid w:val="45A17B9F"/>
    <w:rsid w:val="45B16502"/>
    <w:rsid w:val="45B1A1C5"/>
    <w:rsid w:val="45B7DC18"/>
    <w:rsid w:val="45D3862F"/>
    <w:rsid w:val="4658CF02"/>
    <w:rsid w:val="46931E9D"/>
    <w:rsid w:val="46C8EBEC"/>
    <w:rsid w:val="46FDA853"/>
    <w:rsid w:val="471E825C"/>
    <w:rsid w:val="474EEB1C"/>
    <w:rsid w:val="475328C3"/>
    <w:rsid w:val="475F4378"/>
    <w:rsid w:val="478BFB0C"/>
    <w:rsid w:val="4791983F"/>
    <w:rsid w:val="47C68BB6"/>
    <w:rsid w:val="490EB3DE"/>
    <w:rsid w:val="491E3BC0"/>
    <w:rsid w:val="491E68D3"/>
    <w:rsid w:val="492D496D"/>
    <w:rsid w:val="49532788"/>
    <w:rsid w:val="496948C8"/>
    <w:rsid w:val="49927B26"/>
    <w:rsid w:val="49ACB756"/>
    <w:rsid w:val="49F336A6"/>
    <w:rsid w:val="4A04D4BB"/>
    <w:rsid w:val="4A530EE0"/>
    <w:rsid w:val="4AA6B9F2"/>
    <w:rsid w:val="4AB17F99"/>
    <w:rsid w:val="4B0B4295"/>
    <w:rsid w:val="4B22B011"/>
    <w:rsid w:val="4B272E53"/>
    <w:rsid w:val="4B58F105"/>
    <w:rsid w:val="4C357DCE"/>
    <w:rsid w:val="4C3D0F5F"/>
    <w:rsid w:val="4C53AB6F"/>
    <w:rsid w:val="4C5E0DC2"/>
    <w:rsid w:val="4C6B5E4F"/>
    <w:rsid w:val="4C92CAEE"/>
    <w:rsid w:val="4CD49A95"/>
    <w:rsid w:val="4D2D65B9"/>
    <w:rsid w:val="4D2D65B9"/>
    <w:rsid w:val="4D35F5A7"/>
    <w:rsid w:val="4D5D672B"/>
    <w:rsid w:val="4D91E3DC"/>
    <w:rsid w:val="4D996B79"/>
    <w:rsid w:val="4DED01FA"/>
    <w:rsid w:val="4E004A95"/>
    <w:rsid w:val="4E024132"/>
    <w:rsid w:val="4E2908CB"/>
    <w:rsid w:val="4E55DCB3"/>
    <w:rsid w:val="4EDE4FD1"/>
    <w:rsid w:val="4EEBF513"/>
    <w:rsid w:val="4F0D1355"/>
    <w:rsid w:val="4F2BE82B"/>
    <w:rsid w:val="4F5E3DFE"/>
    <w:rsid w:val="4F9E9C8F"/>
    <w:rsid w:val="4FBD5345"/>
    <w:rsid w:val="4FEA03E7"/>
    <w:rsid w:val="5002A90C"/>
    <w:rsid w:val="5037CBD9"/>
    <w:rsid w:val="5090993C"/>
    <w:rsid w:val="509C96DF"/>
    <w:rsid w:val="50AA443A"/>
    <w:rsid w:val="50BC267A"/>
    <w:rsid w:val="51F5419E"/>
    <w:rsid w:val="51FFDE42"/>
    <w:rsid w:val="520DC758"/>
    <w:rsid w:val="52477024"/>
    <w:rsid w:val="52747DEE"/>
    <w:rsid w:val="52A466ED"/>
    <w:rsid w:val="52CB2339"/>
    <w:rsid w:val="52CBF693"/>
    <w:rsid w:val="52D32327"/>
    <w:rsid w:val="52F87D64"/>
    <w:rsid w:val="53089F94"/>
    <w:rsid w:val="530EC855"/>
    <w:rsid w:val="53B02B4A"/>
    <w:rsid w:val="53CCF7EE"/>
    <w:rsid w:val="53FE475E"/>
    <w:rsid w:val="54279C5C"/>
    <w:rsid w:val="5427A821"/>
    <w:rsid w:val="5498776C"/>
    <w:rsid w:val="54B0107D"/>
    <w:rsid w:val="55428DE0"/>
    <w:rsid w:val="55685B62"/>
    <w:rsid w:val="558D4E85"/>
    <w:rsid w:val="55A4A7F5"/>
    <w:rsid w:val="55EF3DB6"/>
    <w:rsid w:val="5601EDA6"/>
    <w:rsid w:val="5622D564"/>
    <w:rsid w:val="562412E8"/>
    <w:rsid w:val="562C8C9D"/>
    <w:rsid w:val="56495535"/>
    <w:rsid w:val="5699F579"/>
    <w:rsid w:val="56B1B6BB"/>
    <w:rsid w:val="57205E32"/>
    <w:rsid w:val="572A5D64"/>
    <w:rsid w:val="57332FB4"/>
    <w:rsid w:val="57555715"/>
    <w:rsid w:val="57681EBA"/>
    <w:rsid w:val="57C5AA9A"/>
    <w:rsid w:val="57F87535"/>
    <w:rsid w:val="5804E726"/>
    <w:rsid w:val="58112FEE"/>
    <w:rsid w:val="58B185DF"/>
    <w:rsid w:val="58B9FC98"/>
    <w:rsid w:val="58D8C371"/>
    <w:rsid w:val="590BC7A4"/>
    <w:rsid w:val="592A2BA1"/>
    <w:rsid w:val="593D7824"/>
    <w:rsid w:val="5A29638D"/>
    <w:rsid w:val="5A2EA3B3"/>
    <w:rsid w:val="5A32BA10"/>
    <w:rsid w:val="5A39A441"/>
    <w:rsid w:val="5A5ECB87"/>
    <w:rsid w:val="5A70BFD6"/>
    <w:rsid w:val="5AD151BA"/>
    <w:rsid w:val="5AEBD6FF"/>
    <w:rsid w:val="5AF47F69"/>
    <w:rsid w:val="5B1D73CA"/>
    <w:rsid w:val="5BF30575"/>
    <w:rsid w:val="5BF8BEB5"/>
    <w:rsid w:val="5C18AC0D"/>
    <w:rsid w:val="5C5011DD"/>
    <w:rsid w:val="5C54EDE4"/>
    <w:rsid w:val="5CB0B251"/>
    <w:rsid w:val="5CEE0608"/>
    <w:rsid w:val="5CF0400A"/>
    <w:rsid w:val="5D13443F"/>
    <w:rsid w:val="5D1C6CF0"/>
    <w:rsid w:val="5DCE6134"/>
    <w:rsid w:val="5E154A22"/>
    <w:rsid w:val="5E4CB4CA"/>
    <w:rsid w:val="5E553B2D"/>
    <w:rsid w:val="5EB538F9"/>
    <w:rsid w:val="5EC4A564"/>
    <w:rsid w:val="5EF6CC33"/>
    <w:rsid w:val="5EFE2AB6"/>
    <w:rsid w:val="5F050C3B"/>
    <w:rsid w:val="5F2C007A"/>
    <w:rsid w:val="5F9301A2"/>
    <w:rsid w:val="5FCF011E"/>
    <w:rsid w:val="5FD9AE97"/>
    <w:rsid w:val="601E132C"/>
    <w:rsid w:val="60B3A6F4"/>
    <w:rsid w:val="61006FB7"/>
    <w:rsid w:val="612A20B2"/>
    <w:rsid w:val="61C170C1"/>
    <w:rsid w:val="61D70A66"/>
    <w:rsid w:val="6244F16D"/>
    <w:rsid w:val="62456B6A"/>
    <w:rsid w:val="625ADFAA"/>
    <w:rsid w:val="62BF135B"/>
    <w:rsid w:val="62C2FF25"/>
    <w:rsid w:val="62C700EC"/>
    <w:rsid w:val="62FB7FA4"/>
    <w:rsid w:val="6332E5A3"/>
    <w:rsid w:val="6338F295"/>
    <w:rsid w:val="633A283E"/>
    <w:rsid w:val="635B0824"/>
    <w:rsid w:val="636FC3F2"/>
    <w:rsid w:val="63755D77"/>
    <w:rsid w:val="63E2B661"/>
    <w:rsid w:val="6403F8B5"/>
    <w:rsid w:val="64424D4A"/>
    <w:rsid w:val="644C3E11"/>
    <w:rsid w:val="64762E0F"/>
    <w:rsid w:val="64AAABCF"/>
    <w:rsid w:val="64DDC0C4"/>
    <w:rsid w:val="64FC5BCF"/>
    <w:rsid w:val="6530F8DD"/>
    <w:rsid w:val="65EAC5CA"/>
    <w:rsid w:val="65EBECA9"/>
    <w:rsid w:val="665F3F18"/>
    <w:rsid w:val="66CD58A0"/>
    <w:rsid w:val="67434F19"/>
    <w:rsid w:val="6749F445"/>
    <w:rsid w:val="6755F3E6"/>
    <w:rsid w:val="6768DC7F"/>
    <w:rsid w:val="676E935C"/>
    <w:rsid w:val="67CBDD40"/>
    <w:rsid w:val="6814E4A2"/>
    <w:rsid w:val="681DE383"/>
    <w:rsid w:val="681E6C06"/>
    <w:rsid w:val="6843906C"/>
    <w:rsid w:val="68CF6F93"/>
    <w:rsid w:val="68DA3034"/>
    <w:rsid w:val="68DF7DF0"/>
    <w:rsid w:val="694556F9"/>
    <w:rsid w:val="696F009F"/>
    <w:rsid w:val="69736C5D"/>
    <w:rsid w:val="69B3CACC"/>
    <w:rsid w:val="69DF08F8"/>
    <w:rsid w:val="6A322E54"/>
    <w:rsid w:val="6A3B3A89"/>
    <w:rsid w:val="6A6421F2"/>
    <w:rsid w:val="6AAE7B40"/>
    <w:rsid w:val="6AE26888"/>
    <w:rsid w:val="6B211713"/>
    <w:rsid w:val="6B2E546A"/>
    <w:rsid w:val="6B49324C"/>
    <w:rsid w:val="6B810E00"/>
    <w:rsid w:val="6B8967CD"/>
    <w:rsid w:val="6C4454FB"/>
    <w:rsid w:val="6C5A5FD6"/>
    <w:rsid w:val="6CA7FED9"/>
    <w:rsid w:val="6CDFBC03"/>
    <w:rsid w:val="6D319EB6"/>
    <w:rsid w:val="6D676BE7"/>
    <w:rsid w:val="6D6E8438"/>
    <w:rsid w:val="6D703BD6"/>
    <w:rsid w:val="6DB3B6FC"/>
    <w:rsid w:val="6DD05B2E"/>
    <w:rsid w:val="6E02C1FF"/>
    <w:rsid w:val="6E367D57"/>
    <w:rsid w:val="6EB71300"/>
    <w:rsid w:val="6EC937EE"/>
    <w:rsid w:val="6F4A281D"/>
    <w:rsid w:val="6F95D476"/>
    <w:rsid w:val="6FCE965C"/>
    <w:rsid w:val="701B5961"/>
    <w:rsid w:val="70243E4B"/>
    <w:rsid w:val="7028C00D"/>
    <w:rsid w:val="709F2852"/>
    <w:rsid w:val="71020DEE"/>
    <w:rsid w:val="71143220"/>
    <w:rsid w:val="7134126B"/>
    <w:rsid w:val="7155589F"/>
    <w:rsid w:val="716076A8"/>
    <w:rsid w:val="716FF3AF"/>
    <w:rsid w:val="71DB180F"/>
    <w:rsid w:val="71F5EE45"/>
    <w:rsid w:val="7209E0B4"/>
    <w:rsid w:val="724F94A5"/>
    <w:rsid w:val="727BDDFE"/>
    <w:rsid w:val="7280FF0E"/>
    <w:rsid w:val="728F2EFA"/>
    <w:rsid w:val="72B8D623"/>
    <w:rsid w:val="72CA959D"/>
    <w:rsid w:val="73285E64"/>
    <w:rsid w:val="73285E64"/>
    <w:rsid w:val="7328ACBD"/>
    <w:rsid w:val="736051FE"/>
    <w:rsid w:val="73F889C8"/>
    <w:rsid w:val="748A3715"/>
    <w:rsid w:val="748B3674"/>
    <w:rsid w:val="74D1E6FB"/>
    <w:rsid w:val="75061D7C"/>
    <w:rsid w:val="750CD2D9"/>
    <w:rsid w:val="7537E5D0"/>
    <w:rsid w:val="760A7B9B"/>
    <w:rsid w:val="76167F0C"/>
    <w:rsid w:val="76369008"/>
    <w:rsid w:val="76813B76"/>
    <w:rsid w:val="768772B7"/>
    <w:rsid w:val="76CAEB7C"/>
    <w:rsid w:val="76D0EDF3"/>
    <w:rsid w:val="76E64CDE"/>
    <w:rsid w:val="77AE622A"/>
    <w:rsid w:val="77C81764"/>
    <w:rsid w:val="77CFBCBC"/>
    <w:rsid w:val="77D59A25"/>
    <w:rsid w:val="77DF05C9"/>
    <w:rsid w:val="77E40DC5"/>
    <w:rsid w:val="780F6575"/>
    <w:rsid w:val="78397A6D"/>
    <w:rsid w:val="78C5B0B4"/>
    <w:rsid w:val="78E4CD3D"/>
    <w:rsid w:val="7916995F"/>
    <w:rsid w:val="796749B6"/>
    <w:rsid w:val="79A9E492"/>
    <w:rsid w:val="7A037B6D"/>
    <w:rsid w:val="7A774BE3"/>
    <w:rsid w:val="7A8EC7A4"/>
    <w:rsid w:val="7B2798A7"/>
    <w:rsid w:val="7B2A8BD5"/>
    <w:rsid w:val="7B47ABCB"/>
    <w:rsid w:val="7B6F6FA9"/>
    <w:rsid w:val="7B9EA273"/>
    <w:rsid w:val="7BC0869D"/>
    <w:rsid w:val="7C426ADE"/>
    <w:rsid w:val="7C430C81"/>
    <w:rsid w:val="7C55869A"/>
    <w:rsid w:val="7C5F48F2"/>
    <w:rsid w:val="7C637599"/>
    <w:rsid w:val="7C8CC3F0"/>
    <w:rsid w:val="7CA22A50"/>
    <w:rsid w:val="7D06049E"/>
    <w:rsid w:val="7D5C30D6"/>
    <w:rsid w:val="7D8F61AE"/>
    <w:rsid w:val="7DA5C89B"/>
    <w:rsid w:val="7E1080E0"/>
    <w:rsid w:val="7EC55C19"/>
    <w:rsid w:val="7EF9820A"/>
    <w:rsid w:val="7F406D70"/>
    <w:rsid w:val="7F4DDFE4"/>
    <w:rsid w:val="7F93DBE3"/>
    <w:rsid w:val="7FC488D4"/>
    <w:rsid w:val="7FC99B19"/>
    <w:rsid w:val="7FC99B19"/>
    <w:rsid w:val="7FEE2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7A6D4"/>
  <w15:chartTrackingRefBased/>
  <w15:docId w15:val="{52DA34BC-2B10-4198-BAB3-074F38FD88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3B5023CD"/>
    <w:rPr>
      <w:color w:val="467886"/>
      <w:u w:val="single"/>
    </w:rPr>
  </w:style>
  <w:style w:type="paragraph" w:styleId="ListParagraph">
    <w:name w:val="List Paragraph"/>
    <w:basedOn w:val="Normal"/>
    <w:uiPriority w:val="34"/>
    <w:qFormat/>
    <w:rsid w:val="3B5023CD"/>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ing1">
    <w:uiPriority w:val="9"/>
    <w:name w:val="heading 1"/>
    <w:basedOn w:val="Normal"/>
    <w:next w:val="Normal"/>
    <w:qFormat/>
    <w:rsid w:val="7C63759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name w:val="heading 2"/>
    <w:basedOn w:val="Normal"/>
    <w:next w:val="Normal"/>
    <w:qFormat/>
    <w:pPr>
      <w:keepNext/>
      <w:spacing w:before="200" w:after="80"/>
      <w:outlineLvl w:val="1"/>
    </w:pPr>
    <w:rPr>
      <w:b/>
      <w:color w:val="1F3864"/>
      <w:sz w:val="26"/>
    </w:rPr>
  </w:style>
  <w:style w:type="paragraph" w:styleId="Heading3">
    <w:name w:val="heading 3"/>
    <w:basedOn w:val="Normal"/>
    <w:next w:val="Normal"/>
    <w:qFormat/>
    <w:pPr>
      <w:keepNext/>
      <w:spacing w:before="200" w:after="80"/>
      <w:outlineLvl w:val="2"/>
    </w:pPr>
    <w:rPr>
      <w:b/>
      <w:color w:val="1F3864"/>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Id="rId18" Type="http://schemas.openxmlformats.org/officeDocument/2006/relationships/image" Target="media/figure18.png"/><Relationship Id="rId19" Type="http://schemas.openxmlformats.org/officeDocument/2006/relationships/image" Target="media/figure19.png"/><Relationship Id="rId20" Type="http://schemas.openxmlformats.org/officeDocument/2006/relationships/image" Target="media/figure20.png"/><Relationship Id="rId21" Type="http://schemas.openxmlformats.org/officeDocument/2006/relationships/image" Target="media/figure2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 2 Learning When Labels Are Scarce</dc:title>
  <dc:subject>Semi-supervised network intrusion detection on CICIDS2017</dc:subject>
  <dc:creator>Kirill Silchenko and Stefanos Ntentopoulos</dc:creator>
  <keywords/>
  <dc:description/>
  <lastModifiedBy>Stefanos Ntentopoulos</lastModifiedBy>
  <revision>4</revision>
  <dcterms:created xsi:type="dcterms:W3CDTF">2026-09-04T10:07:00.0000000Z</dcterms:created>
  <dcterms:modified xsi:type="dcterms:W3CDTF">2026-09-19T07:52:21.0279112Z</dcterms:modified>
</coreProperties>
</file>