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5DA200A" w:rsidP="3B5023CD" w:rsidRDefault="35DA200A" w14:paraId="481BCB84" w14:textId="25163FCA">
      <w:pPr>
        <w:jc w:val="center"/>
        <w:rPr>
          <w:color w:val="000000" w:themeColor="text1"/>
          <w:sz w:val="20"/>
          <w:szCs w:val="20"/>
        </w:rPr>
      </w:pPr>
      <w:r>
        <w:rPr>
          <w:noProof/>
        </w:rPr>
        <w:drawing>
          <wp:inline distT="0" distB="0" distL="0" distR="0" wp14:anchorId="5F7B1102" wp14:editId="05897441">
            <wp:extent cx="4648200" cy="2343150"/>
            <wp:effectExtent l="0" t="0" r="0" b="0"/>
            <wp:docPr id="989017722" name="Lulea University of Technology logo" descr="Lulea University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7722" name="Picture 989017722"/>
                    <pic:cNvPicPr/>
                  </pic:nvPicPr>
                  <pic:blipFill>
                    <a:blip r:embed="rId5">
                      <a:extLst>
                        <a:ext uri="{28A0092B-C50C-407E-A947-70E740481C1C}">
                          <a14:useLocalDpi xmlns:a14="http://schemas.microsoft.com/office/drawing/2010/main"/>
                        </a:ext>
                      </a:extLst>
                    </a:blip>
                    <a:stretch>
                      <a:fillRect/>
                    </a:stretch>
                  </pic:blipFill>
                  <pic:spPr>
                    <a:xfrm>
                      <a:off x="0" y="0"/>
                      <a:ext cx="4648200" cy="2343150"/>
                    </a:xfrm>
                    <a:prstGeom prst="rect">
                      <a:avLst/>
                    </a:prstGeom>
                  </pic:spPr>
                </pic:pic>
              </a:graphicData>
            </a:graphic>
          </wp:inline>
        </w:drawing>
      </w:r>
    </w:p>
    <w:p w:rsidR="3B5023CD" w:rsidP="3B5023CD" w:rsidRDefault="3B5023CD" w14:paraId="2536A768" w14:textId="112218DA">
      <w:pPr>
        <w:rPr>
          <w:color w:val="000000" w:themeColor="text1"/>
          <w:sz w:val="20"/>
          <w:szCs w:val="20"/>
        </w:rPr>
      </w:pPr>
    </w:p>
    <w:p w:rsidR="35DA200A" w:rsidP="0DAB1007" w:rsidRDefault="35DA200A" w14:paraId="4938F865" w14:textId="10B1D57D">
      <w:pPr>
        <w:spacing w:before="0" w:after="0" w:line="300" w:lineRule="auto"/>
        <w:jc w:val="center"/>
        <w:rPr>
          <w:rFonts w:ascii="Aptos" w:hAnsi="Aptos" w:eastAsia="Aptos"/>
          <w:b w:val="1"/>
          <w:bCs w:val="1"/>
          <w:i w:val="0"/>
          <w:iCs w:val="0"/>
          <w:color w:val="000000" w:themeColor="text1"/>
          <w:sz w:val="20"/>
          <w:szCs w:val="20"/>
        </w:rPr>
      </w:pPr>
      <w:r w:rsidRPr="0DAB1007" w:rsidR="45D3862F">
        <w:rPr>
          <w:rFonts w:ascii="Aptos" w:hAnsi="Aptos" w:eastAsia="Aptos"/>
          <w:b w:val="1"/>
          <w:bCs w:val="1"/>
          <w:i w:val="0"/>
          <w:iCs w:val="0"/>
          <w:color w:val="000000" w:themeColor="text1" w:themeTint="FF" w:themeShade="FF"/>
          <w:sz w:val="20"/>
          <w:szCs w:val="20"/>
        </w:rPr>
        <w:t>Assignment Title:</w:t>
      </w:r>
      <w:r>
        <w:br/>
      </w:r>
      <w:r w:rsidRPr="0DAB1007" w:rsidR="45B1A1C5">
        <w:rPr>
          <w:rFonts w:ascii="Aptos" w:hAnsi="Aptos" w:eastAsia="Aptos"/>
          <w:b w:val="1"/>
          <w:bCs w:val="1"/>
          <w:i w:val="0"/>
          <w:iCs w:val="0"/>
          <w:color w:val="000000" w:themeColor="text1" w:themeTint="FF" w:themeShade="FF"/>
          <w:sz w:val="20"/>
          <w:szCs w:val="20"/>
        </w:rPr>
        <w:t xml:space="preserve">Lab 4.2: Robustness, Attacks and Honest Explanations </w:t>
      </w:r>
    </w:p>
    <w:p w:rsidR="3B5023CD" w:rsidP="3B5023CD" w:rsidRDefault="3B5023CD" w14:paraId="2FEE7290" w14:textId="7E570AA6">
      <w:pPr>
        <w:spacing w:after="0" w:line="300" w:lineRule="auto"/>
        <w:jc w:val="center"/>
        <w:rPr>
          <w:color w:val="000000" w:themeColor="text1"/>
          <w:sz w:val="20"/>
          <w:szCs w:val="20"/>
        </w:rPr>
      </w:pPr>
    </w:p>
    <w:p w:rsidR="3B5023CD" w:rsidP="3B5023CD" w:rsidRDefault="3B5023CD" w14:paraId="1BDE51D0" w14:textId="7220B26F">
      <w:pPr>
        <w:spacing w:after="0" w:line="300" w:lineRule="auto"/>
        <w:jc w:val="center"/>
        <w:rPr>
          <w:color w:val="000000" w:themeColor="text1"/>
          <w:sz w:val="20"/>
          <w:szCs w:val="20"/>
        </w:rPr>
      </w:pPr>
    </w:p>
    <w:p w:rsidR="35DA200A" w:rsidP="3B5023CD" w:rsidRDefault="35DA200A" w14:paraId="40C386D8" w14:textId="4FAEC92D">
      <w:pPr>
        <w:spacing w:before="0" w:after="0" w:line="300" w:lineRule="auto"/>
        <w:jc w:val="center"/>
        <w:rPr>
          <w:b/>
          <w:bCs/>
          <w:color w:val="000000" w:themeColor="text1"/>
          <w:sz w:val="20"/>
          <w:szCs w:val="20"/>
        </w:rPr>
      </w:pPr>
      <w:r>
        <w:rPr>
          <w:rFonts w:ascii="Aptos" w:hAnsi="Aptos" w:eastAsia="Aptos"/>
          <w:b/>
          <w:i w:val="0"/>
          <w:color w:val="000000"/>
          <w:sz w:val="20"/>
        </w:rPr>
        <w:t>Course Name:</w:t>
      </w:r>
      <w:r>
        <w:rPr>
          <w:rFonts w:ascii="Aptos" w:hAnsi="Aptos" w:eastAsia="Aptos"/>
          <w:b/>
          <w:i w:val="0"/>
          <w:color w:val="000000"/>
          <w:sz w:val="20"/>
        </w:rPr>
        <w:br/>
      </w:r>
      <w:r>
        <w:rPr>
          <w:rFonts w:ascii="Aptos" w:hAnsi="Aptos" w:eastAsia="Aptos"/>
          <w:b/>
          <w:i w:val="0"/>
          <w:color w:val="000000"/>
          <w:sz w:val="20"/>
        </w:rPr>
        <w:t>AI for Cybersecurity D7084E D7041E</w:t>
      </w:r>
    </w:p>
    <w:p w:rsidR="3B5023CD" w:rsidP="3B5023CD" w:rsidRDefault="3B5023CD" w14:paraId="2F204857" w14:textId="5FB7CA31">
      <w:pPr>
        <w:spacing w:after="0" w:line="300" w:lineRule="auto"/>
        <w:jc w:val="center"/>
        <w:rPr>
          <w:color w:val="000000" w:themeColor="text1"/>
          <w:sz w:val="20"/>
          <w:szCs w:val="20"/>
        </w:rPr>
      </w:pPr>
    </w:p>
    <w:p w:rsidR="51F5419E" w:rsidP="3B5023CD" w:rsidRDefault="51F5419E" w14:paraId="5A7367C8" w14:textId="6555B3F8">
      <w:pPr>
        <w:spacing w:before="0" w:after="0" w:line="300" w:lineRule="auto"/>
        <w:jc w:val="center"/>
        <w:rPr>
          <w:b/>
          <w:bCs/>
          <w:color w:val="000000" w:themeColor="text1"/>
          <w:sz w:val="20"/>
          <w:szCs w:val="20"/>
        </w:rPr>
      </w:pPr>
      <w:r>
        <w:rPr>
          <w:rFonts w:ascii="Aptos" w:hAnsi="Aptos" w:eastAsia="Aptos"/>
          <w:b/>
          <w:i w:val="0"/>
          <w:color w:val="000000"/>
          <w:sz w:val="20"/>
        </w:rPr>
        <w:t>Team:</w:t>
      </w:r>
    </w:p>
    <w:p w:rsidR="51F5419E" w:rsidP="3B5023CD" w:rsidRDefault="51F5419E" w14:paraId="4197E438" w14:textId="7DCBB951">
      <w:pPr>
        <w:spacing w:before="0" w:after="0" w:line="300" w:lineRule="auto"/>
        <w:jc w:val="center"/>
        <w:rPr>
          <w:color w:val="000000" w:themeColor="text1"/>
          <w:sz w:val="20"/>
          <w:szCs w:val="20"/>
        </w:rPr>
      </w:pPr>
      <w:r w:rsidRPr="7C637599" w:rsidR="2910EE36">
        <w:rPr>
          <w:rFonts w:ascii="Aptos" w:hAnsi="Aptos" w:eastAsia="Aptos"/>
          <w:b w:val="1"/>
          <w:bCs w:val="1"/>
          <w:i w:val="0"/>
          <w:iCs w:val="0"/>
          <w:color w:val="000000" w:themeColor="text1" w:themeTint="FF" w:themeShade="FF"/>
          <w:sz w:val="20"/>
          <w:szCs w:val="20"/>
        </w:rPr>
        <w:t>Group 6</w:t>
      </w:r>
    </w:p>
    <w:p w:rsidR="3B5023CD" w:rsidP="3B5023CD" w:rsidRDefault="3B5023CD" w14:paraId="7F122DED" w14:textId="3A9E1833">
      <w:pPr>
        <w:spacing w:after="0" w:line="300" w:lineRule="auto"/>
        <w:jc w:val="center"/>
        <w:rPr>
          <w:color w:val="000000" w:themeColor="text1"/>
          <w:sz w:val="20"/>
          <w:szCs w:val="20"/>
        </w:rPr>
      </w:pPr>
    </w:p>
    <w:p w:rsidR="35DA200A" w:rsidP="3B5023CD" w:rsidRDefault="35DA200A" w14:paraId="07E0DFC8" w14:textId="5EEAE67B">
      <w:pPr>
        <w:spacing w:before="0" w:after="0" w:line="300" w:lineRule="auto"/>
        <w:jc w:val="center"/>
        <w:rPr>
          <w:b w:val="1"/>
          <w:bCs w:val="1"/>
          <w:sz w:val="20"/>
          <w:szCs w:val="20"/>
        </w:rPr>
      </w:pPr>
      <w:r w:rsidRPr="7C637599" w:rsidR="15FF7DDF">
        <w:rPr>
          <w:rFonts w:ascii="Aptos" w:hAnsi="Aptos" w:eastAsia="Aptos"/>
          <w:b w:val="1"/>
          <w:bCs w:val="1"/>
          <w:i w:val="0"/>
          <w:iCs w:val="0"/>
          <w:color w:val="000000" w:themeColor="text1" w:themeTint="FF" w:themeShade="FF"/>
          <w:sz w:val="20"/>
          <w:szCs w:val="20"/>
        </w:rPr>
        <w:t>Authors:</w:t>
      </w:r>
      <w:r>
        <w:br/>
      </w:r>
      <w:r w:rsidRPr="7C637599" w:rsidR="15FF7DDF">
        <w:rPr>
          <w:rFonts w:ascii="Aptos" w:hAnsi="Aptos" w:eastAsia="Aptos"/>
          <w:b w:val="1"/>
          <w:bCs w:val="1"/>
          <w:i w:val="0"/>
          <w:iCs w:val="0"/>
          <w:color w:val="000000" w:themeColor="text1" w:themeTint="FF" w:themeShade="FF"/>
          <w:sz w:val="20"/>
          <w:szCs w:val="20"/>
        </w:rPr>
        <w:t>Kirill Silchenko</w:t>
      </w:r>
      <w:r w:rsidRPr="7C637599" w:rsidR="15FF7DDF">
        <w:rPr>
          <w:rFonts w:ascii="Aptos" w:hAnsi="Aptos" w:eastAsia="Aptos"/>
          <w:b w:val="1"/>
          <w:bCs w:val="1"/>
          <w:i w:val="0"/>
          <w:iCs w:val="0"/>
          <w:color w:val="000000" w:themeColor="text1" w:themeTint="FF" w:themeShade="FF"/>
          <w:sz w:val="20"/>
          <w:szCs w:val="20"/>
        </w:rPr>
        <w:t xml:space="preserve"> </w:t>
      </w:r>
      <w:r w:rsidRPr="7C637599" w:rsidR="15FF7DDF">
        <w:rPr>
          <w:rFonts w:ascii="Aptos" w:hAnsi="Aptos" w:eastAsia="Aptos"/>
          <w:b w:val="1"/>
          <w:bCs w:val="1"/>
          <w:i w:val="0"/>
          <w:iCs w:val="0"/>
          <w:color w:val="000000" w:themeColor="text1" w:themeTint="FF" w:themeShade="FF"/>
          <w:sz w:val="20"/>
          <w:szCs w:val="20"/>
        </w:rPr>
        <w:t>-</w:t>
      </w:r>
      <w:r w:rsidRPr="7C637599" w:rsidR="15FF7DDF">
        <w:rPr>
          <w:rFonts w:ascii="Aptos" w:hAnsi="Aptos" w:eastAsia="Aptos"/>
          <w:b w:val="1"/>
          <w:bCs w:val="1"/>
          <w:i w:val="0"/>
          <w:iCs w:val="0"/>
          <w:color w:val="467886"/>
          <w:sz w:val="20"/>
          <w:szCs w:val="20"/>
        </w:rPr>
        <w:t xml:space="preserve"> kirsil-5@student.ltu.se</w:t>
      </w:r>
      <w:r>
        <w:br/>
      </w:r>
      <w:r w:rsidRPr="7C637599" w:rsidR="15FF7DDF">
        <w:rPr>
          <w:rFonts w:ascii="Aptos" w:hAnsi="Aptos" w:eastAsia="Aptos"/>
          <w:b w:val="1"/>
          <w:bCs w:val="1"/>
          <w:i w:val="0"/>
          <w:iCs w:val="0"/>
          <w:color w:val="000000" w:themeColor="text1" w:themeTint="FF" w:themeShade="FF"/>
          <w:sz w:val="20"/>
          <w:szCs w:val="20"/>
        </w:rPr>
        <w:t>Stefanos Ntentopoulos -</w:t>
      </w:r>
      <w:r w:rsidRPr="7C637599" w:rsidR="15FF7DDF">
        <w:rPr>
          <w:rFonts w:ascii="Aptos" w:hAnsi="Aptos" w:eastAsia="Aptos"/>
          <w:b w:val="1"/>
          <w:bCs w:val="1"/>
          <w:i w:val="0"/>
          <w:iCs w:val="0"/>
          <w:color w:val="467886"/>
          <w:sz w:val="20"/>
          <w:szCs w:val="20"/>
        </w:rPr>
        <w:t xml:space="preserve"> stente-5@student.ltu.se</w:t>
      </w:r>
    </w:p>
    <w:p w:rsidR="3B5023CD" w:rsidP="3B5023CD" w:rsidRDefault="3B5023CD" w14:paraId="448EC2AB" w14:textId="1996C309">
      <w:pPr>
        <w:spacing w:after="0" w:line="300" w:lineRule="auto"/>
        <w:jc w:val="center"/>
        <w:rPr>
          <w:color w:val="000000" w:themeColor="text1"/>
          <w:sz w:val="20"/>
          <w:szCs w:val="20"/>
        </w:rPr>
      </w:pPr>
    </w:p>
    <w:p w:rsidR="3B5023CD" w:rsidP="3B5023CD" w:rsidRDefault="3B5023CD" w14:paraId="3C760D3F" w14:textId="2F74135D">
      <w:pPr>
        <w:spacing w:after="0" w:line="300" w:lineRule="auto"/>
        <w:jc w:val="center"/>
        <w:rPr>
          <w:color w:val="000000" w:themeColor="text1"/>
          <w:sz w:val="20"/>
          <w:szCs w:val="20"/>
        </w:rPr>
      </w:pPr>
    </w:p>
    <w:p w:rsidR="3B5023CD" w:rsidP="3B5023CD" w:rsidRDefault="3B5023CD" w14:paraId="4B220885" w14:textId="06ECE047">
      <w:pPr>
        <w:rPr>
          <w:sz w:val="20"/>
          <w:szCs w:val="20"/>
        </w:rPr>
      </w:pPr>
      <w:r w:rsidRPr="0DAB1007">
        <w:rPr>
          <w:sz w:val="20"/>
          <w:szCs w:val="20"/>
        </w:rPr>
        <w:br w:type="page"/>
      </w:r>
    </w:p>
    <w:p w:rsidR="0DAB1007" w:rsidP="0DAB1007" w:rsidRDefault="0DAB1007" w14:paraId="3779B22E" w14:textId="2D584407">
      <w:pPr>
        <w:rPr>
          <w:sz w:val="20"/>
          <w:szCs w:val="20"/>
        </w:rPr>
      </w:pPr>
    </w:p>
    <w:p xmlns:wp14="http://schemas.microsoft.com/office/word/2010/wordml" w:rsidP="0DAB1007" w14:paraId="02EB378F" wp14:textId="79F1C70C">
      <w:pPr>
        <w:pStyle w:val="Normal"/>
        <w:keepNext w:val="0"/>
        <w:suppressLineNumbers w:val="0"/>
        <w:bidi w:val="0"/>
        <w:spacing w:before="0" w:beforeAutospacing="off" w:after="0" w:afterAutospacing="off" w:line="283" w:lineRule="auto"/>
        <w:ind w:left="0" w:right="0"/>
        <w:jc w:val="left"/>
        <w:rPr>
          <w:rFonts w:ascii="Aptos" w:hAnsi="Aptos" w:eastAsia="Aptos"/>
          <w:b w:val="0"/>
          <w:bCs w:val="0"/>
          <w:i w:val="0"/>
          <w:iCs w:val="0"/>
          <w:color w:val="000000" w:themeColor="text1" w:themeTint="FF" w:themeShade="FF"/>
          <w:sz w:val="20"/>
          <w:szCs w:val="20"/>
        </w:rPr>
      </w:pPr>
    </w:p>
    <w:p>
      <w:r>
        <w:br w:type="page"/>
      </w:r>
    </w:p>
    <w:p>
      <w:pPr>
        <w:pStyle w:val="Heading2"/>
      </w:pPr>
      <w:r>
        <w:t xml:space="preserve">1. Problem</w:t>
      </w:r>
    </w:p>
    <w:p>
      <w:pPr>
        <w:spacing w:after="120"/>
        <w:rPr>
          <w:sz w:val="20"/>
        </w:rPr>
      </w:pPr>
      <w:r>
        <w:rPr>
          <w:sz w:val="20"/>
        </w:rPr>
        <w:t xml:space="preserve">An intrusion detector decides for every network flow whether it is an attack or normal traffic. On clean test data such detectors score close to 1.0, but that score can mislead twice. First, attacks are a minority, so a model that answers "normal" every time already looks accurate. Second, the test data are clean and nobody is trying to fool the model. </w:t>
      </w:r>
      <w:r>
        <w:rPr>
          <w:b/>
          <w:sz w:val="20"/>
        </w:rPr>
        <w:t xml:space="preserve">Robustness</w:t>
      </w:r>
      <w:r>
        <w:rPr>
          <w:sz w:val="20"/>
        </w:rPr>
        <w:t xml:space="preserve"> here means how much of the score survives imperfect data (measurement noise, fields lost by the collector) and a deliberate </w:t>
      </w:r>
      <w:r>
        <w:rPr>
          <w:b/>
          <w:sz w:val="20"/>
        </w:rPr>
        <w:t xml:space="preserve">evasion attack</w:t>
      </w:r>
      <w:r>
        <w:rPr>
          <w:sz w:val="20"/>
        </w:rPr>
        <w:t xml:space="preserve">, in which an attacker changes the measurable features of their own traffic, within what a real attacker can change, until the model calls it normal. We also test whether the SHAP and LIME explanations of the detector are </w:t>
      </w:r>
      <w:r>
        <w:rPr>
          <w:i/>
          <w:sz w:val="20"/>
        </w:rPr>
        <w:t xml:space="preserve">stable</w:t>
      </w:r>
      <w:r>
        <w:rPr>
          <w:sz w:val="20"/>
        </w:rPr>
        <w:t xml:space="preserve"> and </w:t>
      </w:r>
      <w:r>
        <w:rPr>
          <w:i/>
          <w:sz w:val="20"/>
        </w:rPr>
        <w:t xml:space="preserve">faithful</w:t>
      </w:r>
      <w:r>
        <w:rPr>
          <w:sz w:val="20"/>
        </w:rPr>
        <w:t xml:space="preserve">, not just convincing.</w:t>
      </w:r>
    </w:p>
    <w:p>
      <w:pPr>
        <w:pStyle w:val="Heading2"/>
      </w:pPr>
      <w:r>
        <w:t xml:space="preserve">2. Setup</w:t>
      </w:r>
    </w:p>
    <w:p>
      <w:pPr>
        <w:spacing w:after="120"/>
        <w:rPr>
          <w:sz w:val="20"/>
        </w:rPr>
      </w:pPr>
      <w:r>
        <w:rPr>
          <w:b/>
          <w:sz w:val="20"/>
        </w:rPr>
        <w:t xml:space="preserve">Data.</w:t>
      </w:r>
      <w:r>
        <w:rPr>
          <w:sz w:val="20"/>
        </w:rPr>
        <w:t xml:space="preserve"> The cleaned CICIDS</w:t>
      </w:r>
      <w:r>
        <w:rPr>
          <w:b/>
          <w:sz w:val="20"/>
        </w:rPr>
        <w:t xml:space="preserve">2017</w:t>
      </w:r>
      <w:r>
        <w:rPr>
          <w:sz w:val="20"/>
        </w:rPr>
        <w:t xml:space="preserve"> table from Lab 1 (all eight day-files, 20% stratified sample, ID columns including destination port and protocol removed): 446,641 flows and 68 numeric features, </w:t>
      </w:r>
      <w:r>
        <w:rPr>
          <w:b/>
          <w:sz w:val="20"/>
        </w:rPr>
        <w:t xml:space="preserve">15.07% attacks</w:t>
      </w:r>
      <w:r>
        <w:rPr>
          <w:sz w:val="20"/>
        </w:rPr>
        <w:t xml:space="preserve">. The 60/20/20 split is stratified on the attack type (seed 42): 267,984 training, 89,328 validation and 89,329 test flows (13,461 attacks). The lab text names CICIDS2018; our feature names are therefore the longer 2017 ones. No infinite or missing values remained after Lab 1's cleaning; 58 features are continuous and 10 are 0/1 flags.</w:t>
      </w:r>
    </w:p>
    <w:p>
      <w:pPr>
        <w:spacing w:after="120"/>
        <w:rPr>
          <w:sz w:val="20"/>
        </w:rPr>
      </w:pPr>
      <w:r>
        <w:rPr>
          <w:b/>
          <w:sz w:val="20"/>
        </w:rPr>
        <w:t xml:space="preserve">Models</w:t>
      </w:r>
      <w:r>
        <w:rPr>
          <w:sz w:val="20"/>
        </w:rPr>
        <w:t xml:space="preserve"> (all </w:t>
      </w:r>
      <w:r>
        <w:rPr>
          <w:rFonts w:ascii="Consolas" w:hAnsi="Consolas"/>
          <w:sz w:val="20"/>
        </w:rPr>
        <w:t xml:space="preserve">random_state=42</w:t>
      </w:r>
      <w:r>
        <w:rPr>
          <w:sz w:val="20"/>
        </w:rPr>
        <w:t xml:space="preserve">, all fed the same raw features): a fully grown decision tree; logistic regression with the scaler inside a pipeline (fitted on training data only); a random forest of 300 trees (depth 20, the setting Lab 1 chose on validation data); and, for the ensemble, gradient boosting (200 trees, depth 4), trained on a stratified </w:t>
      </w:r>
      <w:r>
        <w:rPr>
          <w:b/>
          <w:sz w:val="20"/>
        </w:rPr>
        <w:t xml:space="preserve">100,000-row subsample</w:t>
      </w:r>
      <w:r>
        <w:rPr>
          <w:sz w:val="20"/>
        </w:rPr>
        <w:t xml:space="preserve"> of the training set to keep its training time at about 7 minutes. Noise widths, medians and attack step sizes are all measured on the training set.</w:t>
      </w:r>
    </w:p>
    <w:p>
      <w:pPr>
        <w:spacing w:after="120"/>
        <w:rPr>
          <w:sz w:val="20"/>
        </w:rPr>
      </w:pPr>
      <w:r>
        <w:rPr>
          <w:b/>
          <w:sz w:val="20"/>
        </w:rPr>
        <w:t xml:space="preserve">Feature groups for the attack</w:t>
      </w:r>
      <w:r>
        <w:rPr>
          <w:sz w:val="20"/>
        </w:rPr>
        <w:t xml:space="preserve">, assigned by name rules in code (backward or flag → Fixed; timing → Free; forward sizes → Free; forward counts → Costly; anything uncertain → Fixed):</w:t>
      </w:r>
    </w:p>
    <w:tbl>
      <w:tblPr>
        <w:tblStyle w:val="TableGrid"/>
        <w:tblW w:w="11248" w:type="dxa"/>
        <w:tblLayout w:type="fixed"/>
      </w:tblPr>
      <w:tblGrid>
        <w:gridCol w:w="1323"/>
        <w:gridCol w:w="1102"/>
        <w:gridCol w:w="8823"/>
      </w:tblGrid>
      <w:tr>
        <w:trPr>
          <w:tblHeader/>
        </w:trPr>
        <w:tc>
          <w:tcPr>
            <w:tcW w:w="1323" w:type="dxa"/>
            <w:shd w:val="clear" w:color="auto" w:fill="E7E6E6"/>
            <w:vAlign w:val="center"/>
          </w:tcPr>
          <w:p>
            <w:pPr>
              <w:spacing w:before="20" w:after="20"/>
              <w:rPr>
                <w:sz w:val="17"/>
              </w:rPr>
            </w:pPr>
            <w:r>
              <w:rPr>
                <w:b/>
                <w:sz w:val="17"/>
              </w:rPr>
              <w:t xml:space="preserve">Group</w:t>
            </w:r>
          </w:p>
        </w:tc>
        <w:tc>
          <w:tcPr>
            <w:tcW w:w="1102" w:type="dxa"/>
            <w:shd w:val="clear" w:color="auto" w:fill="E7E6E6"/>
            <w:vAlign w:val="center"/>
          </w:tcPr>
          <w:p>
            <w:pPr>
              <w:spacing w:before="20" w:after="20"/>
              <w:rPr>
                <w:sz w:val="17"/>
              </w:rPr>
            </w:pPr>
            <w:r>
              <w:rPr>
                <w:b/>
                <w:sz w:val="17"/>
              </w:rPr>
              <w:t xml:space="preserve">Count</w:t>
            </w:r>
          </w:p>
        </w:tc>
        <w:tc>
          <w:tcPr>
            <w:tcW w:w="8823" w:type="dxa"/>
            <w:shd w:val="clear" w:color="auto" w:fill="E7E6E6"/>
            <w:vAlign w:val="center"/>
          </w:tcPr>
          <w:p>
            <w:pPr>
              <w:spacing w:before="20" w:after="20"/>
              <w:rPr>
                <w:sz w:val="17"/>
              </w:rPr>
            </w:pPr>
            <w:r>
              <w:rPr>
                <w:b/>
                <w:sz w:val="17"/>
              </w:rPr>
              <w:t xml:space="preserve">Features</w:t>
            </w:r>
          </w:p>
        </w:tc>
      </w:tr>
      <w:tr>
        <w:tc>
          <w:tcPr>
            <w:tcW w:w="1323" w:type="dxa"/>
            <w:vAlign w:val="center"/>
          </w:tcPr>
          <w:p>
            <w:pPr>
              <w:spacing w:before="20" w:after="20"/>
              <w:rPr>
                <w:sz w:val="17"/>
              </w:rPr>
            </w:pPr>
            <w:r>
              <w:rPr>
                <w:sz w:val="17"/>
              </w:rPr>
              <w:t xml:space="preserve">Free</w:t>
            </w:r>
          </w:p>
        </w:tc>
        <w:tc>
          <w:tcPr>
            <w:tcW w:w="1102" w:type="dxa"/>
            <w:vAlign w:val="center"/>
          </w:tcPr>
          <w:p>
            <w:pPr>
              <w:spacing w:before="20" w:after="20"/>
              <w:rPr>
                <w:sz w:val="17"/>
              </w:rPr>
            </w:pPr>
            <w:r>
              <w:rPr>
                <w:sz w:val="17"/>
              </w:rPr>
              <w:t xml:space="preserve">25</w:t>
            </w:r>
          </w:p>
        </w:tc>
        <w:tc>
          <w:tcPr>
            <w:tcW w:w="8823" w:type="dxa"/>
            <w:vAlign w:val="center"/>
          </w:tcPr>
          <w:p>
            <w:pPr>
              <w:spacing w:before="20" w:after="20"/>
              <w:rPr>
                <w:sz w:val="17"/>
              </w:rPr>
            </w:pPr>
            <w:r>
              <w:rPr>
                <w:sz w:val="17"/>
              </w:rPr>
              <w:t xml:space="preserve">inter-arrival times, idle and active timers, flow duration, forward packet / header / segment sizes</w:t>
            </w:r>
          </w:p>
        </w:tc>
      </w:tr>
      <w:tr>
        <w:tc>
          <w:tcPr>
            <w:tcW w:w="1323" w:type="dxa"/>
            <w:vAlign w:val="center"/>
          </w:tcPr>
          <w:p>
            <w:pPr>
              <w:spacing w:before="20" w:after="20"/>
              <w:rPr>
                <w:sz w:val="17"/>
              </w:rPr>
            </w:pPr>
            <w:r>
              <w:rPr>
                <w:sz w:val="17"/>
              </w:rPr>
              <w:t xml:space="preserve">Costly</w:t>
            </w:r>
          </w:p>
        </w:tc>
        <w:tc>
          <w:tcPr>
            <w:tcW w:w="1102" w:type="dxa"/>
            <w:vAlign w:val="center"/>
          </w:tcPr>
          <w:p>
            <w:pPr>
              <w:spacing w:before="20" w:after="20"/>
              <w:rPr>
                <w:sz w:val="17"/>
              </w:rPr>
            </w:pPr>
            <w:r>
              <w:rPr>
                <w:sz w:val="17"/>
              </w:rPr>
              <w:t xml:space="preserve">5</w:t>
            </w:r>
          </w:p>
        </w:tc>
        <w:tc>
          <w:tcPr>
            <w:tcW w:w="8823" w:type="dxa"/>
            <w:vAlign w:val="center"/>
          </w:tcPr>
          <w:p>
            <w:pPr>
              <w:spacing w:before="20" w:after="20"/>
              <w:rPr>
                <w:sz w:val="17"/>
              </w:rPr>
            </w:pPr>
            <w:r>
              <w:rPr>
                <w:sz w:val="17"/>
              </w:rPr>
              <w:t xml:space="preserve">total forward packets and bytes, forward subflow packets and bytes, forward data packets</w:t>
            </w:r>
          </w:p>
        </w:tc>
      </w:tr>
      <w:tr>
        <w:tc>
          <w:tcPr>
            <w:tcW w:w="1323" w:type="dxa"/>
            <w:vAlign w:val="center"/>
          </w:tcPr>
          <w:p>
            <w:pPr>
              <w:spacing w:before="20" w:after="20"/>
              <w:rPr>
                <w:sz w:val="17"/>
              </w:rPr>
            </w:pPr>
            <w:r>
              <w:rPr>
                <w:sz w:val="17"/>
              </w:rPr>
              <w:t xml:space="preserve">Fixed</w:t>
            </w:r>
          </w:p>
        </w:tc>
        <w:tc>
          <w:tcPr>
            <w:tcW w:w="1102" w:type="dxa"/>
            <w:vAlign w:val="center"/>
          </w:tcPr>
          <w:p>
            <w:pPr>
              <w:spacing w:before="20" w:after="20"/>
              <w:rPr>
                <w:sz w:val="17"/>
              </w:rPr>
            </w:pPr>
            <w:r>
              <w:rPr>
                <w:sz w:val="17"/>
              </w:rPr>
              <w:t xml:space="preserve">38</w:t>
            </w:r>
          </w:p>
        </w:tc>
        <w:tc>
          <w:tcPr>
            <w:tcW w:w="8823" w:type="dxa"/>
            <w:vAlign w:val="center"/>
          </w:tcPr>
          <w:p>
            <w:pPr>
              <w:spacing w:before="20" w:after="20"/>
              <w:rPr>
                <w:sz w:val="17"/>
              </w:rPr>
            </w:pPr>
            <w:r>
              <w:rPr>
                <w:sz w:val="17"/>
              </w:rPr>
              <w:t xml:space="preserve">all 17 backward features, the 10 flags, mixed-direction size statistics, rates, both initial windows</w:t>
            </w:r>
          </w:p>
        </w:tc>
      </w:tr>
    </w:tbl>
    <w:p>
      <w:pPr>
        <w:spacing w:after="0"/>
        <w:rPr>
          <w:sz w:val="8"/>
        </w:rPr>
      </w:pPr>
    </w:p>
    <w:p>
      <w:pPr>
        <w:keepNext/>
        <w:spacing w:after="60"/>
        <w:rPr>
          <w:sz w:val="18"/>
        </w:rPr>
      </w:pPr>
      <w:r>
        <w:rPr>
          <w:i/>
          <w:sz w:val="18"/>
        </w:rPr>
        <w:t xml:space="preserve">Table 1. Feature groups. The attacker may only raise Free and Costly features, by at most half a training standard deviation per step, and change at most five features.</w:t>
      </w:r>
    </w:p>
    <w:p>
      <w:pPr>
        <w:pStyle w:val="Heading2"/>
      </w:pPr>
      <w:r>
        <w:t xml:space="preserve">3. Results</w:t>
      </w:r>
    </w:p>
    <w:p>
      <w:pPr>
        <w:spacing w:after="120"/>
        <w:rPr>
          <w:sz w:val="20"/>
        </w:rPr>
      </w:pPr>
      <w:r>
        <w:rPr>
          <w:b/>
          <w:sz w:val="20"/>
        </w:rPr>
        <w:t xml:space="preserve">Baseline.</w:t>
      </w:r>
      <w:r>
        <w:rPr>
          <w:sz w:val="20"/>
        </w:rPr>
        <w:t xml:space="preserve"> The always-benign model is 84.9% accurate but catches nothing; the real models are far above it on every score that counts attacks.</w:t>
      </w:r>
    </w:p>
    <w:tbl>
      <w:tblPr>
        <w:tblStyle w:val="TableGrid"/>
        <w:tblW w:w="11247" w:type="dxa"/>
        <w:tblLayout w:type="fixed"/>
      </w:tblPr>
      <w:tblGrid>
        <w:gridCol w:w="3622"/>
        <w:gridCol w:w="1525"/>
        <w:gridCol w:w="1525"/>
        <w:gridCol w:w="1144"/>
        <w:gridCol w:w="1334"/>
        <w:gridCol w:w="1144"/>
        <w:gridCol w:w="953"/>
      </w:tblGrid>
      <w:tr>
        <w:trPr>
          <w:tblHeader/>
        </w:trPr>
        <w:tc>
          <w:tcPr>
            <w:tcW w:w="3622" w:type="dxa"/>
            <w:shd w:val="clear" w:color="auto" w:fill="E7E6E6"/>
            <w:vAlign w:val="center"/>
          </w:tcPr>
          <w:p>
            <w:pPr>
              <w:spacing w:before="20" w:after="20"/>
              <w:rPr>
                <w:sz w:val="17"/>
              </w:rPr>
            </w:pPr>
            <w:r>
              <w:rPr>
                <w:b/>
                <w:sz w:val="17"/>
              </w:rPr>
              <w:t xml:space="preserve">Model</w:t>
            </w:r>
          </w:p>
        </w:tc>
        <w:tc>
          <w:tcPr>
            <w:tcW w:w="1525" w:type="dxa"/>
            <w:shd w:val="clear" w:color="auto" w:fill="E7E6E6"/>
            <w:vAlign w:val="center"/>
          </w:tcPr>
          <w:p>
            <w:pPr>
              <w:spacing w:before="20" w:after="20"/>
              <w:rPr>
                <w:sz w:val="17"/>
              </w:rPr>
            </w:pPr>
            <w:r>
              <w:rPr>
                <w:b/>
                <w:sz w:val="17"/>
              </w:rPr>
              <w:t xml:space="preserve">Accuracy</w:t>
            </w:r>
          </w:p>
        </w:tc>
        <w:tc>
          <w:tcPr>
            <w:tcW w:w="1525" w:type="dxa"/>
            <w:shd w:val="clear" w:color="auto" w:fill="E7E6E6"/>
            <w:vAlign w:val="center"/>
          </w:tcPr>
          <w:p>
            <w:pPr>
              <w:spacing w:before="20" w:after="20"/>
              <w:rPr>
                <w:sz w:val="17"/>
              </w:rPr>
            </w:pPr>
            <w:r>
              <w:rPr>
                <w:b/>
                <w:sz w:val="17"/>
              </w:rPr>
              <w:t xml:space="preserve">Macro-F1</w:t>
            </w:r>
          </w:p>
        </w:tc>
        <w:tc>
          <w:tcPr>
            <w:tcW w:w="1144" w:type="dxa"/>
            <w:shd w:val="clear" w:color="auto" w:fill="E7E6E6"/>
            <w:vAlign w:val="center"/>
          </w:tcPr>
          <w:p>
            <w:pPr>
              <w:spacing w:before="20" w:after="20"/>
              <w:rPr>
                <w:sz w:val="17"/>
              </w:rPr>
            </w:pPr>
            <w:r>
              <w:rPr>
                <w:b/>
                <w:sz w:val="17"/>
              </w:rPr>
              <w:t xml:space="preserve">Recall</w:t>
            </w:r>
          </w:p>
        </w:tc>
        <w:tc>
          <w:tcPr>
            <w:tcW w:w="1334" w:type="dxa"/>
            <w:shd w:val="clear" w:color="auto" w:fill="E7E6E6"/>
            <w:vAlign w:val="center"/>
          </w:tcPr>
          <w:p>
            <w:pPr>
              <w:spacing w:before="20" w:after="20"/>
              <w:rPr>
                <w:sz w:val="17"/>
              </w:rPr>
            </w:pPr>
            <w:r>
              <w:rPr>
                <w:b/>
                <w:sz w:val="17"/>
              </w:rPr>
              <w:t xml:space="preserve">ROC-AUC</w:t>
            </w:r>
          </w:p>
        </w:tc>
        <w:tc>
          <w:tcPr>
            <w:tcW w:w="1144" w:type="dxa"/>
            <w:shd w:val="clear" w:color="auto" w:fill="E7E6E6"/>
            <w:vAlign w:val="center"/>
          </w:tcPr>
          <w:p>
            <w:pPr>
              <w:spacing w:before="20" w:after="20"/>
              <w:rPr>
                <w:sz w:val="17"/>
              </w:rPr>
            </w:pPr>
            <w:r>
              <w:rPr>
                <w:b/>
                <w:sz w:val="17"/>
              </w:rPr>
              <w:t xml:space="preserve">PR-AUC</w:t>
            </w:r>
          </w:p>
        </w:tc>
        <w:tc>
          <w:tcPr>
            <w:tcW w:w="953" w:type="dxa"/>
            <w:shd w:val="clear" w:color="auto" w:fill="E7E6E6"/>
            <w:vAlign w:val="center"/>
          </w:tcPr>
          <w:p>
            <w:pPr>
              <w:spacing w:before="20" w:after="20"/>
              <w:rPr>
                <w:sz w:val="17"/>
              </w:rPr>
            </w:pPr>
            <w:r>
              <w:rPr>
                <w:b/>
                <w:sz w:val="17"/>
              </w:rPr>
              <w:t xml:space="preserve">FAR</w:t>
            </w:r>
          </w:p>
        </w:tc>
      </w:tr>
      <w:tr>
        <w:tc>
          <w:tcPr>
            <w:tcW w:w="3622" w:type="dxa"/>
            <w:vAlign w:val="center"/>
          </w:tcPr>
          <w:p>
            <w:pPr>
              <w:spacing w:before="20" w:after="20"/>
              <w:rPr>
                <w:sz w:val="17"/>
              </w:rPr>
            </w:pPr>
            <w:r>
              <w:rPr>
                <w:sz w:val="17"/>
              </w:rPr>
              <w:t xml:space="preserve">always benign</w:t>
            </w:r>
          </w:p>
        </w:tc>
        <w:tc>
          <w:tcPr>
            <w:tcW w:w="1525" w:type="dxa"/>
            <w:vAlign w:val="center"/>
          </w:tcPr>
          <w:p>
            <w:pPr>
              <w:spacing w:before="20" w:after="20"/>
              <w:rPr>
                <w:sz w:val="17"/>
              </w:rPr>
            </w:pPr>
            <w:r>
              <w:rPr>
                <w:sz w:val="17"/>
              </w:rPr>
              <w:t xml:space="preserve">0.849</w:t>
            </w:r>
          </w:p>
        </w:tc>
        <w:tc>
          <w:tcPr>
            <w:tcW w:w="1525" w:type="dxa"/>
            <w:vAlign w:val="center"/>
          </w:tcPr>
          <w:p>
            <w:pPr>
              <w:spacing w:before="20" w:after="20"/>
              <w:rPr>
                <w:sz w:val="17"/>
              </w:rPr>
            </w:pPr>
            <w:r>
              <w:rPr>
                <w:sz w:val="17"/>
              </w:rPr>
              <w:t xml:space="preserve">0.459</w:t>
            </w:r>
          </w:p>
        </w:tc>
        <w:tc>
          <w:tcPr>
            <w:tcW w:w="1144" w:type="dxa"/>
            <w:vAlign w:val="center"/>
          </w:tcPr>
          <w:p>
            <w:pPr>
              <w:spacing w:before="20" w:after="20"/>
              <w:rPr>
                <w:sz w:val="17"/>
              </w:rPr>
            </w:pPr>
            <w:r>
              <w:rPr>
                <w:sz w:val="17"/>
              </w:rPr>
              <w:t xml:space="preserve">0.000</w:t>
            </w:r>
          </w:p>
        </w:tc>
        <w:tc>
          <w:tcPr>
            <w:tcW w:w="1334" w:type="dxa"/>
            <w:vAlign w:val="center"/>
          </w:tcPr>
          <w:p>
            <w:pPr>
              <w:spacing w:before="20" w:after="20"/>
              <w:rPr>
                <w:sz w:val="17"/>
              </w:rPr>
            </w:pPr>
            <w:r>
              <w:rPr>
                <w:sz w:val="17"/>
              </w:rPr>
              <w:t xml:space="preserve">0.500</w:t>
            </w:r>
          </w:p>
        </w:tc>
        <w:tc>
          <w:tcPr>
            <w:tcW w:w="1144" w:type="dxa"/>
            <w:vAlign w:val="center"/>
          </w:tcPr>
          <w:p>
            <w:pPr>
              <w:spacing w:before="20" w:after="20"/>
              <w:rPr>
                <w:sz w:val="17"/>
              </w:rPr>
            </w:pPr>
            <w:r>
              <w:rPr>
                <w:sz w:val="17"/>
              </w:rPr>
              <w:t xml:space="preserve">0.151</w:t>
            </w:r>
          </w:p>
        </w:tc>
        <w:tc>
          <w:tcPr>
            <w:tcW w:w="953" w:type="dxa"/>
            <w:vAlign w:val="center"/>
          </w:tcPr>
          <w:p>
            <w:pPr>
              <w:spacing w:before="20" w:after="20"/>
              <w:rPr>
                <w:sz w:val="17"/>
              </w:rPr>
            </w:pPr>
            <w:r>
              <w:rPr>
                <w:sz w:val="17"/>
              </w:rPr>
              <w:t xml:space="preserve">0.000</w:t>
            </w:r>
          </w:p>
        </w:tc>
      </w:tr>
      <w:tr>
        <w:tc>
          <w:tcPr>
            <w:tcW w:w="3622" w:type="dxa"/>
            <w:vAlign w:val="center"/>
          </w:tcPr>
          <w:p>
            <w:pPr>
              <w:spacing w:before="20" w:after="20"/>
              <w:rPr>
                <w:sz w:val="17"/>
              </w:rPr>
            </w:pPr>
            <w:r>
              <w:rPr>
                <w:sz w:val="17"/>
              </w:rPr>
              <w:t xml:space="preserve">decision tree</w:t>
            </w:r>
          </w:p>
        </w:tc>
        <w:tc>
          <w:tcPr>
            <w:tcW w:w="1525" w:type="dxa"/>
            <w:vAlign w:val="center"/>
          </w:tcPr>
          <w:p>
            <w:pPr>
              <w:spacing w:before="20" w:after="20"/>
              <w:rPr>
                <w:sz w:val="17"/>
              </w:rPr>
            </w:pPr>
            <w:r>
              <w:rPr>
                <w:sz w:val="17"/>
              </w:rPr>
              <w:t xml:space="preserve">0.999</w:t>
            </w:r>
          </w:p>
        </w:tc>
        <w:tc>
          <w:tcPr>
            <w:tcW w:w="1525" w:type="dxa"/>
            <w:vAlign w:val="center"/>
          </w:tcPr>
          <w:p>
            <w:pPr>
              <w:spacing w:before="20" w:after="20"/>
              <w:rPr>
                <w:sz w:val="17"/>
              </w:rPr>
            </w:pPr>
            <w:r>
              <w:rPr>
                <w:sz w:val="17"/>
              </w:rPr>
              <w:t xml:space="preserve">0.997</w:t>
            </w:r>
          </w:p>
        </w:tc>
        <w:tc>
          <w:tcPr>
            <w:tcW w:w="1144" w:type="dxa"/>
            <w:vAlign w:val="center"/>
          </w:tcPr>
          <w:p>
            <w:pPr>
              <w:spacing w:before="20" w:after="20"/>
              <w:rPr>
                <w:sz w:val="17"/>
              </w:rPr>
            </w:pPr>
            <w:r>
              <w:rPr>
                <w:sz w:val="17"/>
              </w:rPr>
              <w:t xml:space="preserve">0.995</w:t>
            </w:r>
          </w:p>
        </w:tc>
        <w:tc>
          <w:tcPr>
            <w:tcW w:w="1334" w:type="dxa"/>
            <w:vAlign w:val="center"/>
          </w:tcPr>
          <w:p>
            <w:pPr>
              <w:spacing w:before="20" w:after="20"/>
              <w:rPr>
                <w:sz w:val="17"/>
              </w:rPr>
            </w:pPr>
            <w:r>
              <w:rPr>
                <w:sz w:val="17"/>
              </w:rPr>
              <w:t xml:space="preserve">0.997</w:t>
            </w:r>
          </w:p>
        </w:tc>
        <w:tc>
          <w:tcPr>
            <w:tcW w:w="1144" w:type="dxa"/>
            <w:vAlign w:val="center"/>
          </w:tcPr>
          <w:p>
            <w:pPr>
              <w:spacing w:before="20" w:after="20"/>
              <w:rPr>
                <w:sz w:val="17"/>
              </w:rPr>
            </w:pPr>
            <w:r>
              <w:rPr>
                <w:sz w:val="17"/>
              </w:rPr>
              <w:t xml:space="preserve">0.991</w:t>
            </w:r>
          </w:p>
        </w:tc>
        <w:tc>
          <w:tcPr>
            <w:tcW w:w="953" w:type="dxa"/>
            <w:vAlign w:val="center"/>
          </w:tcPr>
          <w:p>
            <w:pPr>
              <w:spacing w:before="20" w:after="20"/>
              <w:rPr>
                <w:sz w:val="17"/>
              </w:rPr>
            </w:pPr>
            <w:r>
              <w:rPr>
                <w:sz w:val="17"/>
              </w:rPr>
              <w:t xml:space="preserve">0.001</w:t>
            </w:r>
          </w:p>
        </w:tc>
      </w:tr>
      <w:tr>
        <w:tc>
          <w:tcPr>
            <w:tcW w:w="3622" w:type="dxa"/>
            <w:vAlign w:val="center"/>
          </w:tcPr>
          <w:p>
            <w:pPr>
              <w:spacing w:before="20" w:after="20"/>
              <w:rPr>
                <w:sz w:val="17"/>
              </w:rPr>
            </w:pPr>
            <w:r>
              <w:rPr>
                <w:sz w:val="17"/>
              </w:rPr>
              <w:t xml:space="preserve">logistic regression</w:t>
            </w:r>
          </w:p>
        </w:tc>
        <w:tc>
          <w:tcPr>
            <w:tcW w:w="1525" w:type="dxa"/>
            <w:vAlign w:val="center"/>
          </w:tcPr>
          <w:p>
            <w:pPr>
              <w:spacing w:before="20" w:after="20"/>
              <w:rPr>
                <w:sz w:val="17"/>
              </w:rPr>
            </w:pPr>
            <w:r>
              <w:rPr>
                <w:sz w:val="17"/>
              </w:rPr>
              <w:t xml:space="preserve">0.972</w:t>
            </w:r>
          </w:p>
        </w:tc>
        <w:tc>
          <w:tcPr>
            <w:tcW w:w="1525" w:type="dxa"/>
            <w:vAlign w:val="center"/>
          </w:tcPr>
          <w:p>
            <w:pPr>
              <w:spacing w:before="20" w:after="20"/>
              <w:rPr>
                <w:sz w:val="17"/>
              </w:rPr>
            </w:pPr>
            <w:r>
              <w:rPr>
                <w:sz w:val="17"/>
              </w:rPr>
              <w:t xml:space="preserve">0.942</w:t>
            </w:r>
          </w:p>
        </w:tc>
        <w:tc>
          <w:tcPr>
            <w:tcW w:w="1144" w:type="dxa"/>
            <w:vAlign w:val="center"/>
          </w:tcPr>
          <w:p>
            <w:pPr>
              <w:spacing w:before="20" w:after="20"/>
              <w:rPr>
                <w:sz w:val="17"/>
              </w:rPr>
            </w:pPr>
            <w:r>
              <w:rPr>
                <w:sz w:val="17"/>
              </w:rPr>
              <w:t xml:space="preserve">0.832</w:t>
            </w:r>
          </w:p>
        </w:tc>
        <w:tc>
          <w:tcPr>
            <w:tcW w:w="1334" w:type="dxa"/>
            <w:vAlign w:val="center"/>
          </w:tcPr>
          <w:p>
            <w:pPr>
              <w:spacing w:before="20" w:after="20"/>
              <w:rPr>
                <w:sz w:val="17"/>
              </w:rPr>
            </w:pPr>
            <w:r>
              <w:rPr>
                <w:sz w:val="17"/>
              </w:rPr>
              <w:t xml:space="preserve">0.991</w:t>
            </w:r>
          </w:p>
        </w:tc>
        <w:tc>
          <w:tcPr>
            <w:tcW w:w="1144" w:type="dxa"/>
            <w:vAlign w:val="center"/>
          </w:tcPr>
          <w:p>
            <w:pPr>
              <w:spacing w:before="20" w:after="20"/>
              <w:rPr>
                <w:sz w:val="17"/>
              </w:rPr>
            </w:pPr>
            <w:r>
              <w:rPr>
                <w:sz w:val="17"/>
              </w:rPr>
              <w:t xml:space="preserve">0.969</w:t>
            </w:r>
          </w:p>
        </w:tc>
        <w:tc>
          <w:tcPr>
            <w:tcW w:w="953" w:type="dxa"/>
            <w:vAlign w:val="center"/>
          </w:tcPr>
          <w:p>
            <w:pPr>
              <w:spacing w:before="20" w:after="20"/>
              <w:rPr>
                <w:sz w:val="17"/>
              </w:rPr>
            </w:pPr>
            <w:r>
              <w:rPr>
                <w:sz w:val="17"/>
              </w:rPr>
              <w:t xml:space="preserve">0.003</w:t>
            </w:r>
          </w:p>
        </w:tc>
      </w:tr>
      <w:tr>
        <w:tc>
          <w:tcPr>
            <w:tcW w:w="3622" w:type="dxa"/>
            <w:vAlign w:val="center"/>
          </w:tcPr>
          <w:p>
            <w:pPr>
              <w:spacing w:before="20" w:after="20"/>
              <w:rPr>
                <w:sz w:val="17"/>
              </w:rPr>
            </w:pPr>
            <w:r>
              <w:rPr>
                <w:sz w:val="17"/>
              </w:rPr>
              <w:t xml:space="preserve">random forest</w:t>
            </w:r>
          </w:p>
        </w:tc>
        <w:tc>
          <w:tcPr>
            <w:tcW w:w="1525" w:type="dxa"/>
            <w:vAlign w:val="center"/>
          </w:tcPr>
          <w:p>
            <w:pPr>
              <w:spacing w:before="20" w:after="20"/>
              <w:rPr>
                <w:sz w:val="17"/>
              </w:rPr>
            </w:pPr>
            <w:r>
              <w:rPr>
                <w:sz w:val="17"/>
              </w:rPr>
              <w:t xml:space="preserve">0.998</w:t>
            </w:r>
          </w:p>
        </w:tc>
        <w:tc>
          <w:tcPr>
            <w:tcW w:w="1525" w:type="dxa"/>
            <w:vAlign w:val="center"/>
          </w:tcPr>
          <w:p>
            <w:pPr>
              <w:spacing w:before="20" w:after="20"/>
              <w:rPr>
                <w:sz w:val="17"/>
              </w:rPr>
            </w:pPr>
            <w:r>
              <w:rPr>
                <w:sz w:val="17"/>
              </w:rPr>
              <w:t xml:space="preserve">0.997</w:t>
            </w:r>
          </w:p>
        </w:tc>
        <w:tc>
          <w:tcPr>
            <w:tcW w:w="1144" w:type="dxa"/>
            <w:vAlign w:val="center"/>
          </w:tcPr>
          <w:p>
            <w:pPr>
              <w:spacing w:before="20" w:after="20"/>
              <w:rPr>
                <w:sz w:val="17"/>
              </w:rPr>
            </w:pPr>
            <w:r>
              <w:rPr>
                <w:sz w:val="17"/>
              </w:rPr>
              <w:t xml:space="preserve">0.992</w:t>
            </w:r>
          </w:p>
        </w:tc>
        <w:tc>
          <w:tcPr>
            <w:tcW w:w="1334" w:type="dxa"/>
            <w:vAlign w:val="center"/>
          </w:tcPr>
          <w:p>
            <w:pPr>
              <w:spacing w:before="20" w:after="20"/>
              <w:rPr>
                <w:sz w:val="17"/>
              </w:rPr>
            </w:pPr>
            <w:r>
              <w:rPr>
                <w:sz w:val="17"/>
              </w:rPr>
              <w:t xml:space="preserve">1.000</w:t>
            </w:r>
          </w:p>
        </w:tc>
        <w:tc>
          <w:tcPr>
            <w:tcW w:w="1144" w:type="dxa"/>
            <w:vAlign w:val="center"/>
          </w:tcPr>
          <w:p>
            <w:pPr>
              <w:spacing w:before="20" w:after="20"/>
              <w:rPr>
                <w:sz w:val="17"/>
              </w:rPr>
            </w:pPr>
            <w:r>
              <w:rPr>
                <w:sz w:val="17"/>
              </w:rPr>
              <w:t xml:space="preserve">1.000</w:t>
            </w:r>
          </w:p>
        </w:tc>
        <w:tc>
          <w:tcPr>
            <w:tcW w:w="953" w:type="dxa"/>
            <w:vAlign w:val="center"/>
          </w:tcPr>
          <w:p>
            <w:pPr>
              <w:spacing w:before="20" w:after="20"/>
              <w:rPr>
                <w:sz w:val="17"/>
              </w:rPr>
            </w:pPr>
            <w:r>
              <w:rPr>
                <w:sz w:val="17"/>
              </w:rPr>
              <w:t xml:space="preserve">0.001</w:t>
            </w:r>
          </w:p>
        </w:tc>
      </w:tr>
    </w:tbl>
    <w:p>
      <w:pPr>
        <w:spacing w:after="0"/>
        <w:rPr>
          <w:sz w:val="8"/>
        </w:rPr>
      </w:pPr>
    </w:p>
    <w:p>
      <w:pPr>
        <w:keepNext/>
        <w:spacing w:after="60"/>
        <w:rPr>
          <w:sz w:val="18"/>
        </w:rPr>
      </w:pPr>
      <w:r>
        <w:rPr>
          <w:i/>
          <w:sz w:val="18"/>
        </w:rPr>
        <w:t xml:space="preserve">Table 2. Clean test set (89,329 flows). FAR = share of benign flows flagged as attacks.</w:t>
      </w:r>
    </w:p>
    <w:p>
      <w:pPr>
        <w:spacing w:after="120"/>
        <w:rPr>
          <w:sz w:val="20"/>
        </w:rPr>
      </w:pPr>
      <w:r>
        <w:rPr>
          <w:b/>
          <w:sz w:val="20"/>
        </w:rPr>
        <w:t xml:space="preserve">Noise and missing values.</w:t>
      </w:r>
      <w:r>
        <w:rPr>
          <w:sz w:val="20"/>
        </w:rPr>
        <w:t xml:space="preserve"> Figure 1 shows the effect of noise. At 5% noise the forest keeps only </w:t>
      </w:r>
      <w:r>
        <w:rPr>
          <w:b/>
          <w:sz w:val="20"/>
        </w:rPr>
        <w:t xml:space="preserve">0.063 recall</w:t>
      </w:r>
      <w:r>
        <w:rPr>
          <w:sz w:val="20"/>
        </w:rPr>
        <w:t xml:space="preserve"> and the tree 0.109, while logistic regression keeps 0.836 and loses only 0.033 macro-F1. With 10% of each flow's values replaced by training medians the order reverses: forest macro-F1 0.990 (recall 0.968), tree 0.876, logistic regression 0.778 (recall 0.609). Losing </w:t>
      </w:r>
      <w:r>
        <w:rPr>
          <w:i/>
          <w:sz w:val="20"/>
        </w:rPr>
        <w:t xml:space="preserve">all 17 backward features</w:t>
      </w:r>
      <w:r>
        <w:rPr>
          <w:sz w:val="20"/>
        </w:rPr>
        <w:t xml:space="preserve"> at once, instead of random ones, leaves the forest a recall of </w:t>
      </w:r>
      <w:r>
        <w:rPr>
          <w:b/>
          <w:sz w:val="20"/>
        </w:rPr>
        <w:t xml:space="preserve">0.001</w:t>
      </w:r>
      <w:r>
        <w:rPr>
          <w:sz w:val="20"/>
        </w:rPr>
        <w:t xml:space="preserve">; the same number of values missing at random leaves 0.683. Clipping noisy values at zero made no difference for the two tree models.</w:t>
      </w:r>
    </w:p>
    <w:p>
      <w:pPr>
        <w:keepNext/>
        <w:jc w:val="center"/>
        <w:spacing w:after="40"/>
      </w:pPr>
      <w:r>
        <w:drawing>
          <wp:inline distT="0" distB="0" distL="0" distR="0">
            <wp:extent cx="6766560" cy="2706624"/>
            <wp:docPr id="100" name="Picture 100"/>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8"/>
                    <a:stretch>
                      <a:fillRect/>
                    </a:stretch>
                  </pic:blipFill>
                  <pic:spPr>
                    <a:xfrm>
                      <a:off x="0" y="0"/>
                      <a:ext cx="6766560" cy="2706624"/>
                    </a:xfrm>
                    <a:prstGeom prst="rect">
                      <a:avLst/>
                    </a:prstGeom>
                  </pic:spPr>
                </pic:pic>
              </a:graphicData>
            </a:graphic>
          </wp:inline>
        </w:drawing>
      </w:r>
    </w:p>
    <w:p>
      <w:pPr>
        <w:jc w:val="center"/>
        <w:rPr>
          <w:sz w:val="18"/>
        </w:rPr>
      </w:pPr>
      <w:r>
        <w:rPr>
          <w:i/>
          <w:sz w:val="18"/>
        </w:rPr>
        <w:t xml:space="preserve">Figure 1. Macro-F1 and recall on the test set as Gaussian noise grows (noise width = share of each feature's training standard deviation; never-negative features clipped at zero).</w:t>
      </w:r>
    </w:p>
    <w:p>
      <w:pPr>
        <w:spacing w:after="120"/>
        <w:rPr>
          <w:sz w:val="20"/>
        </w:rPr>
      </w:pPr>
      <w:r>
        <w:rPr>
          <w:b/>
          <w:sz w:val="20"/>
        </w:rPr>
        <w:t xml:space="preserve">Evasion attack</w:t>
      </w:r>
      <w:r>
        <w:rPr>
          <w:sz w:val="20"/>
        </w:rPr>
        <w:t xml:space="preserve"> (greedy search, five steps, on the 50 test attacks the forest is surest about, all at probability 1.000):</w:t>
      </w:r>
    </w:p>
    <w:tbl>
      <w:tblPr>
        <w:tblStyle w:val="TableGrid"/>
        <w:tblW w:w="11248" w:type="dxa"/>
        <w:tblLayout w:type="fixed"/>
      </w:tblPr>
      <w:tblGrid>
        <w:gridCol w:w="4639"/>
        <w:gridCol w:w="1623"/>
        <w:gridCol w:w="2551"/>
        <w:gridCol w:w="2435"/>
      </w:tblGrid>
      <w:tr>
        <w:trPr>
          <w:tblHeader/>
        </w:trPr>
        <w:tc>
          <w:tcPr>
            <w:tcW w:w="4639" w:type="dxa"/>
            <w:shd w:val="clear" w:color="auto" w:fill="E7E6E6"/>
            <w:vAlign w:val="center"/>
          </w:tcPr>
          <w:p>
            <w:pPr>
              <w:spacing w:before="20" w:after="20"/>
              <w:rPr>
                <w:sz w:val="17"/>
              </w:rPr>
            </w:pPr>
            <w:r>
              <w:rPr>
                <w:b/>
                <w:sz w:val="17"/>
              </w:rPr>
              <w:t xml:space="preserve">Attack</w:t>
            </w:r>
          </w:p>
        </w:tc>
        <w:tc>
          <w:tcPr>
            <w:tcW w:w="1623" w:type="dxa"/>
            <w:shd w:val="clear" w:color="auto" w:fill="E7E6E6"/>
            <w:vAlign w:val="center"/>
          </w:tcPr>
          <w:p>
            <w:pPr>
              <w:spacing w:before="20" w:after="20"/>
              <w:rPr>
                <w:sz w:val="17"/>
              </w:rPr>
            </w:pPr>
            <w:r>
              <w:rPr>
                <w:b/>
                <w:sz w:val="17"/>
              </w:rPr>
              <w:t xml:space="preserve">Evaded (of 50)</w:t>
            </w:r>
          </w:p>
        </w:tc>
        <w:tc>
          <w:tcPr>
            <w:tcW w:w="2551" w:type="dxa"/>
            <w:shd w:val="clear" w:color="auto" w:fill="E7E6E6"/>
            <w:vAlign w:val="center"/>
          </w:tcPr>
          <w:p>
            <w:pPr>
              <w:spacing w:before="20" w:after="20"/>
              <w:rPr>
                <w:sz w:val="17"/>
              </w:rPr>
            </w:pPr>
            <w:r>
              <w:rPr>
                <w:b/>
                <w:sz w:val="17"/>
              </w:rPr>
              <w:t xml:space="preserve">Mean probability after</w:t>
            </w:r>
          </w:p>
        </w:tc>
        <w:tc>
          <w:tcPr>
            <w:tcW w:w="2435" w:type="dxa"/>
            <w:shd w:val="clear" w:color="auto" w:fill="E7E6E6"/>
            <w:vAlign w:val="center"/>
          </w:tcPr>
          <w:p>
            <w:pPr>
              <w:spacing w:before="20" w:after="20"/>
              <w:rPr>
                <w:sz w:val="17"/>
              </w:rPr>
            </w:pPr>
            <w:r>
              <w:rPr>
                <w:b/>
                <w:sz w:val="17"/>
              </w:rPr>
              <w:t xml:space="preserve">Mean features changed</w:t>
            </w:r>
          </w:p>
        </w:tc>
      </w:tr>
      <w:tr>
        <w:tc>
          <w:tcPr>
            <w:tcW w:w="4639" w:type="dxa"/>
            <w:vAlign w:val="center"/>
          </w:tcPr>
          <w:p>
            <w:pPr>
              <w:spacing w:before="20" w:after="20"/>
              <w:rPr>
                <w:sz w:val="17"/>
              </w:rPr>
            </w:pPr>
            <w:r>
              <w:rPr>
                <w:sz w:val="17"/>
              </w:rPr>
              <w:t xml:space="preserve">forest, constrained</w:t>
            </w:r>
          </w:p>
        </w:tc>
        <w:tc>
          <w:tcPr>
            <w:tcW w:w="1623" w:type="dxa"/>
            <w:vAlign w:val="center"/>
          </w:tcPr>
          <w:p>
            <w:pPr>
              <w:spacing w:before="20" w:after="20"/>
              <w:rPr>
                <w:sz w:val="17"/>
              </w:rPr>
            </w:pPr>
            <w:r>
              <w:rPr>
                <w:sz w:val="17"/>
              </w:rPr>
              <w:t xml:space="preserve">9</w:t>
            </w:r>
          </w:p>
        </w:tc>
        <w:tc>
          <w:tcPr>
            <w:tcW w:w="2551" w:type="dxa"/>
            <w:vAlign w:val="center"/>
          </w:tcPr>
          <w:p>
            <w:pPr>
              <w:spacing w:before="20" w:after="20"/>
              <w:rPr>
                <w:sz w:val="17"/>
              </w:rPr>
            </w:pPr>
            <w:r>
              <w:rPr>
                <w:sz w:val="17"/>
              </w:rPr>
              <w:t xml:space="preserve">0.731</w:t>
            </w:r>
          </w:p>
        </w:tc>
        <w:tc>
          <w:tcPr>
            <w:tcW w:w="2435" w:type="dxa"/>
            <w:vAlign w:val="center"/>
          </w:tcPr>
          <w:p>
            <w:pPr>
              <w:spacing w:before="20" w:after="20"/>
              <w:rPr>
                <w:sz w:val="17"/>
              </w:rPr>
            </w:pPr>
            <w:r>
              <w:rPr>
                <w:sz w:val="17"/>
              </w:rPr>
              <w:t xml:space="preserve">4.22</w:t>
            </w:r>
          </w:p>
        </w:tc>
      </w:tr>
      <w:tr>
        <w:tc>
          <w:tcPr>
            <w:tcW w:w="4639" w:type="dxa"/>
            <w:vAlign w:val="center"/>
          </w:tcPr>
          <w:p>
            <w:pPr>
              <w:spacing w:before="20" w:after="20"/>
              <w:rPr>
                <w:sz w:val="17"/>
              </w:rPr>
            </w:pPr>
            <w:r>
              <w:rPr>
                <w:sz w:val="17"/>
              </w:rPr>
              <w:t xml:space="preserve">forest, unconstrained</w:t>
            </w:r>
          </w:p>
        </w:tc>
        <w:tc>
          <w:tcPr>
            <w:tcW w:w="1623" w:type="dxa"/>
            <w:vAlign w:val="center"/>
          </w:tcPr>
          <w:p>
            <w:pPr>
              <w:spacing w:before="20" w:after="20"/>
              <w:rPr>
                <w:sz w:val="17"/>
              </w:rPr>
            </w:pPr>
            <w:r>
              <w:rPr>
                <w:sz w:val="17"/>
              </w:rPr>
              <w:t xml:space="preserve">50</w:t>
            </w:r>
          </w:p>
        </w:tc>
        <w:tc>
          <w:tcPr>
            <w:tcW w:w="2551" w:type="dxa"/>
            <w:vAlign w:val="center"/>
          </w:tcPr>
          <w:p>
            <w:pPr>
              <w:spacing w:before="20" w:after="20"/>
              <w:rPr>
                <w:sz w:val="17"/>
              </w:rPr>
            </w:pPr>
            <w:r>
              <w:rPr>
                <w:sz w:val="17"/>
              </w:rPr>
              <w:t xml:space="preserve">0.431</w:t>
            </w:r>
          </w:p>
        </w:tc>
        <w:tc>
          <w:tcPr>
            <w:tcW w:w="2435" w:type="dxa"/>
            <w:vAlign w:val="center"/>
          </w:tcPr>
          <w:p>
            <w:pPr>
              <w:spacing w:before="20" w:after="20"/>
              <w:rPr>
                <w:sz w:val="17"/>
              </w:rPr>
            </w:pPr>
            <w:r>
              <w:rPr>
                <w:sz w:val="17"/>
              </w:rPr>
              <w:t xml:space="preserve">2.78</w:t>
            </w:r>
          </w:p>
        </w:tc>
      </w:tr>
      <w:tr>
        <w:tc>
          <w:tcPr>
            <w:tcW w:w="4639" w:type="dxa"/>
            <w:vAlign w:val="center"/>
          </w:tcPr>
          <w:p>
            <w:pPr>
              <w:spacing w:before="20" w:after="20"/>
              <w:rPr>
                <w:sz w:val="17"/>
              </w:rPr>
            </w:pPr>
            <w:r>
              <w:rPr>
                <w:sz w:val="17"/>
              </w:rPr>
              <w:t xml:space="preserve">ensemble (forest + boosting + logistic regression), constrained</w:t>
            </w:r>
          </w:p>
        </w:tc>
        <w:tc>
          <w:tcPr>
            <w:tcW w:w="1623" w:type="dxa"/>
            <w:vAlign w:val="center"/>
          </w:tcPr>
          <w:p>
            <w:pPr>
              <w:spacing w:before="20" w:after="20"/>
              <w:rPr>
                <w:sz w:val="17"/>
              </w:rPr>
            </w:pPr>
            <w:r>
              <w:rPr>
                <w:sz w:val="17"/>
              </w:rPr>
              <w:t xml:space="preserve">11</w:t>
            </w:r>
          </w:p>
        </w:tc>
        <w:tc>
          <w:tcPr>
            <w:tcW w:w="2551" w:type="dxa"/>
            <w:vAlign w:val="center"/>
          </w:tcPr>
          <w:p>
            <w:pPr>
              <w:spacing w:before="20" w:after="20"/>
              <w:rPr>
                <w:sz w:val="17"/>
              </w:rPr>
            </w:pPr>
            <w:r>
              <w:rPr>
                <w:sz w:val="17"/>
              </w:rPr>
              <w:t xml:space="preserve">0.725</w:t>
            </w:r>
          </w:p>
        </w:tc>
        <w:tc>
          <w:tcPr>
            <w:tcW w:w="2435" w:type="dxa"/>
            <w:vAlign w:val="center"/>
          </w:tcPr>
          <w:p>
            <w:pPr>
              <w:spacing w:before="20" w:after="20"/>
              <w:rPr>
                <w:sz w:val="17"/>
              </w:rPr>
            </w:pPr>
            <w:r>
              <w:rPr>
                <w:sz w:val="17"/>
              </w:rPr>
              <w:t xml:space="preserve">3.94</w:t>
            </w:r>
          </w:p>
        </w:tc>
      </w:tr>
    </w:tbl>
    <w:p>
      <w:pPr>
        <w:spacing w:after="0"/>
        <w:rPr>
          <w:sz w:val="8"/>
        </w:rPr>
      </w:pPr>
    </w:p>
    <w:p>
      <w:pPr>
        <w:keepNext/>
        <w:spacing w:after="60"/>
        <w:rPr>
          <w:sz w:val="18"/>
        </w:rPr>
      </w:pPr>
      <w:r>
        <w:rPr>
          <w:i/>
          <w:sz w:val="18"/>
        </w:rPr>
        <w:t xml:space="preserve">Table 3. The unconstrained attack may change any feature up or down by the same step; 87% of its steps changed Fixed features.</w:t>
      </w:r>
    </w:p>
    <w:p>
      <w:pPr>
        <w:spacing w:after="120"/>
        <w:rPr>
          <w:sz w:val="20"/>
        </w:rPr>
      </w:pPr>
      <w:r>
        <w:rPr>
          <w:sz w:val="20"/>
        </w:rPr>
        <w:t xml:space="preserve">The constrained attack evaded 7 of 25 DDoS flows, both DoS GoldenEye flows and none of the 22 DoS Hulk flows; all nine evasions end just below the threshold (0.41–0.48). Overall it changed forward counts most often, but the successful evasions mostly </w:t>
      </w:r>
      <w:r>
        <w:rPr>
          <w:i/>
          <w:sz w:val="20"/>
        </w:rPr>
        <w:t xml:space="preserve">waited longer</w:t>
      </w:r>
      <w:r>
        <w:rPr>
          <w:sz w:val="20"/>
        </w:rPr>
        <w:t xml:space="preserve">: 18 of their 27 steps were timing changes, led by the shortest gap between packets (</w:t>
      </w:r>
      <w:r>
        <w:rPr>
          <w:rFonts w:ascii="Consolas" w:hAnsi="Consolas"/>
          <w:sz w:val="20"/>
        </w:rPr>
        <w:t xml:space="preserve">Fwd IAT Min</w:t>
      </w:r>
      <w:r>
        <w:rPr>
          <w:sz w:val="20"/>
        </w:rPr>
        <w:t xml:space="preserve">, +4.8 s per step). No Fixed feature was ever changed. The ensemble matched the forest on clean data (macro-F1 0.997), helped a little under 5% noise (0.621 vs 0.521) and did slightly worse with missing values (0.973 vs 0.990).</w:t>
      </w:r>
    </w:p>
    <w:p>
      <w:pPr>
        <w:spacing w:after="120"/>
        <w:rPr>
          <w:sz w:val="20"/>
        </w:rPr>
      </w:pPr>
      <w:r>
        <w:rPr>
          <w:b/>
          <w:sz w:val="20"/>
        </w:rPr>
        <w:t xml:space="preserve">SHAP versus the attacker.</w:t>
      </w:r>
      <w:r>
        <w:rPr>
          <w:sz w:val="20"/>
        </w:rPr>
        <w:t xml:space="preserve"> All ten of the forest's top SHAP features are </w:t>
      </w:r>
      <w:r>
        <w:rPr>
          <w:b/>
          <w:sz w:val="20"/>
        </w:rPr>
        <w:t xml:space="preserve">Fixed</w:t>
      </w:r>
      <w:r>
        <w:rPr>
          <w:sz w:val="20"/>
        </w:rPr>
        <w:t xml:space="preserve"> (Figure 2), led by the size statistics of the victim's replies; Fixed features carry 77% of the total mean |SHAP|. The overlap with the attacker's ten most-changed features is </w:t>
      </w:r>
      <w:r>
        <w:rPr>
          <w:b/>
          <w:sz w:val="20"/>
        </w:rPr>
        <w:t xml:space="preserve">zero</w:t>
      </w:r>
      <w:r>
        <w:rPr>
          <w:sz w:val="20"/>
        </w:rPr>
        <w:t xml:space="preserve">, and the two timing features behind the DDoS evasions rank only 41st and 58th of 68. Under 5% noise the SHAP ranking of 200 flows has a Spearman correlation of </w:t>
      </w:r>
      <w:r>
        <w:rPr>
          <w:b/>
          <w:sz w:val="20"/>
        </w:rPr>
        <w:t xml:space="preserve">0.899</w:t>
      </w:r>
      <w:r>
        <w:rPr>
          <w:sz w:val="20"/>
        </w:rPr>
        <w:t xml:space="preserve"> with the clean ranking, just below the lab's 0.90 threshold; over the 20 most important features it is only 0.496.</w:t>
      </w:r>
    </w:p>
    <w:p>
      <w:pPr>
        <w:keepNext/>
        <w:jc w:val="center"/>
        <w:spacing w:after="40"/>
      </w:pPr>
      <w:r>
        <w:drawing>
          <wp:inline distT="0" distB="0" distL="0" distR="0">
            <wp:extent cx="4389120" cy="3017520"/>
            <wp:docPr id="101" name="Pictu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9"/>
                    <a:stretch>
                      <a:fillRect/>
                    </a:stretch>
                  </pic:blipFill>
                  <pic:spPr>
                    <a:xfrm>
                      <a:off x="0" y="0"/>
                      <a:ext cx="4389120" cy="3017520"/>
                    </a:xfrm>
                    <a:prstGeom prst="rect">
                      <a:avLst/>
                    </a:prstGeom>
                  </pic:spPr>
                </pic:pic>
              </a:graphicData>
            </a:graphic>
          </wp:inline>
        </w:drawing>
      </w:r>
    </w:p>
    <w:p>
      <w:pPr>
        <w:jc w:val="center"/>
        <w:rPr>
          <w:sz w:val="18"/>
        </w:rPr>
      </w:pPr>
      <w:r>
        <w:rPr>
          <w:i/>
          <w:sz w:val="18"/>
        </w:rPr>
        <w:t xml:space="preserve">Figure 2. Mean absolute SHAP value (attack class) of the forest's 15 most important features on 500 test flows, coloured by attacker group.</w:t>
      </w:r>
    </w:p>
    <w:p>
      <w:pPr>
        <w:spacing w:after="120"/>
        <w:rPr>
          <w:sz w:val="20"/>
        </w:rPr>
      </w:pPr>
      <w:r>
        <w:rPr>
          <w:b/>
          <w:sz w:val="20"/>
        </w:rPr>
        <w:t xml:space="preserve">Do the explanations hold up?</w:t>
      </w:r>
      <w:r>
        <w:rPr>
          <w:sz w:val="20"/>
        </w:rPr>
        <w:t xml:space="preserve"> Replacing SHAP's top features with training medians lowers the attack probability far more than replacing random features (Figure 3): by 0.201, 0.427 and 0.543 for the top 1, 3 and 5 features, against 0.028, 0.094 and 0.150 for as many random ones, and the top five push 30 of the 50 detected attacks below 0.5. The ranking is therefore faithful. For the 42 flows whose top feature has correlated twins, removing it alone costs 0.19, with its direct twins (|corr| &gt; 0.95) 0.25, and with its whole chain of twins 0.47 (11 flows then fall below 0.5). Base value plus SHAP values reproduced the forest's probability exactly (largest difference 4e-16) </w:t>
      </w:r>
      <w:r>
        <w:rPr>
          <w:b/>
          <w:sz w:val="20"/>
        </w:rPr>
        <w:t xml:space="preserve">without</w:t>
      </w:r>
      <w:r>
        <w:rPr>
          <w:sz w:val="20"/>
        </w:rPr>
        <w:t xml:space="preserve"> a sigmoid: for a scikit-learn forest TreeSHAP explains the probability itself, not log-odds (for gradient boosting the sigmoid is needed). LIME fitted the forest badly: on 20 random test flows its R² ranged from 0.075 to 0.300 (mean 0.175), all below 0.70, and borderline flows (probability 0.3–0.7) fitted no better.</w:t>
      </w:r>
    </w:p>
    <w:p>
      <w:pPr>
        <w:keepNext/>
        <w:jc w:val="center"/>
        <w:spacing w:after="40"/>
      </w:pPr>
      <w:r>
        <w:drawing>
          <wp:inline distT="0" distB="0" distL="0" distR="0">
            <wp:extent cx="6766560" cy="2706624"/>
            <wp:docPr id="102" name="Pictu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0"/>
                    <a:stretch>
                      <a:fillRect/>
                    </a:stretch>
                  </pic:blipFill>
                  <pic:spPr>
                    <a:xfrm>
                      <a:off x="0" y="0"/>
                      <a:ext cx="6766560" cy="2706624"/>
                    </a:xfrm>
                    <a:prstGeom prst="rect">
                      <a:avLst/>
                    </a:prstGeom>
                  </pic:spPr>
                </pic:pic>
              </a:graphicData>
            </a:graphic>
          </wp:inline>
        </w:drawing>
      </w:r>
    </w:p>
    <w:p>
      <w:pPr>
        <w:jc w:val="center"/>
        <w:rPr>
          <w:sz w:val="18"/>
        </w:rPr>
      </w:pPr>
      <w:r>
        <w:rPr>
          <w:i/>
          <w:sz w:val="18"/>
        </w:rPr>
        <w:t xml:space="preserve">Figure 3. Deletion test on the 50 detected attacks: features replaced by training medians (random features averaged over 10 draws per flow). Right: the top feature alone, with its direct twins (|corr| &gt; 0.95), and with its whole chain of twins.</w:t>
      </w:r>
    </w:p>
    <w:p>
      <w:pPr>
        <w:spacing w:after="120"/>
        <w:rPr>
          <w:sz w:val="20"/>
        </w:rPr>
      </w:pPr>
      <w:r>
        <w:rPr>
          <w:b/>
          <w:sz w:val="20"/>
        </w:rPr>
        <w:t xml:space="preserve">Feature removal with retraining.</w:t>
      </w:r>
      <w:r>
        <w:rPr>
          <w:sz w:val="20"/>
        </w:rPr>
        <w:t xml:space="preserve"> On a fixed 30,000-row training sample, a 100-tree forest varies by 0.0008 macro-F1 between random seeds. Removing one feature and retraining exceeded that only twice (at most 0.0013, </w:t>
      </w:r>
      <w:r>
        <w:rPr>
          <w:rFonts w:ascii="Consolas" w:hAnsi="Consolas"/>
          <w:sz w:val="20"/>
        </w:rPr>
        <w:t xml:space="preserve">Fwd IAT Min</w:t>
      </w:r>
      <w:r>
        <w:rPr>
          <w:sz w:val="20"/>
        </w:rPr>
        <w:t xml:space="preserve">). Removing any of the 14 correlation groups (|corr| &gt; 0.95) cost at most 0.0006; even removing all 17 backward features cost 0.0015, all 20 forward features 0.0025, and all 23 timing features 0.0008.</w:t>
      </w:r>
    </w:p>
    <w:p>
      <w:pPr>
        <w:pStyle w:val="Heading2"/>
      </w:pPr>
      <w:r>
        <w:t xml:space="preserve">4. Discussion</w:t>
      </w:r>
    </w:p>
    <w:p>
      <w:pPr>
        <w:spacing w:after="120"/>
        <w:rPr>
          <w:sz w:val="20"/>
        </w:rPr>
      </w:pPr>
      <w:r>
        <w:rPr>
          <w:b/>
          <w:sz w:val="20"/>
        </w:rPr>
        <w:t xml:space="preserve">How much of the score is real?</w:t>
      </w:r>
      <w:r>
        <w:rPr>
          <w:sz w:val="20"/>
        </w:rPr>
        <w:t xml:space="preserve"> The forest's accuracy is only 0.149 above the always-benign model, but it removes 99% of the errors and lifts recall from 0 to 0.992, so on clean data the performance is real. PR-AUC separated the models almost four times more than ROC-AUC (spread 0.031 vs 0.008), because ROC-AUC divides false alarms by the 75,868 benign flows. The score is not robust: under noise it depends on the model, and </w:t>
      </w:r>
      <w:r>
        <w:rPr>
          <w:b/>
          <w:sz w:val="20"/>
        </w:rPr>
        <w:t xml:space="preserve">no model is safest against both damages</w:t>
      </w:r>
      <w:r>
        <w:rPr>
          <w:sz w:val="20"/>
        </w:rPr>
        <w:t xml:space="preserve">. Contrary to the lab's expectation, the forest collapsed at 5% noise. Outliers inflate the standard deviation of the timing features by factors of 50,000 to 1,500,000, so even 0.05% of it swamps the microsecond gaps the trees split on; noise on one feature alone barely hurts because its twins still carry the signal. Logistic regression reads features in standard-deviation units and survives noise, but loses most when fields go missing. A single tree breaks earlier than the forest at small noise (recall 0.50 vs 0.79 at 0.1%) because one path decides instead of 300 votes. Clipping at zero is the fairer test, since a negative packet count cannot exist.</w:t>
      </w:r>
    </w:p>
    <w:p>
      <w:pPr>
        <w:spacing w:after="120"/>
        <w:rPr>
          <w:sz w:val="20"/>
        </w:rPr>
      </w:pPr>
      <w:r>
        <w:rPr>
          <w:b/>
          <w:sz w:val="20"/>
        </w:rPr>
        <w:t xml:space="preserve">How much robustness comes from the network?</w:t>
      </w:r>
      <w:r>
        <w:rPr>
          <w:sz w:val="20"/>
        </w:rPr>
        <w:t xml:space="preserve"> Most of it. The forest evades 50 of 50 when the attacker may edit everything and 9 of 50 when only their own traffic may change, and SHAP shows why: the model leans on the victim's replies, which the attacker cannot forge. To a customer we would quote the realistic 9 of 50 with its assumptions; to our security team both numbers, because the gap disappears if the attacker controls the other end. The evasions that worked used free timing changes, and two "Fixed" reply features are near-copies of attacker-controlled counts, so the protection is weaker than the labels suggest. SHAP ranks features by their average effect, while the attacker only needs one feature that tips one flow near the boundary, which is why the useful timing features rank low. The ensemble helped against random noise but was easier to evade: on the 11 flows that evaded it, the forest alone still said 0.57–0.86, but logistic regression ended near 0, and a plain average lets the weakest member decide. It costs about 30 µs per flow in batches, versus about 20 µs for the forest.</w:t>
      </w:r>
    </w:p>
    <w:p>
      <w:pPr>
        <w:spacing w:after="120"/>
        <w:rPr>
          <w:sz w:val="20"/>
        </w:rPr>
      </w:pPr>
      <w:r>
        <w:rPr>
          <w:b/>
          <w:sz w:val="20"/>
        </w:rPr>
        <w:t xml:space="preserve">Are the explanations stable and faithful?</w:t>
      </w:r>
      <w:r>
        <w:rPr>
          <w:sz w:val="20"/>
        </w:rPr>
        <w:t xml:space="preserve"> SHAP is </w:t>
      </w:r>
      <w:r>
        <w:rPr>
          <w:i/>
          <w:sz w:val="20"/>
        </w:rPr>
        <w:t xml:space="preserve">faithful</w:t>
      </w:r>
      <w:r>
        <w:rPr>
          <w:sz w:val="20"/>
        </w:rPr>
        <w:t xml:space="preserve"> (deletion test, additivity) and only </w:t>
      </w:r>
      <w:r>
        <w:rPr>
          <w:i/>
          <w:sz w:val="20"/>
        </w:rPr>
        <w:t xml:space="preserve">borderline stable</w:t>
      </w:r>
      <w:r>
        <w:rPr>
          <w:sz w:val="20"/>
        </w:rPr>
        <w:t xml:space="preserve">: the 68-feature correlation stays near 0.90 mainly because unimportant features stay unimportant, and for attacks the ranking hardly changed while the forest reversed its decision on 23 of 24, so stability says little about whether the model is right. The single-feature deletion test understated SHAP's top feature: the information sits in a family of twins, so groups must be removed together, and the lab's direct-twin group was too small to show it. LIME is neither: its straight line cannot follow the forest's step-shaped output, so its fit score (free with every explanation) should gate whether analysts see a LIME explanation at all; the additivity check is also free but only catches set-up errors, and the deletion test costs extra predictions and suits periodic audits. For an engineer deciding what to stop collecting, the group answer matters, but our data are redundant far beyond the 0.95 twins: a retrained forest loses almost nothing even without all backward features. Removing a field is only safe together with retraining (a deployed model collapses when the field disappears), and the backward features are exactly the evidence an attacker cannot fake, so dropping them would cost security rather than accuracy.</w:t>
      </w:r>
    </w:p>
    <w:p>
      <w:pPr>
        <w:pStyle w:val="Heading2"/>
      </w:pPr>
      <w:r>
        <w:t xml:space="preserve">5. Who did what</w:t>
      </w:r>
    </w:p>
    <w:p>
      <w:pPr>
        <w:spacing w:after="120"/>
        <w:rPr>
          <w:sz w:val="20"/>
        </w:rPr>
      </w:pPr>
      <w:r>
        <w:rPr>
          <w:sz w:val="20"/>
        </w:rPr>
        <w:t xml:space="preserve">[Fill in before submitting: one or two lines saying who did which parts of the work.]</w:t>
      </w:r>
    </w:p>
    <w:p>
      <w:pPr>
        <w:spacing w:after="120"/>
        <w:rPr>
          <w:sz w:val="20"/>
        </w:rPr>
      </w:pPr>
      <w:r>
        <w:rPr>
          <w:b/>
          <w:sz w:val="20"/>
        </w:rPr>
        <w:t xml:space="preserve">Use of AI.</w:t>
      </w:r>
      <w:r>
        <w:rPr>
          <w:sz w:val="20"/>
        </w:rPr>
        <w:t xml:space="preserve"> An AI assistant (Claude, Anthropic) was used to help write the code, run the experiments and draft this report; every number comes from our notebook run. Libraries: scikit-learn, SHAP, LIME, pandas, NumPy, SciPy, matplotlib.</w:t>
      </w:r>
    </w:p>
    <w:p>
      <w:r>
        <w:br w:type="page"/>
      </w:r>
    </w:p>
    <w:p>
      <w:pPr>
        <w:pStyle w:val="Heading2"/>
      </w:pPr>
      <w:r>
        <w:t xml:space="preserve">Appendix: code</w:t>
      </w:r>
    </w:p>
    <w:p>
      <w:pPr>
        <w:keepNext/>
        <w:jc w:val="center"/>
        <w:spacing w:after="40"/>
      </w:pPr>
      <w:r>
        <w:drawing>
          <wp:inline distT="0" distB="0" distL="0" distR="0">
            <wp:extent cx="6766560" cy="7669862"/>
            <wp:docPr id="103" name="Pictu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1"/>
                    <a:stretch>
                      <a:fillRect/>
                    </a:stretch>
                  </pic:blipFill>
                  <pic:spPr>
                    <a:xfrm>
                      <a:off x="0" y="0"/>
                      <a:ext cx="6766560" cy="7669862"/>
                    </a:xfrm>
                    <a:prstGeom prst="rect">
                      <a:avLst/>
                    </a:prstGeom>
                  </pic:spPr>
                </pic:pic>
              </a:graphicData>
            </a:graphic>
          </wp:inline>
        </w:drawing>
      </w:r>
    </w:p>
    <w:p>
      <w:pPr>
        <w:jc w:val="center"/>
        <w:rPr>
          <w:sz w:val="18"/>
        </w:rPr>
      </w:pPr>
      <w:r>
        <w:rPr>
          <w:i/>
          <w:sz w:val="18"/>
        </w:rPr>
        <w:t xml:space="preserve">Figure 4. The greedy evasion attack from step C2, as it appears in the hand-in notebook.</w:t>
      </w:r>
    </w:p>
    <w:sectPr w:rsidR="249E763A">
      <w:pgSz w:w="12240" w:h="15840" w:orient="portrait"/>
      <w:pgMar w:top="360" w:right="54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E22"/>
    <w:multiLevelType w:val="hybridMultilevel"/>
    <w:tmpl w:val="EB78DC6C"/>
    <w:lvl w:ilvl="0" w:tplc="966AFF08">
      <w:start w:val="1"/>
      <w:numFmt w:val="bullet"/>
      <w:lvlText w:val=""/>
      <w:lvlJc w:val="left"/>
      <w:pPr>
        <w:ind w:left="720" w:hanging="360"/>
      </w:pPr>
      <w:rPr>
        <w:rFonts w:hint="default" w:ascii="Symbol" w:hAnsi="Symbol"/>
      </w:rPr>
    </w:lvl>
    <w:lvl w:ilvl="1" w:tplc="801C4FA8">
      <w:start w:val="1"/>
      <w:numFmt w:val="bullet"/>
      <w:lvlText w:val="o"/>
      <w:lvlJc w:val="left"/>
      <w:pPr>
        <w:ind w:left="1440" w:hanging="360"/>
      </w:pPr>
      <w:rPr>
        <w:rFonts w:hint="default" w:ascii="Courier New" w:hAnsi="Courier New"/>
      </w:rPr>
    </w:lvl>
    <w:lvl w:ilvl="2" w:tplc="5AE683B4">
      <w:start w:val="1"/>
      <w:numFmt w:val="bullet"/>
      <w:lvlText w:val=""/>
      <w:lvlJc w:val="left"/>
      <w:pPr>
        <w:ind w:left="2160" w:hanging="360"/>
      </w:pPr>
      <w:rPr>
        <w:rFonts w:hint="default" w:ascii="Wingdings" w:hAnsi="Wingdings"/>
      </w:rPr>
    </w:lvl>
    <w:lvl w:ilvl="3" w:tplc="FD6CDEEA">
      <w:start w:val="1"/>
      <w:numFmt w:val="bullet"/>
      <w:lvlText w:val=""/>
      <w:lvlJc w:val="left"/>
      <w:pPr>
        <w:ind w:left="2880" w:hanging="360"/>
      </w:pPr>
      <w:rPr>
        <w:rFonts w:hint="default" w:ascii="Symbol" w:hAnsi="Symbol"/>
      </w:rPr>
    </w:lvl>
    <w:lvl w:ilvl="4" w:tplc="744E6E5C">
      <w:start w:val="1"/>
      <w:numFmt w:val="bullet"/>
      <w:lvlText w:val="o"/>
      <w:lvlJc w:val="left"/>
      <w:pPr>
        <w:ind w:left="3600" w:hanging="360"/>
      </w:pPr>
      <w:rPr>
        <w:rFonts w:hint="default" w:ascii="Courier New" w:hAnsi="Courier New"/>
      </w:rPr>
    </w:lvl>
    <w:lvl w:ilvl="5" w:tplc="1D2436B6">
      <w:start w:val="1"/>
      <w:numFmt w:val="bullet"/>
      <w:lvlText w:val=""/>
      <w:lvlJc w:val="left"/>
      <w:pPr>
        <w:ind w:left="4320" w:hanging="360"/>
      </w:pPr>
      <w:rPr>
        <w:rFonts w:hint="default" w:ascii="Wingdings" w:hAnsi="Wingdings"/>
      </w:rPr>
    </w:lvl>
    <w:lvl w:ilvl="6" w:tplc="312257C8">
      <w:start w:val="1"/>
      <w:numFmt w:val="bullet"/>
      <w:lvlText w:val=""/>
      <w:lvlJc w:val="left"/>
      <w:pPr>
        <w:ind w:left="5040" w:hanging="360"/>
      </w:pPr>
      <w:rPr>
        <w:rFonts w:hint="default" w:ascii="Symbol" w:hAnsi="Symbol"/>
      </w:rPr>
    </w:lvl>
    <w:lvl w:ilvl="7" w:tplc="2C728196">
      <w:start w:val="1"/>
      <w:numFmt w:val="bullet"/>
      <w:lvlText w:val="o"/>
      <w:lvlJc w:val="left"/>
      <w:pPr>
        <w:ind w:left="5760" w:hanging="360"/>
      </w:pPr>
      <w:rPr>
        <w:rFonts w:hint="default" w:ascii="Courier New" w:hAnsi="Courier New"/>
      </w:rPr>
    </w:lvl>
    <w:lvl w:ilvl="8" w:tplc="C01EE0A2">
      <w:start w:val="1"/>
      <w:numFmt w:val="bullet"/>
      <w:lvlText w:val=""/>
      <w:lvlJc w:val="left"/>
      <w:pPr>
        <w:ind w:left="6480" w:hanging="360"/>
      </w:pPr>
      <w:rPr>
        <w:rFonts w:hint="default" w:ascii="Wingdings" w:hAnsi="Wingdings"/>
      </w:rPr>
    </w:lvl>
  </w:abstractNum>
  <w:num w:numId="1" w16cid:durableId="46126622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B3E23F"/>
    <w:rsid w:val="001A8F97"/>
    <w:rsid w:val="002784F1"/>
    <w:rsid w:val="00486E9A"/>
    <w:rsid w:val="007E0ED1"/>
    <w:rsid w:val="00980229"/>
    <w:rsid w:val="00A61029"/>
    <w:rsid w:val="00B37DCC"/>
    <w:rsid w:val="00C0A7FD"/>
    <w:rsid w:val="00E53E43"/>
    <w:rsid w:val="0115BAC2"/>
    <w:rsid w:val="01BA1D17"/>
    <w:rsid w:val="01E8C0C5"/>
    <w:rsid w:val="028300FD"/>
    <w:rsid w:val="03005C05"/>
    <w:rsid w:val="03095DB6"/>
    <w:rsid w:val="03378F6C"/>
    <w:rsid w:val="03427947"/>
    <w:rsid w:val="039E97C7"/>
    <w:rsid w:val="03D48D77"/>
    <w:rsid w:val="03D605C5"/>
    <w:rsid w:val="03DDAF18"/>
    <w:rsid w:val="041C847C"/>
    <w:rsid w:val="043A915A"/>
    <w:rsid w:val="0456B567"/>
    <w:rsid w:val="04A3F99D"/>
    <w:rsid w:val="04AF7AA0"/>
    <w:rsid w:val="04D54657"/>
    <w:rsid w:val="051E5734"/>
    <w:rsid w:val="0523CBCE"/>
    <w:rsid w:val="0554959E"/>
    <w:rsid w:val="058724B1"/>
    <w:rsid w:val="05B3E23F"/>
    <w:rsid w:val="062920C7"/>
    <w:rsid w:val="066EC50A"/>
    <w:rsid w:val="06712E6C"/>
    <w:rsid w:val="069CF656"/>
    <w:rsid w:val="06BF2B38"/>
    <w:rsid w:val="06F090AF"/>
    <w:rsid w:val="071DCA1C"/>
    <w:rsid w:val="071F2D6A"/>
    <w:rsid w:val="072A2DD4"/>
    <w:rsid w:val="07357FAC"/>
    <w:rsid w:val="0740AED5"/>
    <w:rsid w:val="0748596D"/>
    <w:rsid w:val="075331A7"/>
    <w:rsid w:val="07EABA1E"/>
    <w:rsid w:val="07F69B6E"/>
    <w:rsid w:val="08402553"/>
    <w:rsid w:val="084C2EA0"/>
    <w:rsid w:val="086547EE"/>
    <w:rsid w:val="08C86995"/>
    <w:rsid w:val="08CB3112"/>
    <w:rsid w:val="0906A54C"/>
    <w:rsid w:val="090C71A4"/>
    <w:rsid w:val="0934EC7A"/>
    <w:rsid w:val="09562C94"/>
    <w:rsid w:val="095D5ED3"/>
    <w:rsid w:val="09654327"/>
    <w:rsid w:val="0988B830"/>
    <w:rsid w:val="0A209ED2"/>
    <w:rsid w:val="0A528557"/>
    <w:rsid w:val="0A6D0159"/>
    <w:rsid w:val="0A7215CD"/>
    <w:rsid w:val="0AFA1518"/>
    <w:rsid w:val="0B36DFBA"/>
    <w:rsid w:val="0B4B645F"/>
    <w:rsid w:val="0B4D4D75"/>
    <w:rsid w:val="0B6A90D0"/>
    <w:rsid w:val="0BBB3CD8"/>
    <w:rsid w:val="0BF55159"/>
    <w:rsid w:val="0C0539E4"/>
    <w:rsid w:val="0C0539E4"/>
    <w:rsid w:val="0C0B2B7B"/>
    <w:rsid w:val="0C42A6CC"/>
    <w:rsid w:val="0C8AAB35"/>
    <w:rsid w:val="0DAB1007"/>
    <w:rsid w:val="0DB5F913"/>
    <w:rsid w:val="0DB6D1CE"/>
    <w:rsid w:val="0DDB409A"/>
    <w:rsid w:val="0DE0F36E"/>
    <w:rsid w:val="0DEE3856"/>
    <w:rsid w:val="0E85B8DA"/>
    <w:rsid w:val="0F00F76E"/>
    <w:rsid w:val="0F162E77"/>
    <w:rsid w:val="0F5095E9"/>
    <w:rsid w:val="0F6A5023"/>
    <w:rsid w:val="0F6E0940"/>
    <w:rsid w:val="0FAFDC10"/>
    <w:rsid w:val="0FE5892D"/>
    <w:rsid w:val="10091311"/>
    <w:rsid w:val="1033AAF1"/>
    <w:rsid w:val="107E0D64"/>
    <w:rsid w:val="109FA05C"/>
    <w:rsid w:val="10B63A51"/>
    <w:rsid w:val="10D02828"/>
    <w:rsid w:val="11383759"/>
    <w:rsid w:val="11A4B6DF"/>
    <w:rsid w:val="11EE4120"/>
    <w:rsid w:val="1205E753"/>
    <w:rsid w:val="122D802A"/>
    <w:rsid w:val="12538F64"/>
    <w:rsid w:val="1260A78B"/>
    <w:rsid w:val="1292C06D"/>
    <w:rsid w:val="1340AF13"/>
    <w:rsid w:val="13826B37"/>
    <w:rsid w:val="13965B0D"/>
    <w:rsid w:val="13A09FB7"/>
    <w:rsid w:val="13CC8C54"/>
    <w:rsid w:val="13D056DC"/>
    <w:rsid w:val="13D39901"/>
    <w:rsid w:val="13D90CB3"/>
    <w:rsid w:val="13EC51A9"/>
    <w:rsid w:val="13FD34CA"/>
    <w:rsid w:val="145A92D6"/>
    <w:rsid w:val="14BFBFCA"/>
    <w:rsid w:val="152A71BC"/>
    <w:rsid w:val="15644949"/>
    <w:rsid w:val="1592D5CC"/>
    <w:rsid w:val="15BB31D8"/>
    <w:rsid w:val="15CD87AF"/>
    <w:rsid w:val="15FF7DDF"/>
    <w:rsid w:val="16455B2A"/>
    <w:rsid w:val="1659BF84"/>
    <w:rsid w:val="166AC8E0"/>
    <w:rsid w:val="16B30333"/>
    <w:rsid w:val="16C750D8"/>
    <w:rsid w:val="16FF42D9"/>
    <w:rsid w:val="1742AE70"/>
    <w:rsid w:val="1747C7FE"/>
    <w:rsid w:val="177CCAED"/>
    <w:rsid w:val="17C0E349"/>
    <w:rsid w:val="17D0F695"/>
    <w:rsid w:val="17D503B6"/>
    <w:rsid w:val="186CF432"/>
    <w:rsid w:val="18927D12"/>
    <w:rsid w:val="18F38EBB"/>
    <w:rsid w:val="190DF8AB"/>
    <w:rsid w:val="1919DD58"/>
    <w:rsid w:val="19BD7B05"/>
    <w:rsid w:val="19E1E41D"/>
    <w:rsid w:val="19FA775D"/>
    <w:rsid w:val="1A060E0C"/>
    <w:rsid w:val="1A0CDF74"/>
    <w:rsid w:val="1A3FABBE"/>
    <w:rsid w:val="1A7ADC40"/>
    <w:rsid w:val="1A7D6BC9"/>
    <w:rsid w:val="1AB0F017"/>
    <w:rsid w:val="1B13C665"/>
    <w:rsid w:val="1BC767B0"/>
    <w:rsid w:val="1BDB8440"/>
    <w:rsid w:val="1BE558F1"/>
    <w:rsid w:val="1C10A589"/>
    <w:rsid w:val="1C2A4F16"/>
    <w:rsid w:val="1C5FB0FE"/>
    <w:rsid w:val="1C84C637"/>
    <w:rsid w:val="1CA523E3"/>
    <w:rsid w:val="1CC7B45E"/>
    <w:rsid w:val="1CE65B19"/>
    <w:rsid w:val="1DB2382B"/>
    <w:rsid w:val="1DED9068"/>
    <w:rsid w:val="1E2B63C5"/>
    <w:rsid w:val="1E3B374C"/>
    <w:rsid w:val="1E7D48D5"/>
    <w:rsid w:val="1E8D3EE8"/>
    <w:rsid w:val="1EC931D5"/>
    <w:rsid w:val="1ECBCE6C"/>
    <w:rsid w:val="1EF043FB"/>
    <w:rsid w:val="1EF50828"/>
    <w:rsid w:val="1F457E98"/>
    <w:rsid w:val="1FC206AD"/>
    <w:rsid w:val="2047BA54"/>
    <w:rsid w:val="20945837"/>
    <w:rsid w:val="209A9609"/>
    <w:rsid w:val="20BD2D8D"/>
    <w:rsid w:val="20C1ACEC"/>
    <w:rsid w:val="20C4E627"/>
    <w:rsid w:val="20CC6240"/>
    <w:rsid w:val="20CDC6BE"/>
    <w:rsid w:val="210E3D74"/>
    <w:rsid w:val="2134A543"/>
    <w:rsid w:val="21CD3E45"/>
    <w:rsid w:val="21F4879B"/>
    <w:rsid w:val="22048700"/>
    <w:rsid w:val="223AAFC0"/>
    <w:rsid w:val="2247F169"/>
    <w:rsid w:val="22A1F64C"/>
    <w:rsid w:val="22FCC3DA"/>
    <w:rsid w:val="23026939"/>
    <w:rsid w:val="239C53E2"/>
    <w:rsid w:val="24845388"/>
    <w:rsid w:val="249E763A"/>
    <w:rsid w:val="24F73EB1"/>
    <w:rsid w:val="254A9B25"/>
    <w:rsid w:val="2565EB23"/>
    <w:rsid w:val="267981B9"/>
    <w:rsid w:val="26C30C47"/>
    <w:rsid w:val="275050E7"/>
    <w:rsid w:val="275DB039"/>
    <w:rsid w:val="27B067C7"/>
    <w:rsid w:val="284B570A"/>
    <w:rsid w:val="28543BE7"/>
    <w:rsid w:val="288418CE"/>
    <w:rsid w:val="28A25C86"/>
    <w:rsid w:val="2903A514"/>
    <w:rsid w:val="290E5F4E"/>
    <w:rsid w:val="2910EE36"/>
    <w:rsid w:val="2935DBC0"/>
    <w:rsid w:val="2960B7FC"/>
    <w:rsid w:val="299019B0"/>
    <w:rsid w:val="29C82E35"/>
    <w:rsid w:val="2A220D7D"/>
    <w:rsid w:val="2B58EF98"/>
    <w:rsid w:val="2B5F586B"/>
    <w:rsid w:val="2B8E7729"/>
    <w:rsid w:val="2B954A86"/>
    <w:rsid w:val="2C0BD34B"/>
    <w:rsid w:val="2C4CC52E"/>
    <w:rsid w:val="2C4EEA3C"/>
    <w:rsid w:val="2C627DD0"/>
    <w:rsid w:val="2C9AB59C"/>
    <w:rsid w:val="2CBD165D"/>
    <w:rsid w:val="2CC39E63"/>
    <w:rsid w:val="2CDEC94F"/>
    <w:rsid w:val="2D182FAC"/>
    <w:rsid w:val="2D8FC984"/>
    <w:rsid w:val="2DB1B883"/>
    <w:rsid w:val="2DBFFAE2"/>
    <w:rsid w:val="2DE923EF"/>
    <w:rsid w:val="2E1A8CB5"/>
    <w:rsid w:val="2E5F92C5"/>
    <w:rsid w:val="2EA1F72A"/>
    <w:rsid w:val="2EB84C8F"/>
    <w:rsid w:val="2F1F89C7"/>
    <w:rsid w:val="2F34DC96"/>
    <w:rsid w:val="2F693C33"/>
    <w:rsid w:val="306FA0EF"/>
    <w:rsid w:val="30918760"/>
    <w:rsid w:val="309EC7F9"/>
    <w:rsid w:val="30B442D0"/>
    <w:rsid w:val="30B4D719"/>
    <w:rsid w:val="30D56AE0"/>
    <w:rsid w:val="3114E615"/>
    <w:rsid w:val="319E8039"/>
    <w:rsid w:val="31DCABA4"/>
    <w:rsid w:val="31E1D20D"/>
    <w:rsid w:val="31E36AEB"/>
    <w:rsid w:val="3240C3E1"/>
    <w:rsid w:val="324A2533"/>
    <w:rsid w:val="3265EDE9"/>
    <w:rsid w:val="32769990"/>
    <w:rsid w:val="3299A8CF"/>
    <w:rsid w:val="32BC26A8"/>
    <w:rsid w:val="32C5ACA4"/>
    <w:rsid w:val="32EB5275"/>
    <w:rsid w:val="3313B5E5"/>
    <w:rsid w:val="335A6B3B"/>
    <w:rsid w:val="33B7C770"/>
    <w:rsid w:val="33BD5636"/>
    <w:rsid w:val="33D48CC3"/>
    <w:rsid w:val="33D5B9B6"/>
    <w:rsid w:val="33E34C35"/>
    <w:rsid w:val="33E65986"/>
    <w:rsid w:val="342FAC98"/>
    <w:rsid w:val="349D498E"/>
    <w:rsid w:val="34CC4941"/>
    <w:rsid w:val="35112578"/>
    <w:rsid w:val="351A4B7C"/>
    <w:rsid w:val="35D4076C"/>
    <w:rsid w:val="35DA200A"/>
    <w:rsid w:val="3645D326"/>
    <w:rsid w:val="3660588E"/>
    <w:rsid w:val="3685382C"/>
    <w:rsid w:val="368C26D8"/>
    <w:rsid w:val="368FE5FD"/>
    <w:rsid w:val="36B26F9A"/>
    <w:rsid w:val="36C682F5"/>
    <w:rsid w:val="36D6A6F6"/>
    <w:rsid w:val="3718EEEF"/>
    <w:rsid w:val="372C9BCD"/>
    <w:rsid w:val="373B1F18"/>
    <w:rsid w:val="378772B8"/>
    <w:rsid w:val="37A093BB"/>
    <w:rsid w:val="37FA4FDE"/>
    <w:rsid w:val="38551A88"/>
    <w:rsid w:val="387868A7"/>
    <w:rsid w:val="38D3D87A"/>
    <w:rsid w:val="38FF6A52"/>
    <w:rsid w:val="398C5A70"/>
    <w:rsid w:val="39FE6EEA"/>
    <w:rsid w:val="39FEB721"/>
    <w:rsid w:val="39FF4CCC"/>
    <w:rsid w:val="3A1FCB3E"/>
    <w:rsid w:val="3AB709F2"/>
    <w:rsid w:val="3AB8782E"/>
    <w:rsid w:val="3ABD731B"/>
    <w:rsid w:val="3AD0A3E9"/>
    <w:rsid w:val="3AE2271A"/>
    <w:rsid w:val="3B173B0F"/>
    <w:rsid w:val="3B4BDD21"/>
    <w:rsid w:val="3B4CCCB9"/>
    <w:rsid w:val="3B5023CD"/>
    <w:rsid w:val="3B5B1CC1"/>
    <w:rsid w:val="3B6CF904"/>
    <w:rsid w:val="3BC73A34"/>
    <w:rsid w:val="3CC43912"/>
    <w:rsid w:val="3CC43912"/>
    <w:rsid w:val="3CC5F41B"/>
    <w:rsid w:val="3CE7F7D3"/>
    <w:rsid w:val="3CEFEBA2"/>
    <w:rsid w:val="3CF28966"/>
    <w:rsid w:val="3D20E970"/>
    <w:rsid w:val="3DB292C2"/>
    <w:rsid w:val="3DDC722E"/>
    <w:rsid w:val="3E1662C8"/>
    <w:rsid w:val="3E208C49"/>
    <w:rsid w:val="3E3CEB82"/>
    <w:rsid w:val="3E6F29E4"/>
    <w:rsid w:val="3EC33D05"/>
    <w:rsid w:val="3F66FCE9"/>
    <w:rsid w:val="3F722343"/>
    <w:rsid w:val="3FB733C9"/>
    <w:rsid w:val="3FBDE45A"/>
    <w:rsid w:val="400EEEC2"/>
    <w:rsid w:val="403F47C2"/>
    <w:rsid w:val="4041E8C5"/>
    <w:rsid w:val="404D534E"/>
    <w:rsid w:val="4057291E"/>
    <w:rsid w:val="4059CF17"/>
    <w:rsid w:val="40890370"/>
    <w:rsid w:val="40A22848"/>
    <w:rsid w:val="40A5EF4F"/>
    <w:rsid w:val="4160C4F9"/>
    <w:rsid w:val="41894EB6"/>
    <w:rsid w:val="420FCFCE"/>
    <w:rsid w:val="422F9CAA"/>
    <w:rsid w:val="42716B7A"/>
    <w:rsid w:val="429BE23C"/>
    <w:rsid w:val="42BFE23B"/>
    <w:rsid w:val="42BFF125"/>
    <w:rsid w:val="43137C37"/>
    <w:rsid w:val="433448B1"/>
    <w:rsid w:val="435D21E8"/>
    <w:rsid w:val="43658564"/>
    <w:rsid w:val="439610A6"/>
    <w:rsid w:val="439DC61A"/>
    <w:rsid w:val="43B51F44"/>
    <w:rsid w:val="43E64CBE"/>
    <w:rsid w:val="4423527F"/>
    <w:rsid w:val="443048D3"/>
    <w:rsid w:val="44458EDB"/>
    <w:rsid w:val="4461191A"/>
    <w:rsid w:val="44AAD0BE"/>
    <w:rsid w:val="44D9631C"/>
    <w:rsid w:val="44E96467"/>
    <w:rsid w:val="4539656B"/>
    <w:rsid w:val="4541EAFB"/>
    <w:rsid w:val="45587A9B"/>
    <w:rsid w:val="45A048CC"/>
    <w:rsid w:val="45A17B9F"/>
    <w:rsid w:val="45B16502"/>
    <w:rsid w:val="45B1A1C5"/>
    <w:rsid w:val="45B7DC18"/>
    <w:rsid w:val="45D3862F"/>
    <w:rsid w:val="4658CF02"/>
    <w:rsid w:val="46931E9D"/>
    <w:rsid w:val="46C8EBEC"/>
    <w:rsid w:val="46FDA853"/>
    <w:rsid w:val="471E825C"/>
    <w:rsid w:val="474EEB1C"/>
    <w:rsid w:val="475328C3"/>
    <w:rsid w:val="475F4378"/>
    <w:rsid w:val="478BFB0C"/>
    <w:rsid w:val="4791983F"/>
    <w:rsid w:val="47C68BB6"/>
    <w:rsid w:val="490EB3DE"/>
    <w:rsid w:val="491E3BC0"/>
    <w:rsid w:val="491E68D3"/>
    <w:rsid w:val="492D496D"/>
    <w:rsid w:val="49532788"/>
    <w:rsid w:val="496948C8"/>
    <w:rsid w:val="49927B26"/>
    <w:rsid w:val="49ACB756"/>
    <w:rsid w:val="49F336A6"/>
    <w:rsid w:val="4A04D4BB"/>
    <w:rsid w:val="4A530EE0"/>
    <w:rsid w:val="4AA6B9F2"/>
    <w:rsid w:val="4AB17F99"/>
    <w:rsid w:val="4B0B4295"/>
    <w:rsid w:val="4B22B011"/>
    <w:rsid w:val="4B272E53"/>
    <w:rsid w:val="4B58F105"/>
    <w:rsid w:val="4C357DCE"/>
    <w:rsid w:val="4C3D0F5F"/>
    <w:rsid w:val="4C53AB6F"/>
    <w:rsid w:val="4C5E0DC2"/>
    <w:rsid w:val="4C6B5E4F"/>
    <w:rsid w:val="4C92CAEE"/>
    <w:rsid w:val="4CD49A95"/>
    <w:rsid w:val="4D2D65B9"/>
    <w:rsid w:val="4D2D65B9"/>
    <w:rsid w:val="4D35F5A7"/>
    <w:rsid w:val="4D5D672B"/>
    <w:rsid w:val="4D91E3DC"/>
    <w:rsid w:val="4D996B79"/>
    <w:rsid w:val="4DED01FA"/>
    <w:rsid w:val="4E004A95"/>
    <w:rsid w:val="4E024132"/>
    <w:rsid w:val="4E2908CB"/>
    <w:rsid w:val="4E55DCB3"/>
    <w:rsid w:val="4EDE4FD1"/>
    <w:rsid w:val="4EEBF513"/>
    <w:rsid w:val="4F0D1355"/>
    <w:rsid w:val="4F2BE82B"/>
    <w:rsid w:val="4F5E3DFE"/>
    <w:rsid w:val="4F9E9C8F"/>
    <w:rsid w:val="4FBD5345"/>
    <w:rsid w:val="4FEA03E7"/>
    <w:rsid w:val="5002A90C"/>
    <w:rsid w:val="5037CBD9"/>
    <w:rsid w:val="5090993C"/>
    <w:rsid w:val="509C96DF"/>
    <w:rsid w:val="50AA443A"/>
    <w:rsid w:val="50BC267A"/>
    <w:rsid w:val="51F5419E"/>
    <w:rsid w:val="51FFDE42"/>
    <w:rsid w:val="520DC758"/>
    <w:rsid w:val="52477024"/>
    <w:rsid w:val="52747DEE"/>
    <w:rsid w:val="52A466ED"/>
    <w:rsid w:val="52CB2339"/>
    <w:rsid w:val="52CBF693"/>
    <w:rsid w:val="52D32327"/>
    <w:rsid w:val="52F87D64"/>
    <w:rsid w:val="53089F94"/>
    <w:rsid w:val="530EC855"/>
    <w:rsid w:val="53B02B4A"/>
    <w:rsid w:val="53CCF7EE"/>
    <w:rsid w:val="53FE475E"/>
    <w:rsid w:val="54279C5C"/>
    <w:rsid w:val="5427A821"/>
    <w:rsid w:val="5498776C"/>
    <w:rsid w:val="54B0107D"/>
    <w:rsid w:val="55428DE0"/>
    <w:rsid w:val="55685B62"/>
    <w:rsid w:val="558D4E85"/>
    <w:rsid w:val="55A4A7F5"/>
    <w:rsid w:val="55EF3DB6"/>
    <w:rsid w:val="5601EDA6"/>
    <w:rsid w:val="5622D564"/>
    <w:rsid w:val="562412E8"/>
    <w:rsid w:val="562C8C9D"/>
    <w:rsid w:val="56495535"/>
    <w:rsid w:val="5699F579"/>
    <w:rsid w:val="56B1B6BB"/>
    <w:rsid w:val="57205E32"/>
    <w:rsid w:val="572A5D64"/>
    <w:rsid w:val="57332FB4"/>
    <w:rsid w:val="57555715"/>
    <w:rsid w:val="57681EBA"/>
    <w:rsid w:val="57C5AA9A"/>
    <w:rsid w:val="57F87535"/>
    <w:rsid w:val="5804E726"/>
    <w:rsid w:val="58112FEE"/>
    <w:rsid w:val="58B185DF"/>
    <w:rsid w:val="58B9FC98"/>
    <w:rsid w:val="58D8C371"/>
    <w:rsid w:val="590BC7A4"/>
    <w:rsid w:val="592A2BA1"/>
    <w:rsid w:val="593D7824"/>
    <w:rsid w:val="5A29638D"/>
    <w:rsid w:val="5A2EA3B3"/>
    <w:rsid w:val="5A32BA10"/>
    <w:rsid w:val="5A39A441"/>
    <w:rsid w:val="5A5ECB87"/>
    <w:rsid w:val="5A70BFD6"/>
    <w:rsid w:val="5AD151BA"/>
    <w:rsid w:val="5AEBD6FF"/>
    <w:rsid w:val="5AF47F69"/>
    <w:rsid w:val="5B1D73CA"/>
    <w:rsid w:val="5BF30575"/>
    <w:rsid w:val="5BF8BEB5"/>
    <w:rsid w:val="5C18AC0D"/>
    <w:rsid w:val="5C5011DD"/>
    <w:rsid w:val="5C54EDE4"/>
    <w:rsid w:val="5CB0B251"/>
    <w:rsid w:val="5CEE0608"/>
    <w:rsid w:val="5CF0400A"/>
    <w:rsid w:val="5D13443F"/>
    <w:rsid w:val="5D1C6CF0"/>
    <w:rsid w:val="5DCE6134"/>
    <w:rsid w:val="5E154A22"/>
    <w:rsid w:val="5E4CB4CA"/>
    <w:rsid w:val="5E553B2D"/>
    <w:rsid w:val="5EB538F9"/>
    <w:rsid w:val="5EC4A564"/>
    <w:rsid w:val="5EF6CC33"/>
    <w:rsid w:val="5EFE2AB6"/>
    <w:rsid w:val="5F050C3B"/>
    <w:rsid w:val="5F2C007A"/>
    <w:rsid w:val="5F9301A2"/>
    <w:rsid w:val="5FCF011E"/>
    <w:rsid w:val="5FD9AE97"/>
    <w:rsid w:val="601E132C"/>
    <w:rsid w:val="60B3A6F4"/>
    <w:rsid w:val="61006FB7"/>
    <w:rsid w:val="612A20B2"/>
    <w:rsid w:val="61C170C1"/>
    <w:rsid w:val="61D70A66"/>
    <w:rsid w:val="6244F16D"/>
    <w:rsid w:val="62456B6A"/>
    <w:rsid w:val="625ADFAA"/>
    <w:rsid w:val="62BF135B"/>
    <w:rsid w:val="62C2FF25"/>
    <w:rsid w:val="62C700EC"/>
    <w:rsid w:val="62FB7FA4"/>
    <w:rsid w:val="6332E5A3"/>
    <w:rsid w:val="6338F295"/>
    <w:rsid w:val="633A283E"/>
    <w:rsid w:val="635B0824"/>
    <w:rsid w:val="636FC3F2"/>
    <w:rsid w:val="63755D77"/>
    <w:rsid w:val="63E2B661"/>
    <w:rsid w:val="6403F8B5"/>
    <w:rsid w:val="64424D4A"/>
    <w:rsid w:val="644C3E11"/>
    <w:rsid w:val="64762E0F"/>
    <w:rsid w:val="64AAABCF"/>
    <w:rsid w:val="64DDC0C4"/>
    <w:rsid w:val="64FC5BCF"/>
    <w:rsid w:val="6530F8DD"/>
    <w:rsid w:val="65EAC5CA"/>
    <w:rsid w:val="65EBECA9"/>
    <w:rsid w:val="665F3F18"/>
    <w:rsid w:val="66CD58A0"/>
    <w:rsid w:val="67434F19"/>
    <w:rsid w:val="6749F445"/>
    <w:rsid w:val="6755F3E6"/>
    <w:rsid w:val="6768DC7F"/>
    <w:rsid w:val="676E935C"/>
    <w:rsid w:val="67CBDD40"/>
    <w:rsid w:val="6814E4A2"/>
    <w:rsid w:val="681DE383"/>
    <w:rsid w:val="681E6C06"/>
    <w:rsid w:val="6843906C"/>
    <w:rsid w:val="68CF6F93"/>
    <w:rsid w:val="68DA3034"/>
    <w:rsid w:val="68DF7DF0"/>
    <w:rsid w:val="694556F9"/>
    <w:rsid w:val="696F009F"/>
    <w:rsid w:val="69736C5D"/>
    <w:rsid w:val="69B3CACC"/>
    <w:rsid w:val="69DF08F8"/>
    <w:rsid w:val="6A322E54"/>
    <w:rsid w:val="6A3B3A89"/>
    <w:rsid w:val="6A6421F2"/>
    <w:rsid w:val="6AAE7B40"/>
    <w:rsid w:val="6AE26888"/>
    <w:rsid w:val="6B211713"/>
    <w:rsid w:val="6B2E546A"/>
    <w:rsid w:val="6B49324C"/>
    <w:rsid w:val="6B810E00"/>
    <w:rsid w:val="6B8967CD"/>
    <w:rsid w:val="6C4454FB"/>
    <w:rsid w:val="6C5A5FD6"/>
    <w:rsid w:val="6CA7FED9"/>
    <w:rsid w:val="6CDFBC03"/>
    <w:rsid w:val="6D319EB6"/>
    <w:rsid w:val="6D676BE7"/>
    <w:rsid w:val="6D6E8438"/>
    <w:rsid w:val="6D703BD6"/>
    <w:rsid w:val="6DB3B6FC"/>
    <w:rsid w:val="6DD05B2E"/>
    <w:rsid w:val="6E02C1FF"/>
    <w:rsid w:val="6E367D57"/>
    <w:rsid w:val="6EB71300"/>
    <w:rsid w:val="6EC937EE"/>
    <w:rsid w:val="6F4A281D"/>
    <w:rsid w:val="6F95D476"/>
    <w:rsid w:val="6FCE965C"/>
    <w:rsid w:val="701B5961"/>
    <w:rsid w:val="70243E4B"/>
    <w:rsid w:val="7028C00D"/>
    <w:rsid w:val="709F2852"/>
    <w:rsid w:val="71020DEE"/>
    <w:rsid w:val="71143220"/>
    <w:rsid w:val="7134126B"/>
    <w:rsid w:val="7155589F"/>
    <w:rsid w:val="716076A8"/>
    <w:rsid w:val="716FF3AF"/>
    <w:rsid w:val="71DB180F"/>
    <w:rsid w:val="71F5EE45"/>
    <w:rsid w:val="7209E0B4"/>
    <w:rsid w:val="724F94A5"/>
    <w:rsid w:val="727BDDFE"/>
    <w:rsid w:val="7280FF0E"/>
    <w:rsid w:val="728F2EFA"/>
    <w:rsid w:val="72B8D623"/>
    <w:rsid w:val="72CA959D"/>
    <w:rsid w:val="73285E64"/>
    <w:rsid w:val="73285E64"/>
    <w:rsid w:val="7328ACBD"/>
    <w:rsid w:val="736051FE"/>
    <w:rsid w:val="73F889C8"/>
    <w:rsid w:val="748A3715"/>
    <w:rsid w:val="748B3674"/>
    <w:rsid w:val="74D1E6FB"/>
    <w:rsid w:val="75061D7C"/>
    <w:rsid w:val="750CD2D9"/>
    <w:rsid w:val="7537E5D0"/>
    <w:rsid w:val="760A7B9B"/>
    <w:rsid w:val="76167F0C"/>
    <w:rsid w:val="76369008"/>
    <w:rsid w:val="76813B76"/>
    <w:rsid w:val="768772B7"/>
    <w:rsid w:val="76CAEB7C"/>
    <w:rsid w:val="76D0EDF3"/>
    <w:rsid w:val="76E64CDE"/>
    <w:rsid w:val="77AE622A"/>
    <w:rsid w:val="77C81764"/>
    <w:rsid w:val="77CFBCBC"/>
    <w:rsid w:val="77D59A25"/>
    <w:rsid w:val="77DF05C9"/>
    <w:rsid w:val="77E40DC5"/>
    <w:rsid w:val="780F6575"/>
    <w:rsid w:val="78397A6D"/>
    <w:rsid w:val="78C5B0B4"/>
    <w:rsid w:val="78E4CD3D"/>
    <w:rsid w:val="7916995F"/>
    <w:rsid w:val="796749B6"/>
    <w:rsid w:val="79A9E492"/>
    <w:rsid w:val="7A037B6D"/>
    <w:rsid w:val="7A774BE3"/>
    <w:rsid w:val="7A8EC7A4"/>
    <w:rsid w:val="7B2798A7"/>
    <w:rsid w:val="7B2A8BD5"/>
    <w:rsid w:val="7B47ABCB"/>
    <w:rsid w:val="7B6F6FA9"/>
    <w:rsid w:val="7B9EA273"/>
    <w:rsid w:val="7BC0869D"/>
    <w:rsid w:val="7C426ADE"/>
    <w:rsid w:val="7C430C81"/>
    <w:rsid w:val="7C55869A"/>
    <w:rsid w:val="7C5F48F2"/>
    <w:rsid w:val="7C637599"/>
    <w:rsid w:val="7C8CC3F0"/>
    <w:rsid w:val="7CA22A50"/>
    <w:rsid w:val="7D06049E"/>
    <w:rsid w:val="7D5C30D6"/>
    <w:rsid w:val="7D8F61AE"/>
    <w:rsid w:val="7DA5C89B"/>
    <w:rsid w:val="7E1080E0"/>
    <w:rsid w:val="7EC55C19"/>
    <w:rsid w:val="7EF9820A"/>
    <w:rsid w:val="7F406D70"/>
    <w:rsid w:val="7F4DDFE4"/>
    <w:rsid w:val="7F93DBE3"/>
    <w:rsid w:val="7FC488D4"/>
    <w:rsid w:val="7FC99B19"/>
    <w:rsid w:val="7FC99B19"/>
    <w:rsid w:val="7FEE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A6D4"/>
  <w15:chartTrackingRefBased/>
  <w15:docId w15:val="{52DA34BC-2B10-4198-BAB3-074F38FD88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3B5023CD"/>
    <w:rPr>
      <w:color w:val="467886"/>
      <w:u w:val="single"/>
    </w:rPr>
  </w:style>
  <w:style w:type="paragraph" w:styleId="ListParagraph">
    <w:name w:val="List Paragraph"/>
    <w:basedOn w:val="Normal"/>
    <w:uiPriority w:val="34"/>
    <w:qFormat/>
    <w:rsid w:val="3B5023C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1">
    <w:uiPriority w:val="9"/>
    <w:name w:val="heading 1"/>
    <w:basedOn w:val="Normal"/>
    <w:next w:val="Normal"/>
    <w:qFormat/>
    <w:rsid w:val="7C6375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name w:val="heading 2"/>
    <w:basedOn w:val="Normal"/>
    <w:next w:val="Normal"/>
    <w:qFormat/>
    <w:pPr>
      <w:keepNext/>
      <w:spacing w:before="200" w:after="80"/>
      <w:outlineLvl w:val="1"/>
    </w:pPr>
    <w:rPr>
      <w:b/>
      <w:color w:val="1F3864"/>
      <w:sz w:val="26"/>
    </w:rPr>
  </w:style>
  <w:style w:type="paragraph" w:styleId="Heading3">
    <w:name w:val="heading 3"/>
    <w:basedOn w:val="Normal"/>
    <w:next w:val="Normal"/>
    <w:qFormat/>
    <w:pPr>
      <w:keepNext/>
      <w:spacing w:before="200" w:after="80"/>
      <w:outlineLvl w:val="2"/>
    </w:pPr>
    <w:rPr>
      <w:b/>
      <w:color w:val="1F386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Id="rId18" Type="http://schemas.openxmlformats.org/officeDocument/2006/relationships/image" Target="media/figure18.png"/><Relationship Id="rId19" Type="http://schemas.openxmlformats.org/officeDocument/2006/relationships/image" Target="media/figure19.png"/><Relationship Id="rId20" Type="http://schemas.openxmlformats.org/officeDocument/2006/relationships/image" Target="media/figure20.png"/><Relationship Id="rId21" Type="http://schemas.openxmlformats.org/officeDocument/2006/relationships/image" Target="media/figure2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2 Learning When Labels Are Scarce</dc:title>
  <dc:subject>Semi-supervised network intrusion detection on CICIDS2017</dc:subject>
  <dc:creator>Kirill Silchenko and Stefanos Ntentopoulos</dc:creator>
  <keywords/>
  <dc:description/>
  <lastModifiedBy>Stefanos Ntentopoulos</lastModifiedBy>
  <revision>4</revision>
  <dcterms:created xsi:type="dcterms:W3CDTF">2026-09-04T10:07:00.0000000Z</dcterms:created>
  <dcterms:modified xsi:type="dcterms:W3CDTF">2026-09-19T07:52:21.0279112Z</dcterms:modified>
</coreProperties>
</file>