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等差数列及其前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项和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248" name="13-17_1.jpg" descr="id:21474916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13-17_1.jpg" descr="id:2147491615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等差数列及其前</w:t>
      </w:r>
      <w:r>
        <w:rPr>
          <w:i/>
        </w:rPr>
        <w:t>n</w:t>
      </w:r>
      <w:r>
        <w:t>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}前9项的和为27,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B.99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C.98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D.97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A.5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[2015浙江,3,5分][理]已知{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不为零,前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,7,5分][理]设等差数列{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A.3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,15,5分][理]等差数列{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10,则</w:t>
      </w:r>
      <w:r>
        <w:rPr>
          <w:rFonts w:ascii="Times New Roman" w:hAnsi="Times New Roman" w:cs="Times New Roman" w:eastAsiaTheme="minorEastAsia"/>
          <w:color w:val="000000" w:themeColor="text1"/>
          <w:position w:val="-30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35pt;width:31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[2015浙江,10,6分]已知{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不为零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成等比数列,且2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,16,5分][理]等差数列{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[2016山东,18,12分][理]已知数列{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等差数列的性质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[2015北京,6,5分][理]设{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下列结论中正确的是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[2015广东,10,5分][理]在等差数列{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[2015陕西,13,5分][理]中位数为1 010的一组数构成等差数列,其末项为2 015,则该数列的首项为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[2014北京,12,5分][理]若等差数列{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80975"/>
            <wp:effectExtent l="0" t="0" r="0" b="9525"/>
            <wp:docPr id="251" name="16-18_1.jpg" descr="id:21474916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16-18_1.jpg" descr="id:2147491636;FounderCES"/>
                    <pic:cNvPicPr>
                      <a:picLocks noChangeAspect="1"/>
                    </pic:cNvPicPr>
                  </pic:nvPicPr>
                  <pic:blipFill>
                    <a:blip r:embed="rId7"/>
                    <a:srcRect r="20020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[2018南宁市联考,3]等差数列{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}的前9项和等于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A.-18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B.27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C.18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D.-27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[2018惠州市二调,7]已知等差数列{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}的前10项和为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[2018长春市高三第一次质量监测,4]等差数列{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项和取最小值时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B.7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C.8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[2017福建省高三质量检测,4][数学文化题]朱世杰是历史上最伟大的数学家之一,他所著的《四元玉鉴》卷中“如像招数”五问中有如下问题:“今有官司差夫一千八百六十四人筑堤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只云初日差六十四人,次日转多七人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每人日支米三升,共支米四百三石九斗二升,问筑堤几日”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其大意为:“官府陆续派遣1 864人前往修筑堤坝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第一天派出64人,从第二天开始,每天派出的人数比前一天多7人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修筑堤坝的每人每天分发大米3升,共发出大米40 392升,问修筑堤坝多少天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”在这个问题中,第5天应发大米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A.894升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B.1 170升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C.1 275升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1 467升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[2017昆明市适应性检测,6]已知等差数列{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}各项均为正数,其前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B.13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C.14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D.15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[2018湘东五校联考,14]已知等差数列{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的方差为8,则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[2018辽宁省五校联考,17]已知数列{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)分别为方程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0的两个实根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(2)在(1)中,设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[2018惠州市一调,17]在公差不为0的等差数列{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}的前10项和为45,求数列{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[2018河北省武邑中学二调,4]数列{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C.11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[2017成都市三诊,12]设等差数列{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≥2,则数列{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[2018武汉市部分学校调研测试,15]设等差数列{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275,且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有最小值,则这个最小值为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[2018石家庄市重点高中摸底考试,16]设公差不为0的等差数列{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[2018湘东五校联考,17]已知各项均不相等的等差数列{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}的前四项和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项的和,若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对一切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211455"/>
            <wp:effectExtent l="0" t="0" r="0" b="0"/>
            <wp:docPr id="195" name="2013-2017年高考真题选粹da.jpg" descr="id:21474976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2013-2017年高考真题选粹da.jpg" descr="id:214749760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490" cy="2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8,所以5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98,选C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}为等差数列,设公差为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 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成等比数列可得(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3,所以等差数列的公差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,依题意,知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=10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10×9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=15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15×14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处取得极小值,又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6时,6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7时,7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11=2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17=2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两式作差,得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}是递减的等差数列,则选项A,B都不一定正确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}为公差为0的等差数列,则选项D不正确.对于C选项,由条件可知{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}为公差不为0的正项数列,由等差中项的性质得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,由基本不等式得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25得5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设等差数列的首项为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,根据等差数列的性质可得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1 010,解得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8时,其前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1700" cy="208280"/>
            <wp:effectExtent l="0" t="0" r="0" b="1270"/>
            <wp:docPr id="196" name="2016-2018年模拟限时演练da.jpg" descr="id:21474976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2016-2018年模拟限时演练da.jpg" descr="id:2147497615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282" cy="2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}的前9项和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9×8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由等差数列的性质,得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}的前9项和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9×6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6及等差数列的通项公式得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0可得等差数列{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0,所以前8项和为前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项和的最小值,故选C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由题意,知每天派出的人数构成首项为64,公差为7的等差数列,则第5天的总人数为5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390,所以第5天应发大米390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1 170(升),故选B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依题意,由等差数列的性质得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的平均数为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,则由方差公式得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)分别为方程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0的两个实根,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}是以2为首项,2为公差的等差数列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成等比数列可得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}的前10项和为45得10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45,即90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}为等差数列,所以公差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)(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}的前6项为正数,所以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项和的最大值为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275,联立,解得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≤7时,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成等比数列,所以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+3=12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+3=6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对一切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8,而2(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8≥16,当且仅当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≤16, 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3D"/>
    <w:rsid w:val="000F07C2"/>
    <w:rsid w:val="001C655B"/>
    <w:rsid w:val="00630538"/>
    <w:rsid w:val="008D1073"/>
    <w:rsid w:val="00EE203D"/>
    <w:rsid w:val="4D2D77B9"/>
    <w:rsid w:val="56A4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1193</Words>
  <Characters>6805</Characters>
  <Lines>56</Lines>
  <Paragraphs>15</Paragraphs>
  <ScaleCrop>false</ScaleCrop>
  <LinksUpToDate>false</LinksUpToDate>
  <CharactersWithSpaces>7983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2018-03-24T06:21:00Z</dcterms:created>
  <dc:creator>Windows 用户</dc:creator>
  <cp:lastModifiedBy>l</cp:lastModifiedBy>
  <dcterms:modified xsi:type="dcterms:W3CDTF">2018-03-30T06:12:52Z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