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CD07" w14:textId="68373E65" w:rsidR="00D50C74" w:rsidRDefault="00D50C74" w:rsidP="004C6708">
      <w:pPr>
        <w:tabs>
          <w:tab w:val="num" w:pos="720"/>
        </w:tabs>
        <w:spacing w:before="100" w:beforeAutospacing="1" w:after="120" w:line="360" w:lineRule="atLeast"/>
        <w:jc w:val="center"/>
        <w:rPr>
          <w:b/>
          <w:bCs/>
          <w:u w:val="single"/>
        </w:rPr>
      </w:pPr>
      <w:r w:rsidRPr="004C6708">
        <w:rPr>
          <w:b/>
          <w:bCs/>
          <w:u w:val="single"/>
        </w:rPr>
        <w:t>Report on Crowdfunding campaigns.</w:t>
      </w:r>
    </w:p>
    <w:p w14:paraId="25C36703" w14:textId="4DB7531D" w:rsidR="00AE6BFB" w:rsidRPr="004C6708" w:rsidRDefault="00911396" w:rsidP="00AE6BFB">
      <w:pPr>
        <w:tabs>
          <w:tab w:val="num" w:pos="720"/>
        </w:tabs>
        <w:spacing w:before="100" w:beforeAutospacing="1" w:after="120" w:line="360" w:lineRule="atLeast"/>
        <w:rPr>
          <w:b/>
          <w:bCs/>
          <w:u w:val="single"/>
        </w:rPr>
      </w:pPr>
      <w:r>
        <w:rPr>
          <w:b/>
          <w:bCs/>
          <w:u w:val="single"/>
        </w:rPr>
        <w:t>Part 1 Analysis</w:t>
      </w:r>
    </w:p>
    <w:p w14:paraId="3DEAC49F" w14:textId="34BD067B" w:rsidR="00762E7C" w:rsidRDefault="00CA4D63" w:rsidP="00CA4D63">
      <w:pPr>
        <w:rPr>
          <w:b/>
          <w:bCs/>
          <w:lang w:eastAsia="en-AU"/>
        </w:rPr>
      </w:pPr>
      <w:r w:rsidRPr="004C6708">
        <w:rPr>
          <w:b/>
          <w:bCs/>
          <w:lang w:eastAsia="en-AU"/>
        </w:rPr>
        <w:t>1.</w:t>
      </w:r>
      <w:r w:rsidR="00762E7C" w:rsidRPr="00762E7C">
        <w:rPr>
          <w:b/>
          <w:bCs/>
          <w:lang w:eastAsia="en-AU"/>
        </w:rPr>
        <w:t>Given the provided data, what are three conclusions that we can draw about crowdfunding campaigns?</w:t>
      </w:r>
    </w:p>
    <w:p w14:paraId="04C8500A" w14:textId="77777777" w:rsidR="004C6708" w:rsidRPr="00762E7C" w:rsidRDefault="004C6708" w:rsidP="00CA4D63">
      <w:pPr>
        <w:rPr>
          <w:b/>
          <w:bCs/>
          <w:lang w:eastAsia="en-AU"/>
        </w:rPr>
      </w:pPr>
    </w:p>
    <w:tbl>
      <w:tblPr>
        <w:tblW w:w="6528" w:type="dxa"/>
        <w:tblLook w:val="04A0" w:firstRow="1" w:lastRow="0" w:firstColumn="1" w:lastColumn="0" w:noHBand="0" w:noVBand="1"/>
      </w:tblPr>
      <w:tblGrid>
        <w:gridCol w:w="1525"/>
        <w:gridCol w:w="1402"/>
        <w:gridCol w:w="813"/>
        <w:gridCol w:w="569"/>
        <w:gridCol w:w="1218"/>
        <w:gridCol w:w="1001"/>
      </w:tblGrid>
      <w:tr w:rsidR="006C75D9" w:rsidRPr="00135214" w14:paraId="33955DDD" w14:textId="77777777" w:rsidTr="006C75D9">
        <w:trPr>
          <w:trHeight w:val="167"/>
        </w:trPr>
        <w:tc>
          <w:tcPr>
            <w:tcW w:w="1525" w:type="dxa"/>
            <w:tcBorders>
              <w:top w:val="nil"/>
              <w:left w:val="nil"/>
              <w:bottom w:val="single" w:sz="4" w:space="0" w:color="8EA9DB"/>
              <w:right w:val="nil"/>
            </w:tcBorders>
            <w:shd w:val="clear" w:color="D9E1F2" w:fill="D9E1F2"/>
            <w:noWrap/>
            <w:vAlign w:val="bottom"/>
            <w:hideMark/>
          </w:tcPr>
          <w:p w14:paraId="535D754B"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Row Labels</w:t>
            </w:r>
          </w:p>
        </w:tc>
        <w:tc>
          <w:tcPr>
            <w:tcW w:w="1402" w:type="dxa"/>
            <w:tcBorders>
              <w:top w:val="nil"/>
              <w:left w:val="nil"/>
              <w:bottom w:val="single" w:sz="4" w:space="0" w:color="8EA9DB"/>
              <w:right w:val="nil"/>
            </w:tcBorders>
            <w:shd w:val="clear" w:color="D9E1F2" w:fill="D9E1F2"/>
            <w:noWrap/>
            <w:vAlign w:val="bottom"/>
            <w:hideMark/>
          </w:tcPr>
          <w:p w14:paraId="4369947D"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proofErr w:type="spellStart"/>
            <w:r w:rsidRPr="00135214">
              <w:rPr>
                <w:rFonts w:ascii="Calibri" w:eastAsia="Times New Roman" w:hAnsi="Calibri" w:cs="Calibri"/>
                <w:b/>
                <w:bCs/>
                <w:color w:val="000000"/>
                <w:kern w:val="0"/>
                <w:sz w:val="24"/>
                <w:szCs w:val="24"/>
                <w:lang w:eastAsia="en-AU"/>
                <w14:ligatures w14:val="none"/>
              </w:rPr>
              <w:t>canceled</w:t>
            </w:r>
            <w:proofErr w:type="spellEnd"/>
          </w:p>
        </w:tc>
        <w:tc>
          <w:tcPr>
            <w:tcW w:w="813" w:type="dxa"/>
            <w:tcBorders>
              <w:top w:val="nil"/>
              <w:left w:val="nil"/>
              <w:bottom w:val="single" w:sz="4" w:space="0" w:color="8EA9DB"/>
              <w:right w:val="nil"/>
            </w:tcBorders>
            <w:shd w:val="clear" w:color="D9E1F2" w:fill="D9E1F2"/>
            <w:noWrap/>
            <w:vAlign w:val="bottom"/>
            <w:hideMark/>
          </w:tcPr>
          <w:p w14:paraId="44725BDF"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Failed</w:t>
            </w:r>
          </w:p>
        </w:tc>
        <w:tc>
          <w:tcPr>
            <w:tcW w:w="569" w:type="dxa"/>
            <w:tcBorders>
              <w:top w:val="nil"/>
              <w:left w:val="nil"/>
              <w:bottom w:val="single" w:sz="4" w:space="0" w:color="8EA9DB"/>
              <w:right w:val="nil"/>
            </w:tcBorders>
            <w:shd w:val="clear" w:color="D9E1F2" w:fill="D9E1F2"/>
            <w:noWrap/>
            <w:vAlign w:val="bottom"/>
            <w:hideMark/>
          </w:tcPr>
          <w:p w14:paraId="723B5965"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live</w:t>
            </w:r>
          </w:p>
        </w:tc>
        <w:tc>
          <w:tcPr>
            <w:tcW w:w="1218" w:type="dxa"/>
            <w:tcBorders>
              <w:top w:val="nil"/>
              <w:left w:val="nil"/>
              <w:bottom w:val="single" w:sz="4" w:space="0" w:color="8EA9DB"/>
              <w:right w:val="nil"/>
            </w:tcBorders>
            <w:shd w:val="clear" w:color="D9E1F2" w:fill="D9E1F2"/>
            <w:noWrap/>
            <w:vAlign w:val="bottom"/>
            <w:hideMark/>
          </w:tcPr>
          <w:p w14:paraId="69E15A4B"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successful</w:t>
            </w:r>
          </w:p>
        </w:tc>
        <w:tc>
          <w:tcPr>
            <w:tcW w:w="1001" w:type="dxa"/>
            <w:tcBorders>
              <w:top w:val="nil"/>
              <w:left w:val="nil"/>
              <w:bottom w:val="single" w:sz="4" w:space="0" w:color="8EA9DB"/>
              <w:right w:val="nil"/>
            </w:tcBorders>
            <w:shd w:val="clear" w:color="D9E1F2" w:fill="D9E1F2"/>
            <w:noWrap/>
            <w:vAlign w:val="bottom"/>
            <w:hideMark/>
          </w:tcPr>
          <w:p w14:paraId="0551F0F3"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Grand Total</w:t>
            </w:r>
          </w:p>
        </w:tc>
      </w:tr>
      <w:tr w:rsidR="006C75D9" w:rsidRPr="00135214" w14:paraId="7F24A7FB" w14:textId="77777777" w:rsidTr="006C75D9">
        <w:trPr>
          <w:trHeight w:val="167"/>
        </w:trPr>
        <w:tc>
          <w:tcPr>
            <w:tcW w:w="1525" w:type="dxa"/>
            <w:tcBorders>
              <w:top w:val="nil"/>
              <w:left w:val="nil"/>
              <w:bottom w:val="nil"/>
              <w:right w:val="nil"/>
            </w:tcBorders>
            <w:shd w:val="clear" w:color="auto" w:fill="auto"/>
            <w:noWrap/>
            <w:vAlign w:val="bottom"/>
            <w:hideMark/>
          </w:tcPr>
          <w:p w14:paraId="043EBAFC"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film &amp; video</w:t>
            </w:r>
          </w:p>
        </w:tc>
        <w:tc>
          <w:tcPr>
            <w:tcW w:w="1402" w:type="dxa"/>
            <w:tcBorders>
              <w:top w:val="nil"/>
              <w:left w:val="nil"/>
              <w:bottom w:val="nil"/>
              <w:right w:val="nil"/>
            </w:tcBorders>
            <w:shd w:val="clear" w:color="auto" w:fill="auto"/>
            <w:noWrap/>
            <w:vAlign w:val="bottom"/>
            <w:hideMark/>
          </w:tcPr>
          <w:p w14:paraId="759804E6"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11</w:t>
            </w:r>
          </w:p>
        </w:tc>
        <w:tc>
          <w:tcPr>
            <w:tcW w:w="813" w:type="dxa"/>
            <w:tcBorders>
              <w:top w:val="nil"/>
              <w:left w:val="nil"/>
              <w:bottom w:val="nil"/>
              <w:right w:val="nil"/>
            </w:tcBorders>
            <w:shd w:val="clear" w:color="auto" w:fill="auto"/>
            <w:noWrap/>
            <w:vAlign w:val="bottom"/>
            <w:hideMark/>
          </w:tcPr>
          <w:p w14:paraId="6400E3F6"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60</w:t>
            </w:r>
          </w:p>
        </w:tc>
        <w:tc>
          <w:tcPr>
            <w:tcW w:w="569" w:type="dxa"/>
            <w:tcBorders>
              <w:top w:val="nil"/>
              <w:left w:val="nil"/>
              <w:bottom w:val="nil"/>
              <w:right w:val="nil"/>
            </w:tcBorders>
            <w:shd w:val="clear" w:color="auto" w:fill="auto"/>
            <w:noWrap/>
            <w:vAlign w:val="bottom"/>
            <w:hideMark/>
          </w:tcPr>
          <w:p w14:paraId="113650AD"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5</w:t>
            </w:r>
          </w:p>
        </w:tc>
        <w:tc>
          <w:tcPr>
            <w:tcW w:w="1218" w:type="dxa"/>
            <w:tcBorders>
              <w:top w:val="nil"/>
              <w:left w:val="nil"/>
              <w:bottom w:val="nil"/>
              <w:right w:val="nil"/>
            </w:tcBorders>
            <w:shd w:val="clear" w:color="auto" w:fill="auto"/>
            <w:noWrap/>
            <w:vAlign w:val="bottom"/>
            <w:hideMark/>
          </w:tcPr>
          <w:p w14:paraId="6BC1BD6F"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102</w:t>
            </w:r>
          </w:p>
        </w:tc>
        <w:tc>
          <w:tcPr>
            <w:tcW w:w="1001" w:type="dxa"/>
            <w:tcBorders>
              <w:top w:val="nil"/>
              <w:left w:val="nil"/>
              <w:bottom w:val="nil"/>
              <w:right w:val="nil"/>
            </w:tcBorders>
            <w:shd w:val="clear" w:color="auto" w:fill="auto"/>
            <w:noWrap/>
            <w:vAlign w:val="bottom"/>
            <w:hideMark/>
          </w:tcPr>
          <w:p w14:paraId="028D3B32"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178</w:t>
            </w:r>
          </w:p>
        </w:tc>
      </w:tr>
      <w:tr w:rsidR="006C75D9" w:rsidRPr="00135214" w14:paraId="092548FE" w14:textId="77777777" w:rsidTr="006C75D9">
        <w:trPr>
          <w:trHeight w:val="167"/>
        </w:trPr>
        <w:tc>
          <w:tcPr>
            <w:tcW w:w="1525" w:type="dxa"/>
            <w:tcBorders>
              <w:top w:val="nil"/>
              <w:left w:val="nil"/>
              <w:bottom w:val="nil"/>
              <w:right w:val="nil"/>
            </w:tcBorders>
            <w:shd w:val="clear" w:color="auto" w:fill="auto"/>
            <w:noWrap/>
            <w:vAlign w:val="bottom"/>
            <w:hideMark/>
          </w:tcPr>
          <w:p w14:paraId="3C4D3894"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food</w:t>
            </w:r>
          </w:p>
        </w:tc>
        <w:tc>
          <w:tcPr>
            <w:tcW w:w="1402" w:type="dxa"/>
            <w:tcBorders>
              <w:top w:val="nil"/>
              <w:left w:val="nil"/>
              <w:bottom w:val="nil"/>
              <w:right w:val="nil"/>
            </w:tcBorders>
            <w:shd w:val="clear" w:color="auto" w:fill="auto"/>
            <w:noWrap/>
            <w:vAlign w:val="bottom"/>
            <w:hideMark/>
          </w:tcPr>
          <w:p w14:paraId="79806200"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w:t>
            </w:r>
          </w:p>
        </w:tc>
        <w:tc>
          <w:tcPr>
            <w:tcW w:w="813" w:type="dxa"/>
            <w:tcBorders>
              <w:top w:val="nil"/>
              <w:left w:val="nil"/>
              <w:bottom w:val="nil"/>
              <w:right w:val="nil"/>
            </w:tcBorders>
            <w:shd w:val="clear" w:color="auto" w:fill="auto"/>
            <w:noWrap/>
            <w:vAlign w:val="bottom"/>
            <w:hideMark/>
          </w:tcPr>
          <w:p w14:paraId="4D3C8AD7"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20</w:t>
            </w:r>
          </w:p>
        </w:tc>
        <w:tc>
          <w:tcPr>
            <w:tcW w:w="569" w:type="dxa"/>
            <w:tcBorders>
              <w:top w:val="nil"/>
              <w:left w:val="nil"/>
              <w:bottom w:val="nil"/>
              <w:right w:val="nil"/>
            </w:tcBorders>
            <w:shd w:val="clear" w:color="auto" w:fill="auto"/>
            <w:noWrap/>
            <w:vAlign w:val="bottom"/>
            <w:hideMark/>
          </w:tcPr>
          <w:p w14:paraId="26A7493A"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p>
        </w:tc>
        <w:tc>
          <w:tcPr>
            <w:tcW w:w="1218" w:type="dxa"/>
            <w:tcBorders>
              <w:top w:val="nil"/>
              <w:left w:val="nil"/>
              <w:bottom w:val="nil"/>
              <w:right w:val="nil"/>
            </w:tcBorders>
            <w:shd w:val="clear" w:color="auto" w:fill="auto"/>
            <w:noWrap/>
            <w:vAlign w:val="bottom"/>
            <w:hideMark/>
          </w:tcPr>
          <w:p w14:paraId="7AB0F7DB"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22</w:t>
            </w:r>
          </w:p>
        </w:tc>
        <w:tc>
          <w:tcPr>
            <w:tcW w:w="1001" w:type="dxa"/>
            <w:tcBorders>
              <w:top w:val="nil"/>
              <w:left w:val="nil"/>
              <w:bottom w:val="nil"/>
              <w:right w:val="nil"/>
            </w:tcBorders>
            <w:shd w:val="clear" w:color="auto" w:fill="auto"/>
            <w:noWrap/>
            <w:vAlign w:val="bottom"/>
            <w:hideMark/>
          </w:tcPr>
          <w:p w14:paraId="722178D4"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46</w:t>
            </w:r>
          </w:p>
        </w:tc>
      </w:tr>
      <w:tr w:rsidR="006C75D9" w:rsidRPr="00135214" w14:paraId="099DCA1F" w14:textId="77777777" w:rsidTr="006C75D9">
        <w:trPr>
          <w:trHeight w:val="167"/>
        </w:trPr>
        <w:tc>
          <w:tcPr>
            <w:tcW w:w="1525" w:type="dxa"/>
            <w:tcBorders>
              <w:top w:val="nil"/>
              <w:left w:val="nil"/>
              <w:bottom w:val="nil"/>
              <w:right w:val="nil"/>
            </w:tcBorders>
            <w:shd w:val="clear" w:color="auto" w:fill="auto"/>
            <w:noWrap/>
            <w:vAlign w:val="bottom"/>
            <w:hideMark/>
          </w:tcPr>
          <w:p w14:paraId="766DE201"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games</w:t>
            </w:r>
          </w:p>
        </w:tc>
        <w:tc>
          <w:tcPr>
            <w:tcW w:w="1402" w:type="dxa"/>
            <w:tcBorders>
              <w:top w:val="nil"/>
              <w:left w:val="nil"/>
              <w:bottom w:val="nil"/>
              <w:right w:val="nil"/>
            </w:tcBorders>
            <w:shd w:val="clear" w:color="auto" w:fill="auto"/>
            <w:noWrap/>
            <w:vAlign w:val="bottom"/>
            <w:hideMark/>
          </w:tcPr>
          <w:p w14:paraId="7084473B"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w:t>
            </w:r>
          </w:p>
        </w:tc>
        <w:tc>
          <w:tcPr>
            <w:tcW w:w="813" w:type="dxa"/>
            <w:tcBorders>
              <w:top w:val="nil"/>
              <w:left w:val="nil"/>
              <w:bottom w:val="nil"/>
              <w:right w:val="nil"/>
            </w:tcBorders>
            <w:shd w:val="clear" w:color="auto" w:fill="auto"/>
            <w:noWrap/>
            <w:vAlign w:val="bottom"/>
            <w:hideMark/>
          </w:tcPr>
          <w:p w14:paraId="1DADA0D7"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23</w:t>
            </w:r>
          </w:p>
        </w:tc>
        <w:tc>
          <w:tcPr>
            <w:tcW w:w="569" w:type="dxa"/>
            <w:tcBorders>
              <w:top w:val="nil"/>
              <w:left w:val="nil"/>
              <w:bottom w:val="nil"/>
              <w:right w:val="nil"/>
            </w:tcBorders>
            <w:shd w:val="clear" w:color="auto" w:fill="auto"/>
            <w:noWrap/>
            <w:vAlign w:val="bottom"/>
            <w:hideMark/>
          </w:tcPr>
          <w:p w14:paraId="29001C1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3</w:t>
            </w:r>
          </w:p>
        </w:tc>
        <w:tc>
          <w:tcPr>
            <w:tcW w:w="1218" w:type="dxa"/>
            <w:tcBorders>
              <w:top w:val="nil"/>
              <w:left w:val="nil"/>
              <w:bottom w:val="nil"/>
              <w:right w:val="nil"/>
            </w:tcBorders>
            <w:shd w:val="clear" w:color="auto" w:fill="auto"/>
            <w:noWrap/>
            <w:vAlign w:val="bottom"/>
            <w:hideMark/>
          </w:tcPr>
          <w:p w14:paraId="0441885A"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21</w:t>
            </w:r>
          </w:p>
        </w:tc>
        <w:tc>
          <w:tcPr>
            <w:tcW w:w="1001" w:type="dxa"/>
            <w:tcBorders>
              <w:top w:val="nil"/>
              <w:left w:val="nil"/>
              <w:bottom w:val="nil"/>
              <w:right w:val="nil"/>
            </w:tcBorders>
            <w:shd w:val="clear" w:color="auto" w:fill="auto"/>
            <w:noWrap/>
            <w:vAlign w:val="bottom"/>
            <w:hideMark/>
          </w:tcPr>
          <w:p w14:paraId="6118A5CE"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48</w:t>
            </w:r>
          </w:p>
        </w:tc>
      </w:tr>
      <w:tr w:rsidR="006C75D9" w:rsidRPr="00135214" w14:paraId="4C3EF74D" w14:textId="77777777" w:rsidTr="006C75D9">
        <w:trPr>
          <w:trHeight w:val="167"/>
        </w:trPr>
        <w:tc>
          <w:tcPr>
            <w:tcW w:w="1525" w:type="dxa"/>
            <w:tcBorders>
              <w:top w:val="nil"/>
              <w:left w:val="nil"/>
              <w:bottom w:val="nil"/>
              <w:right w:val="nil"/>
            </w:tcBorders>
            <w:shd w:val="clear" w:color="auto" w:fill="auto"/>
            <w:noWrap/>
            <w:vAlign w:val="bottom"/>
            <w:hideMark/>
          </w:tcPr>
          <w:p w14:paraId="055FCB86"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journalism</w:t>
            </w:r>
          </w:p>
        </w:tc>
        <w:tc>
          <w:tcPr>
            <w:tcW w:w="1402" w:type="dxa"/>
            <w:tcBorders>
              <w:top w:val="nil"/>
              <w:left w:val="nil"/>
              <w:bottom w:val="nil"/>
              <w:right w:val="nil"/>
            </w:tcBorders>
            <w:shd w:val="clear" w:color="auto" w:fill="auto"/>
            <w:noWrap/>
            <w:vAlign w:val="bottom"/>
            <w:hideMark/>
          </w:tcPr>
          <w:p w14:paraId="470F995D"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p>
        </w:tc>
        <w:tc>
          <w:tcPr>
            <w:tcW w:w="813" w:type="dxa"/>
            <w:tcBorders>
              <w:top w:val="nil"/>
              <w:left w:val="nil"/>
              <w:bottom w:val="nil"/>
              <w:right w:val="nil"/>
            </w:tcBorders>
            <w:shd w:val="clear" w:color="auto" w:fill="auto"/>
            <w:noWrap/>
            <w:vAlign w:val="bottom"/>
            <w:hideMark/>
          </w:tcPr>
          <w:p w14:paraId="3C7B5BC7" w14:textId="77777777" w:rsidR="00135214" w:rsidRPr="00135214" w:rsidRDefault="00135214" w:rsidP="00135214">
            <w:pPr>
              <w:spacing w:after="0" w:line="240" w:lineRule="auto"/>
              <w:rPr>
                <w:rFonts w:ascii="Times New Roman" w:eastAsia="Times New Roman" w:hAnsi="Times New Roman" w:cs="Times New Roman"/>
                <w:kern w:val="0"/>
                <w:sz w:val="20"/>
                <w:szCs w:val="20"/>
                <w:lang w:eastAsia="en-AU"/>
                <w14:ligatures w14:val="none"/>
              </w:rPr>
            </w:pPr>
          </w:p>
        </w:tc>
        <w:tc>
          <w:tcPr>
            <w:tcW w:w="569" w:type="dxa"/>
            <w:tcBorders>
              <w:top w:val="nil"/>
              <w:left w:val="nil"/>
              <w:bottom w:val="nil"/>
              <w:right w:val="nil"/>
            </w:tcBorders>
            <w:shd w:val="clear" w:color="auto" w:fill="auto"/>
            <w:noWrap/>
            <w:vAlign w:val="bottom"/>
            <w:hideMark/>
          </w:tcPr>
          <w:p w14:paraId="637CB6B6" w14:textId="77777777" w:rsidR="00135214" w:rsidRPr="00135214" w:rsidRDefault="00135214" w:rsidP="00135214">
            <w:pPr>
              <w:spacing w:after="0" w:line="240" w:lineRule="auto"/>
              <w:rPr>
                <w:rFonts w:ascii="Times New Roman" w:eastAsia="Times New Roman" w:hAnsi="Times New Roman" w:cs="Times New Roman"/>
                <w:kern w:val="0"/>
                <w:sz w:val="20"/>
                <w:szCs w:val="20"/>
                <w:lang w:eastAsia="en-AU"/>
                <w14:ligatures w14:val="none"/>
              </w:rPr>
            </w:pPr>
          </w:p>
        </w:tc>
        <w:tc>
          <w:tcPr>
            <w:tcW w:w="1218" w:type="dxa"/>
            <w:tcBorders>
              <w:top w:val="nil"/>
              <w:left w:val="nil"/>
              <w:bottom w:val="nil"/>
              <w:right w:val="nil"/>
            </w:tcBorders>
            <w:shd w:val="clear" w:color="auto" w:fill="auto"/>
            <w:noWrap/>
            <w:vAlign w:val="bottom"/>
            <w:hideMark/>
          </w:tcPr>
          <w:p w14:paraId="427A40A7"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w:t>
            </w:r>
          </w:p>
        </w:tc>
        <w:tc>
          <w:tcPr>
            <w:tcW w:w="1001" w:type="dxa"/>
            <w:tcBorders>
              <w:top w:val="nil"/>
              <w:left w:val="nil"/>
              <w:bottom w:val="nil"/>
              <w:right w:val="nil"/>
            </w:tcBorders>
            <w:shd w:val="clear" w:color="auto" w:fill="auto"/>
            <w:noWrap/>
            <w:vAlign w:val="bottom"/>
            <w:hideMark/>
          </w:tcPr>
          <w:p w14:paraId="670F2D05"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w:t>
            </w:r>
          </w:p>
        </w:tc>
      </w:tr>
      <w:tr w:rsidR="006C75D9" w:rsidRPr="00135214" w14:paraId="71C7CE6B" w14:textId="77777777" w:rsidTr="006C75D9">
        <w:trPr>
          <w:trHeight w:val="167"/>
        </w:trPr>
        <w:tc>
          <w:tcPr>
            <w:tcW w:w="1525" w:type="dxa"/>
            <w:tcBorders>
              <w:top w:val="nil"/>
              <w:left w:val="nil"/>
              <w:bottom w:val="nil"/>
              <w:right w:val="nil"/>
            </w:tcBorders>
            <w:shd w:val="clear" w:color="auto" w:fill="auto"/>
            <w:noWrap/>
            <w:vAlign w:val="bottom"/>
            <w:hideMark/>
          </w:tcPr>
          <w:p w14:paraId="26A220B0"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music</w:t>
            </w:r>
          </w:p>
        </w:tc>
        <w:tc>
          <w:tcPr>
            <w:tcW w:w="1402" w:type="dxa"/>
            <w:tcBorders>
              <w:top w:val="nil"/>
              <w:left w:val="nil"/>
              <w:bottom w:val="nil"/>
              <w:right w:val="nil"/>
            </w:tcBorders>
            <w:shd w:val="clear" w:color="auto" w:fill="auto"/>
            <w:noWrap/>
            <w:vAlign w:val="bottom"/>
            <w:hideMark/>
          </w:tcPr>
          <w:p w14:paraId="34CCC00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10</w:t>
            </w:r>
          </w:p>
        </w:tc>
        <w:tc>
          <w:tcPr>
            <w:tcW w:w="813" w:type="dxa"/>
            <w:tcBorders>
              <w:top w:val="nil"/>
              <w:left w:val="nil"/>
              <w:bottom w:val="nil"/>
              <w:right w:val="nil"/>
            </w:tcBorders>
            <w:shd w:val="clear" w:color="auto" w:fill="auto"/>
            <w:noWrap/>
            <w:vAlign w:val="bottom"/>
            <w:hideMark/>
          </w:tcPr>
          <w:p w14:paraId="2DEEA574"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66</w:t>
            </w:r>
          </w:p>
        </w:tc>
        <w:tc>
          <w:tcPr>
            <w:tcW w:w="569" w:type="dxa"/>
            <w:tcBorders>
              <w:top w:val="nil"/>
              <w:left w:val="nil"/>
              <w:bottom w:val="nil"/>
              <w:right w:val="nil"/>
            </w:tcBorders>
            <w:shd w:val="clear" w:color="auto" w:fill="auto"/>
            <w:noWrap/>
            <w:vAlign w:val="bottom"/>
            <w:hideMark/>
          </w:tcPr>
          <w:p w14:paraId="374E2ABC"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p>
        </w:tc>
        <w:tc>
          <w:tcPr>
            <w:tcW w:w="1218" w:type="dxa"/>
            <w:tcBorders>
              <w:top w:val="nil"/>
              <w:left w:val="nil"/>
              <w:bottom w:val="nil"/>
              <w:right w:val="nil"/>
            </w:tcBorders>
            <w:shd w:val="clear" w:color="auto" w:fill="auto"/>
            <w:noWrap/>
            <w:vAlign w:val="bottom"/>
            <w:hideMark/>
          </w:tcPr>
          <w:p w14:paraId="4CCA2EBC"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99</w:t>
            </w:r>
          </w:p>
        </w:tc>
        <w:tc>
          <w:tcPr>
            <w:tcW w:w="1001" w:type="dxa"/>
            <w:tcBorders>
              <w:top w:val="nil"/>
              <w:left w:val="nil"/>
              <w:bottom w:val="nil"/>
              <w:right w:val="nil"/>
            </w:tcBorders>
            <w:shd w:val="clear" w:color="auto" w:fill="auto"/>
            <w:noWrap/>
            <w:vAlign w:val="bottom"/>
            <w:hideMark/>
          </w:tcPr>
          <w:p w14:paraId="036FC43B"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175</w:t>
            </w:r>
          </w:p>
        </w:tc>
      </w:tr>
      <w:tr w:rsidR="006C75D9" w:rsidRPr="00135214" w14:paraId="12CFD383" w14:textId="77777777" w:rsidTr="006C75D9">
        <w:trPr>
          <w:trHeight w:val="167"/>
        </w:trPr>
        <w:tc>
          <w:tcPr>
            <w:tcW w:w="1525" w:type="dxa"/>
            <w:tcBorders>
              <w:top w:val="nil"/>
              <w:left w:val="nil"/>
              <w:bottom w:val="nil"/>
              <w:right w:val="nil"/>
            </w:tcBorders>
            <w:shd w:val="clear" w:color="auto" w:fill="auto"/>
            <w:noWrap/>
            <w:vAlign w:val="bottom"/>
            <w:hideMark/>
          </w:tcPr>
          <w:p w14:paraId="1946C78C"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photography</w:t>
            </w:r>
          </w:p>
        </w:tc>
        <w:tc>
          <w:tcPr>
            <w:tcW w:w="1402" w:type="dxa"/>
            <w:tcBorders>
              <w:top w:val="nil"/>
              <w:left w:val="nil"/>
              <w:bottom w:val="nil"/>
              <w:right w:val="nil"/>
            </w:tcBorders>
            <w:shd w:val="clear" w:color="auto" w:fill="auto"/>
            <w:noWrap/>
            <w:vAlign w:val="bottom"/>
            <w:hideMark/>
          </w:tcPr>
          <w:p w14:paraId="4B621642"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w:t>
            </w:r>
          </w:p>
        </w:tc>
        <w:tc>
          <w:tcPr>
            <w:tcW w:w="813" w:type="dxa"/>
            <w:tcBorders>
              <w:top w:val="nil"/>
              <w:left w:val="nil"/>
              <w:bottom w:val="nil"/>
              <w:right w:val="nil"/>
            </w:tcBorders>
            <w:shd w:val="clear" w:color="auto" w:fill="auto"/>
            <w:noWrap/>
            <w:vAlign w:val="bottom"/>
            <w:hideMark/>
          </w:tcPr>
          <w:p w14:paraId="0CFCB7FF"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11</w:t>
            </w:r>
          </w:p>
        </w:tc>
        <w:tc>
          <w:tcPr>
            <w:tcW w:w="569" w:type="dxa"/>
            <w:tcBorders>
              <w:top w:val="nil"/>
              <w:left w:val="nil"/>
              <w:bottom w:val="nil"/>
              <w:right w:val="nil"/>
            </w:tcBorders>
            <w:shd w:val="clear" w:color="auto" w:fill="auto"/>
            <w:noWrap/>
            <w:vAlign w:val="bottom"/>
            <w:hideMark/>
          </w:tcPr>
          <w:p w14:paraId="562B793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w:t>
            </w:r>
          </w:p>
        </w:tc>
        <w:tc>
          <w:tcPr>
            <w:tcW w:w="1218" w:type="dxa"/>
            <w:tcBorders>
              <w:top w:val="nil"/>
              <w:left w:val="nil"/>
              <w:bottom w:val="nil"/>
              <w:right w:val="nil"/>
            </w:tcBorders>
            <w:shd w:val="clear" w:color="auto" w:fill="auto"/>
            <w:noWrap/>
            <w:vAlign w:val="bottom"/>
            <w:hideMark/>
          </w:tcPr>
          <w:p w14:paraId="5CD5388C"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26</w:t>
            </w:r>
          </w:p>
        </w:tc>
        <w:tc>
          <w:tcPr>
            <w:tcW w:w="1001" w:type="dxa"/>
            <w:tcBorders>
              <w:top w:val="nil"/>
              <w:left w:val="nil"/>
              <w:bottom w:val="nil"/>
              <w:right w:val="nil"/>
            </w:tcBorders>
            <w:shd w:val="clear" w:color="auto" w:fill="auto"/>
            <w:noWrap/>
            <w:vAlign w:val="bottom"/>
            <w:hideMark/>
          </w:tcPr>
          <w:p w14:paraId="7AE73456"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42</w:t>
            </w:r>
          </w:p>
        </w:tc>
      </w:tr>
      <w:tr w:rsidR="006C75D9" w:rsidRPr="00135214" w14:paraId="33637861" w14:textId="77777777" w:rsidTr="006C75D9">
        <w:trPr>
          <w:trHeight w:val="167"/>
        </w:trPr>
        <w:tc>
          <w:tcPr>
            <w:tcW w:w="1525" w:type="dxa"/>
            <w:tcBorders>
              <w:top w:val="nil"/>
              <w:left w:val="nil"/>
              <w:bottom w:val="nil"/>
              <w:right w:val="nil"/>
            </w:tcBorders>
            <w:shd w:val="clear" w:color="auto" w:fill="auto"/>
            <w:noWrap/>
            <w:vAlign w:val="bottom"/>
            <w:hideMark/>
          </w:tcPr>
          <w:p w14:paraId="49F1FD44"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publishing</w:t>
            </w:r>
          </w:p>
        </w:tc>
        <w:tc>
          <w:tcPr>
            <w:tcW w:w="1402" w:type="dxa"/>
            <w:tcBorders>
              <w:top w:val="nil"/>
              <w:left w:val="nil"/>
              <w:bottom w:val="nil"/>
              <w:right w:val="nil"/>
            </w:tcBorders>
            <w:shd w:val="clear" w:color="auto" w:fill="auto"/>
            <w:noWrap/>
            <w:vAlign w:val="bottom"/>
            <w:hideMark/>
          </w:tcPr>
          <w:p w14:paraId="638DE7C7"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w:t>
            </w:r>
          </w:p>
        </w:tc>
        <w:tc>
          <w:tcPr>
            <w:tcW w:w="813" w:type="dxa"/>
            <w:tcBorders>
              <w:top w:val="nil"/>
              <w:left w:val="nil"/>
              <w:bottom w:val="nil"/>
              <w:right w:val="nil"/>
            </w:tcBorders>
            <w:shd w:val="clear" w:color="auto" w:fill="auto"/>
            <w:noWrap/>
            <w:vAlign w:val="bottom"/>
            <w:hideMark/>
          </w:tcPr>
          <w:p w14:paraId="5601A179"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24</w:t>
            </w:r>
          </w:p>
        </w:tc>
        <w:tc>
          <w:tcPr>
            <w:tcW w:w="569" w:type="dxa"/>
            <w:tcBorders>
              <w:top w:val="nil"/>
              <w:left w:val="nil"/>
              <w:bottom w:val="nil"/>
              <w:right w:val="nil"/>
            </w:tcBorders>
            <w:shd w:val="clear" w:color="auto" w:fill="auto"/>
            <w:noWrap/>
            <w:vAlign w:val="bottom"/>
            <w:hideMark/>
          </w:tcPr>
          <w:p w14:paraId="179C732E"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w:t>
            </w:r>
          </w:p>
        </w:tc>
        <w:tc>
          <w:tcPr>
            <w:tcW w:w="1218" w:type="dxa"/>
            <w:tcBorders>
              <w:top w:val="nil"/>
              <w:left w:val="nil"/>
              <w:bottom w:val="nil"/>
              <w:right w:val="nil"/>
            </w:tcBorders>
            <w:shd w:val="clear" w:color="auto" w:fill="auto"/>
            <w:noWrap/>
            <w:vAlign w:val="bottom"/>
            <w:hideMark/>
          </w:tcPr>
          <w:p w14:paraId="67FB657B"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40</w:t>
            </w:r>
          </w:p>
        </w:tc>
        <w:tc>
          <w:tcPr>
            <w:tcW w:w="1001" w:type="dxa"/>
            <w:tcBorders>
              <w:top w:val="nil"/>
              <w:left w:val="nil"/>
              <w:bottom w:val="nil"/>
              <w:right w:val="nil"/>
            </w:tcBorders>
            <w:shd w:val="clear" w:color="auto" w:fill="auto"/>
            <w:noWrap/>
            <w:vAlign w:val="bottom"/>
            <w:hideMark/>
          </w:tcPr>
          <w:p w14:paraId="3270FB3F"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67</w:t>
            </w:r>
          </w:p>
        </w:tc>
      </w:tr>
      <w:tr w:rsidR="006C75D9" w:rsidRPr="00135214" w14:paraId="238F670D" w14:textId="77777777" w:rsidTr="006C75D9">
        <w:trPr>
          <w:trHeight w:val="167"/>
        </w:trPr>
        <w:tc>
          <w:tcPr>
            <w:tcW w:w="1525" w:type="dxa"/>
            <w:tcBorders>
              <w:top w:val="nil"/>
              <w:left w:val="nil"/>
              <w:bottom w:val="nil"/>
              <w:right w:val="nil"/>
            </w:tcBorders>
            <w:shd w:val="clear" w:color="auto" w:fill="auto"/>
            <w:noWrap/>
            <w:vAlign w:val="bottom"/>
            <w:hideMark/>
          </w:tcPr>
          <w:p w14:paraId="0A0DE893"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technology</w:t>
            </w:r>
          </w:p>
        </w:tc>
        <w:tc>
          <w:tcPr>
            <w:tcW w:w="1402" w:type="dxa"/>
            <w:tcBorders>
              <w:top w:val="nil"/>
              <w:left w:val="nil"/>
              <w:bottom w:val="nil"/>
              <w:right w:val="nil"/>
            </w:tcBorders>
            <w:shd w:val="clear" w:color="auto" w:fill="auto"/>
            <w:noWrap/>
            <w:vAlign w:val="bottom"/>
            <w:hideMark/>
          </w:tcPr>
          <w:p w14:paraId="529FFFE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w:t>
            </w:r>
          </w:p>
        </w:tc>
        <w:tc>
          <w:tcPr>
            <w:tcW w:w="813" w:type="dxa"/>
            <w:tcBorders>
              <w:top w:val="nil"/>
              <w:left w:val="nil"/>
              <w:bottom w:val="nil"/>
              <w:right w:val="nil"/>
            </w:tcBorders>
            <w:shd w:val="clear" w:color="auto" w:fill="auto"/>
            <w:noWrap/>
            <w:vAlign w:val="bottom"/>
            <w:hideMark/>
          </w:tcPr>
          <w:p w14:paraId="5F284895"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28</w:t>
            </w:r>
          </w:p>
        </w:tc>
        <w:tc>
          <w:tcPr>
            <w:tcW w:w="569" w:type="dxa"/>
            <w:tcBorders>
              <w:top w:val="nil"/>
              <w:left w:val="nil"/>
              <w:bottom w:val="nil"/>
              <w:right w:val="nil"/>
            </w:tcBorders>
            <w:shd w:val="clear" w:color="auto" w:fill="auto"/>
            <w:noWrap/>
            <w:vAlign w:val="bottom"/>
            <w:hideMark/>
          </w:tcPr>
          <w:p w14:paraId="277560E9"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w:t>
            </w:r>
          </w:p>
        </w:tc>
        <w:tc>
          <w:tcPr>
            <w:tcW w:w="1218" w:type="dxa"/>
            <w:tcBorders>
              <w:top w:val="nil"/>
              <w:left w:val="nil"/>
              <w:bottom w:val="nil"/>
              <w:right w:val="nil"/>
            </w:tcBorders>
            <w:shd w:val="clear" w:color="auto" w:fill="auto"/>
            <w:noWrap/>
            <w:vAlign w:val="bottom"/>
            <w:hideMark/>
          </w:tcPr>
          <w:p w14:paraId="5D1389E2"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64</w:t>
            </w:r>
          </w:p>
        </w:tc>
        <w:tc>
          <w:tcPr>
            <w:tcW w:w="1001" w:type="dxa"/>
            <w:tcBorders>
              <w:top w:val="nil"/>
              <w:left w:val="nil"/>
              <w:bottom w:val="nil"/>
              <w:right w:val="nil"/>
            </w:tcBorders>
            <w:shd w:val="clear" w:color="auto" w:fill="auto"/>
            <w:noWrap/>
            <w:vAlign w:val="bottom"/>
            <w:hideMark/>
          </w:tcPr>
          <w:p w14:paraId="519D88A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96</w:t>
            </w:r>
          </w:p>
        </w:tc>
      </w:tr>
      <w:tr w:rsidR="006C75D9" w:rsidRPr="00135214" w14:paraId="1AE6B874" w14:textId="77777777" w:rsidTr="006C75D9">
        <w:trPr>
          <w:trHeight w:val="167"/>
        </w:trPr>
        <w:tc>
          <w:tcPr>
            <w:tcW w:w="1525" w:type="dxa"/>
            <w:tcBorders>
              <w:top w:val="nil"/>
              <w:left w:val="nil"/>
              <w:bottom w:val="nil"/>
              <w:right w:val="nil"/>
            </w:tcBorders>
            <w:shd w:val="clear" w:color="auto" w:fill="auto"/>
            <w:noWrap/>
            <w:vAlign w:val="bottom"/>
            <w:hideMark/>
          </w:tcPr>
          <w:p w14:paraId="4F711A0A" w14:textId="77777777" w:rsidR="00135214" w:rsidRPr="00135214" w:rsidRDefault="00135214" w:rsidP="00135214">
            <w:pPr>
              <w:spacing w:after="0" w:line="240" w:lineRule="auto"/>
              <w:rPr>
                <w:rFonts w:ascii="Calibri" w:eastAsia="Times New Roman" w:hAnsi="Calibri" w:cs="Calibri"/>
                <w:color w:val="000000"/>
                <w:kern w:val="0"/>
                <w:sz w:val="24"/>
                <w:szCs w:val="24"/>
                <w:lang w:eastAsia="en-AU"/>
                <w14:ligatures w14:val="none"/>
              </w:rPr>
            </w:pPr>
            <w:proofErr w:type="spellStart"/>
            <w:r w:rsidRPr="00135214">
              <w:rPr>
                <w:rFonts w:ascii="Calibri" w:eastAsia="Times New Roman" w:hAnsi="Calibri" w:cs="Calibri"/>
                <w:color w:val="000000"/>
                <w:kern w:val="0"/>
                <w:sz w:val="24"/>
                <w:szCs w:val="24"/>
                <w:lang w:eastAsia="en-AU"/>
                <w14:ligatures w14:val="none"/>
              </w:rPr>
              <w:t>theater</w:t>
            </w:r>
            <w:proofErr w:type="spellEnd"/>
          </w:p>
        </w:tc>
        <w:tc>
          <w:tcPr>
            <w:tcW w:w="1402" w:type="dxa"/>
            <w:tcBorders>
              <w:top w:val="nil"/>
              <w:left w:val="nil"/>
              <w:bottom w:val="nil"/>
              <w:right w:val="nil"/>
            </w:tcBorders>
            <w:shd w:val="clear" w:color="auto" w:fill="auto"/>
            <w:noWrap/>
            <w:vAlign w:val="bottom"/>
            <w:hideMark/>
          </w:tcPr>
          <w:p w14:paraId="4100D3F0"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23</w:t>
            </w:r>
          </w:p>
        </w:tc>
        <w:tc>
          <w:tcPr>
            <w:tcW w:w="813" w:type="dxa"/>
            <w:tcBorders>
              <w:top w:val="nil"/>
              <w:left w:val="nil"/>
              <w:bottom w:val="nil"/>
              <w:right w:val="nil"/>
            </w:tcBorders>
            <w:shd w:val="clear" w:color="auto" w:fill="auto"/>
            <w:noWrap/>
            <w:vAlign w:val="bottom"/>
            <w:hideMark/>
          </w:tcPr>
          <w:p w14:paraId="57CF8404"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132</w:t>
            </w:r>
          </w:p>
        </w:tc>
        <w:tc>
          <w:tcPr>
            <w:tcW w:w="569" w:type="dxa"/>
            <w:tcBorders>
              <w:top w:val="nil"/>
              <w:left w:val="nil"/>
              <w:bottom w:val="nil"/>
              <w:right w:val="nil"/>
            </w:tcBorders>
            <w:shd w:val="clear" w:color="auto" w:fill="auto"/>
            <w:noWrap/>
            <w:vAlign w:val="bottom"/>
            <w:hideMark/>
          </w:tcPr>
          <w:p w14:paraId="4F086186"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2</w:t>
            </w:r>
          </w:p>
        </w:tc>
        <w:tc>
          <w:tcPr>
            <w:tcW w:w="1218" w:type="dxa"/>
            <w:tcBorders>
              <w:top w:val="nil"/>
              <w:left w:val="nil"/>
              <w:bottom w:val="nil"/>
              <w:right w:val="nil"/>
            </w:tcBorders>
            <w:shd w:val="clear" w:color="auto" w:fill="auto"/>
            <w:noWrap/>
            <w:vAlign w:val="bottom"/>
            <w:hideMark/>
          </w:tcPr>
          <w:p w14:paraId="0F9223E1"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187</w:t>
            </w:r>
          </w:p>
        </w:tc>
        <w:tc>
          <w:tcPr>
            <w:tcW w:w="1001" w:type="dxa"/>
            <w:tcBorders>
              <w:top w:val="nil"/>
              <w:left w:val="nil"/>
              <w:bottom w:val="nil"/>
              <w:right w:val="nil"/>
            </w:tcBorders>
            <w:shd w:val="clear" w:color="auto" w:fill="auto"/>
            <w:noWrap/>
            <w:vAlign w:val="bottom"/>
            <w:hideMark/>
          </w:tcPr>
          <w:p w14:paraId="74772C2D" w14:textId="77777777" w:rsidR="00135214" w:rsidRPr="00135214" w:rsidRDefault="00135214" w:rsidP="00135214">
            <w:pPr>
              <w:spacing w:after="0" w:line="240" w:lineRule="auto"/>
              <w:jc w:val="right"/>
              <w:rPr>
                <w:rFonts w:ascii="Calibri" w:eastAsia="Times New Roman" w:hAnsi="Calibri" w:cs="Calibri"/>
                <w:color w:val="000000"/>
                <w:kern w:val="0"/>
                <w:sz w:val="24"/>
                <w:szCs w:val="24"/>
                <w:lang w:eastAsia="en-AU"/>
                <w14:ligatures w14:val="none"/>
              </w:rPr>
            </w:pPr>
            <w:r w:rsidRPr="00135214">
              <w:rPr>
                <w:rFonts w:ascii="Calibri" w:eastAsia="Times New Roman" w:hAnsi="Calibri" w:cs="Calibri"/>
                <w:color w:val="000000"/>
                <w:kern w:val="0"/>
                <w:sz w:val="24"/>
                <w:szCs w:val="24"/>
                <w:lang w:eastAsia="en-AU"/>
                <w14:ligatures w14:val="none"/>
              </w:rPr>
              <w:t>344</w:t>
            </w:r>
          </w:p>
        </w:tc>
      </w:tr>
      <w:tr w:rsidR="006C75D9" w:rsidRPr="00135214" w14:paraId="634CD447" w14:textId="77777777" w:rsidTr="006C75D9">
        <w:trPr>
          <w:trHeight w:val="167"/>
        </w:trPr>
        <w:tc>
          <w:tcPr>
            <w:tcW w:w="1525" w:type="dxa"/>
            <w:tcBorders>
              <w:top w:val="single" w:sz="4" w:space="0" w:color="8EA9DB"/>
              <w:left w:val="nil"/>
              <w:bottom w:val="nil"/>
              <w:right w:val="nil"/>
            </w:tcBorders>
            <w:shd w:val="clear" w:color="D9E1F2" w:fill="D9E1F2"/>
            <w:noWrap/>
            <w:vAlign w:val="bottom"/>
            <w:hideMark/>
          </w:tcPr>
          <w:p w14:paraId="203F0898" w14:textId="77777777" w:rsidR="00135214" w:rsidRPr="00135214" w:rsidRDefault="00135214" w:rsidP="00135214">
            <w:pPr>
              <w:spacing w:after="0" w:line="240" w:lineRule="auto"/>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Grand Total</w:t>
            </w:r>
          </w:p>
        </w:tc>
        <w:tc>
          <w:tcPr>
            <w:tcW w:w="1402" w:type="dxa"/>
            <w:tcBorders>
              <w:top w:val="single" w:sz="4" w:space="0" w:color="8EA9DB"/>
              <w:left w:val="nil"/>
              <w:bottom w:val="nil"/>
              <w:right w:val="nil"/>
            </w:tcBorders>
            <w:shd w:val="clear" w:color="D9E1F2" w:fill="D9E1F2"/>
            <w:noWrap/>
            <w:vAlign w:val="bottom"/>
            <w:hideMark/>
          </w:tcPr>
          <w:p w14:paraId="2D396984" w14:textId="77777777" w:rsidR="00135214" w:rsidRPr="00135214" w:rsidRDefault="00135214" w:rsidP="00135214">
            <w:pPr>
              <w:spacing w:after="0" w:line="240" w:lineRule="auto"/>
              <w:jc w:val="right"/>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57</w:t>
            </w:r>
          </w:p>
        </w:tc>
        <w:tc>
          <w:tcPr>
            <w:tcW w:w="813" w:type="dxa"/>
            <w:tcBorders>
              <w:top w:val="single" w:sz="4" w:space="0" w:color="8EA9DB"/>
              <w:left w:val="nil"/>
              <w:bottom w:val="nil"/>
              <w:right w:val="nil"/>
            </w:tcBorders>
            <w:shd w:val="clear" w:color="D9E1F2" w:fill="D9E1F2"/>
            <w:noWrap/>
            <w:vAlign w:val="bottom"/>
            <w:hideMark/>
          </w:tcPr>
          <w:p w14:paraId="0E91AC92" w14:textId="77777777" w:rsidR="00135214" w:rsidRPr="00135214" w:rsidRDefault="00135214" w:rsidP="00135214">
            <w:pPr>
              <w:spacing w:after="0" w:line="240" w:lineRule="auto"/>
              <w:jc w:val="right"/>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364</w:t>
            </w:r>
          </w:p>
        </w:tc>
        <w:tc>
          <w:tcPr>
            <w:tcW w:w="569" w:type="dxa"/>
            <w:tcBorders>
              <w:top w:val="single" w:sz="4" w:space="0" w:color="8EA9DB"/>
              <w:left w:val="nil"/>
              <w:bottom w:val="nil"/>
              <w:right w:val="nil"/>
            </w:tcBorders>
            <w:shd w:val="clear" w:color="D9E1F2" w:fill="D9E1F2"/>
            <w:noWrap/>
            <w:vAlign w:val="bottom"/>
            <w:hideMark/>
          </w:tcPr>
          <w:p w14:paraId="059618B0" w14:textId="77777777" w:rsidR="00135214" w:rsidRPr="00135214" w:rsidRDefault="00135214" w:rsidP="00135214">
            <w:pPr>
              <w:spacing w:after="0" w:line="240" w:lineRule="auto"/>
              <w:jc w:val="right"/>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14</w:t>
            </w:r>
          </w:p>
        </w:tc>
        <w:tc>
          <w:tcPr>
            <w:tcW w:w="1218" w:type="dxa"/>
            <w:tcBorders>
              <w:top w:val="single" w:sz="4" w:space="0" w:color="8EA9DB"/>
              <w:left w:val="nil"/>
              <w:bottom w:val="nil"/>
              <w:right w:val="nil"/>
            </w:tcBorders>
            <w:shd w:val="clear" w:color="D9E1F2" w:fill="D9E1F2"/>
            <w:noWrap/>
            <w:vAlign w:val="bottom"/>
            <w:hideMark/>
          </w:tcPr>
          <w:p w14:paraId="6A3DBB87" w14:textId="77777777" w:rsidR="00135214" w:rsidRPr="00135214" w:rsidRDefault="00135214" w:rsidP="00135214">
            <w:pPr>
              <w:spacing w:after="0" w:line="240" w:lineRule="auto"/>
              <w:jc w:val="right"/>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565</w:t>
            </w:r>
          </w:p>
        </w:tc>
        <w:tc>
          <w:tcPr>
            <w:tcW w:w="1001" w:type="dxa"/>
            <w:tcBorders>
              <w:top w:val="single" w:sz="4" w:space="0" w:color="8EA9DB"/>
              <w:left w:val="nil"/>
              <w:bottom w:val="nil"/>
              <w:right w:val="nil"/>
            </w:tcBorders>
            <w:shd w:val="clear" w:color="D9E1F2" w:fill="D9E1F2"/>
            <w:noWrap/>
            <w:vAlign w:val="bottom"/>
            <w:hideMark/>
          </w:tcPr>
          <w:p w14:paraId="5D500E98" w14:textId="77777777" w:rsidR="00135214" w:rsidRPr="00135214" w:rsidRDefault="00135214" w:rsidP="00135214">
            <w:pPr>
              <w:spacing w:after="0" w:line="240" w:lineRule="auto"/>
              <w:jc w:val="right"/>
              <w:rPr>
                <w:rFonts w:ascii="Calibri" w:eastAsia="Times New Roman" w:hAnsi="Calibri" w:cs="Calibri"/>
                <w:b/>
                <w:bCs/>
                <w:color w:val="000000"/>
                <w:kern w:val="0"/>
                <w:sz w:val="24"/>
                <w:szCs w:val="24"/>
                <w:lang w:eastAsia="en-AU"/>
                <w14:ligatures w14:val="none"/>
              </w:rPr>
            </w:pPr>
            <w:r w:rsidRPr="00135214">
              <w:rPr>
                <w:rFonts w:ascii="Calibri" w:eastAsia="Times New Roman" w:hAnsi="Calibri" w:cs="Calibri"/>
                <w:b/>
                <w:bCs/>
                <w:color w:val="000000"/>
                <w:kern w:val="0"/>
                <w:sz w:val="24"/>
                <w:szCs w:val="24"/>
                <w:lang w:eastAsia="en-AU"/>
                <w14:ligatures w14:val="none"/>
              </w:rPr>
              <w:t>1000</w:t>
            </w:r>
          </w:p>
        </w:tc>
      </w:tr>
    </w:tbl>
    <w:p w14:paraId="58A473FD" w14:textId="77777777" w:rsidR="003E051E" w:rsidRDefault="003E051E" w:rsidP="003E051E"/>
    <w:p w14:paraId="12C26102" w14:textId="6786EE1E" w:rsidR="003E051E" w:rsidRPr="003E051E" w:rsidRDefault="00881334" w:rsidP="003E051E">
      <w:r>
        <w:t>1)</w:t>
      </w:r>
      <w:r w:rsidR="003E051E" w:rsidRPr="003E051E">
        <w:t>The "Grand Total" row and column give the overall count of each outcome across all categories and the overall count of each category across all outcomes.</w:t>
      </w:r>
      <w:r w:rsidR="00DD0D04">
        <w:t xml:space="preserve"> </w:t>
      </w:r>
      <w:r w:rsidR="003E051E" w:rsidRPr="003E051E">
        <w:t>This table provides a clear overview of the distribution of project outcomes across different categories in the dataset.</w:t>
      </w:r>
    </w:p>
    <w:p w14:paraId="1448B513" w14:textId="071C286C" w:rsidR="0075217C" w:rsidRDefault="006F04D3" w:rsidP="006F04D3">
      <w:pPr>
        <w:pStyle w:val="ListParagraph"/>
        <w:numPr>
          <w:ilvl w:val="0"/>
          <w:numId w:val="4"/>
        </w:numPr>
      </w:pPr>
      <w:r>
        <w:t xml:space="preserve">The </w:t>
      </w:r>
      <w:r w:rsidR="0056047F">
        <w:t xml:space="preserve">success </w:t>
      </w:r>
      <w:r>
        <w:t xml:space="preserve">rate relative to </w:t>
      </w:r>
      <w:r w:rsidR="00D4564B">
        <w:t xml:space="preserve">number of </w:t>
      </w:r>
      <w:r w:rsidR="00B8146A">
        <w:t>projects</w:t>
      </w:r>
      <w:r w:rsidR="0056047F">
        <w:t>.</w:t>
      </w:r>
    </w:p>
    <w:p w14:paraId="4AC0806F" w14:textId="77777777" w:rsidR="009341ED" w:rsidRDefault="009341ED" w:rsidP="009341ED">
      <w:pPr>
        <w:pStyle w:val="ListParagraph"/>
      </w:pPr>
    </w:p>
    <w:p w14:paraId="4A55B41B" w14:textId="77777777" w:rsidR="009341ED" w:rsidRDefault="009341ED" w:rsidP="009341ED">
      <w:pPr>
        <w:pStyle w:val="ListParagraph"/>
      </w:pPr>
      <w:r w:rsidRPr="004B6F03">
        <w:t xml:space="preserve">The below table gives an overview of the success, cancelled, live and failure rates of crowdfunding campaigns across different categories. The data shows that, the "Theatre" category has the highest number of projects with successful campaigns (187) and failed campaigns (132). Which is indicate that high in popularity but around 50% of chance of success. The Journalism had lowest number with 4 projects with all success, translated to 100% success rate. The technology, film, photography, publishing category has a relatively high success rate with technology having highest success rate. </w:t>
      </w:r>
    </w:p>
    <w:p w14:paraId="25E8276F" w14:textId="68006E80" w:rsidR="008320F0" w:rsidRDefault="006C75D9" w:rsidP="00866E7A">
      <w:r>
        <w:rPr>
          <w:noProof/>
        </w:rPr>
        <w:drawing>
          <wp:inline distT="0" distB="0" distL="0" distR="0" wp14:anchorId="739C25C0" wp14:editId="18D37AF8">
            <wp:extent cx="5509260" cy="2678723"/>
            <wp:effectExtent l="0" t="0" r="15240" b="7620"/>
            <wp:docPr id="1" name="Chart 1">
              <a:extLst xmlns:a="http://schemas.openxmlformats.org/drawingml/2006/main">
                <a:ext uri="{FF2B5EF4-FFF2-40B4-BE49-F238E27FC236}">
                  <a16:creationId xmlns:a16="http://schemas.microsoft.com/office/drawing/2014/main" id="{A0BCD909-49DE-EEF0-FDDB-6247DB0A3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80F574" w14:textId="6E572C83" w:rsidR="009341ED" w:rsidRDefault="00521B2A" w:rsidP="006F04D3">
      <w:pPr>
        <w:pStyle w:val="ListParagraph"/>
        <w:numPr>
          <w:ilvl w:val="0"/>
          <w:numId w:val="4"/>
        </w:numPr>
      </w:pPr>
      <w:r>
        <w:lastRenderedPageBreak/>
        <w:t>The</w:t>
      </w:r>
      <w:r w:rsidR="00C60699">
        <w:t xml:space="preserve"> </w:t>
      </w:r>
      <w:r>
        <w:t>success</w:t>
      </w:r>
      <w:r w:rsidR="009E4BF0">
        <w:t xml:space="preserve"> and failed</w:t>
      </w:r>
      <w:r>
        <w:t xml:space="preserve"> rate </w:t>
      </w:r>
      <w:r w:rsidR="0043730E">
        <w:t xml:space="preserve">highest </w:t>
      </w:r>
      <w:r>
        <w:t xml:space="preserve">among the </w:t>
      </w:r>
      <w:r w:rsidR="009E4BF0">
        <w:t xml:space="preserve">“play” </w:t>
      </w:r>
      <w:r w:rsidR="00127843">
        <w:t>subcategories</w:t>
      </w:r>
    </w:p>
    <w:p w14:paraId="03E26921" w14:textId="77777777" w:rsidR="00C61F97" w:rsidRDefault="00C61F97" w:rsidP="00C61F97">
      <w:pPr>
        <w:pStyle w:val="ListParagraph"/>
      </w:pPr>
    </w:p>
    <w:p w14:paraId="1A9A1B00" w14:textId="77777777" w:rsidR="00756A18" w:rsidRDefault="00756A18" w:rsidP="00756A18">
      <w:r>
        <w:t>Based on the table, it is evident that the "plays" category has a significant contribution with a total of 344 projects, out of which 187 projects were successful, representing an impressive success rate of nearly 55%. However, there were also 132 projects that did not meet their funding goals.</w:t>
      </w:r>
    </w:p>
    <w:p w14:paraId="250A9FB3" w14:textId="77777777" w:rsidR="00756A18" w:rsidRDefault="00756A18" w:rsidP="00756A18"/>
    <w:p w14:paraId="239D618F" w14:textId="77777777" w:rsidR="00756A18" w:rsidRDefault="00756A18" w:rsidP="00756A18">
      <w:r>
        <w:t>Among the subcategories with 50 to 60 projects, the "web" category stands out as the most successful, achieving a remarkable success rate of over 70% compared to other projects in this range.</w:t>
      </w:r>
    </w:p>
    <w:p w14:paraId="03822757" w14:textId="77777777" w:rsidR="003B505F" w:rsidRDefault="003B505F" w:rsidP="00756A18"/>
    <w:p w14:paraId="3764B470" w14:textId="4E122E48" w:rsidR="003B505F" w:rsidRDefault="003B505F" w:rsidP="00756A18">
      <w:r>
        <w:rPr>
          <w:noProof/>
        </w:rPr>
        <w:drawing>
          <wp:inline distT="0" distB="0" distL="0" distR="0" wp14:anchorId="2A8654D4" wp14:editId="1C9ACCCE">
            <wp:extent cx="5299364" cy="2479964"/>
            <wp:effectExtent l="0" t="0" r="15875" b="15875"/>
            <wp:docPr id="3" name="Chart 3">
              <a:extLst xmlns:a="http://schemas.openxmlformats.org/drawingml/2006/main">
                <a:ext uri="{FF2B5EF4-FFF2-40B4-BE49-F238E27FC236}">
                  <a16:creationId xmlns:a16="http://schemas.microsoft.com/office/drawing/2014/main" id="{93561A2D-A10D-BDE5-BE3F-8A2BDC066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5F9425" w14:textId="4C143A1D" w:rsidR="00866E7A" w:rsidRDefault="00866E7A" w:rsidP="00C61F97">
      <w:pPr>
        <w:pStyle w:val="ListParagraph"/>
      </w:pPr>
    </w:p>
    <w:p w14:paraId="6AD91163" w14:textId="2077DEE5" w:rsidR="00C61F97" w:rsidRDefault="00C10855" w:rsidP="006F04D3">
      <w:pPr>
        <w:pStyle w:val="ListParagraph"/>
        <w:numPr>
          <w:ilvl w:val="0"/>
          <w:numId w:val="4"/>
        </w:numPr>
      </w:pPr>
      <w:r w:rsidRPr="00C10855">
        <w:t>The monthly trend does not show any significant indicators.</w:t>
      </w:r>
    </w:p>
    <w:p w14:paraId="12619F3B" w14:textId="1F20295B" w:rsidR="00A11EAD" w:rsidRPr="001E11C2" w:rsidRDefault="00A019D6" w:rsidP="001E11C2">
      <w:pPr>
        <w:rPr>
          <w:rFonts w:ascii="Times New Roman" w:hAnsi="Times New Roman" w:cs="Times New Roman"/>
        </w:rPr>
      </w:pPr>
      <w:r w:rsidRPr="001E11C2">
        <w:rPr>
          <w:rFonts w:ascii="Times New Roman" w:hAnsi="Times New Roman" w:cs="Times New Roman"/>
        </w:rPr>
        <w:t xml:space="preserve">After </w:t>
      </w:r>
      <w:r w:rsidR="001E11C2" w:rsidRPr="001E11C2">
        <w:rPr>
          <w:rFonts w:ascii="Times New Roman" w:hAnsi="Times New Roman" w:cs="Times New Roman"/>
        </w:rPr>
        <w:t>analysing</w:t>
      </w:r>
      <w:r w:rsidRPr="001E11C2">
        <w:rPr>
          <w:rFonts w:ascii="Times New Roman" w:hAnsi="Times New Roman" w:cs="Times New Roman"/>
        </w:rPr>
        <w:t xml:space="preserve"> the monthly data</w:t>
      </w:r>
      <w:r w:rsidR="001E11C2" w:rsidRPr="001E11C2">
        <w:rPr>
          <w:rFonts w:ascii="Times New Roman" w:hAnsi="Times New Roman" w:cs="Times New Roman"/>
        </w:rPr>
        <w:t xml:space="preserve"> based on past years, </w:t>
      </w:r>
      <w:r w:rsidRPr="001E11C2">
        <w:rPr>
          <w:rFonts w:ascii="Times New Roman" w:hAnsi="Times New Roman" w:cs="Times New Roman"/>
        </w:rPr>
        <w:t xml:space="preserve">no significant patterns or trends are evident. The number of successful, failed, and </w:t>
      </w:r>
      <w:r w:rsidR="001E11C2" w:rsidRPr="001E11C2">
        <w:rPr>
          <w:rFonts w:ascii="Times New Roman" w:hAnsi="Times New Roman" w:cs="Times New Roman"/>
        </w:rPr>
        <w:t>cancelled</w:t>
      </w:r>
      <w:r w:rsidRPr="001E11C2">
        <w:rPr>
          <w:rFonts w:ascii="Times New Roman" w:hAnsi="Times New Roman" w:cs="Times New Roman"/>
        </w:rPr>
        <w:t xml:space="preserve"> projects shows fluctuations across the months, but there is no consistent or remarkable pattern that stands out. The distribution of projects remains relatively consistent throughout the year, with no specific month showing a significant deviation from others in terms of project outcomes.</w:t>
      </w:r>
      <w:r w:rsidR="00881334">
        <w:rPr>
          <w:rFonts w:ascii="Times New Roman" w:hAnsi="Times New Roman" w:cs="Times New Roman"/>
        </w:rPr>
        <w:t xml:space="preserve"> </w:t>
      </w:r>
      <w:r w:rsidR="003215B3">
        <w:rPr>
          <w:rFonts w:ascii="Times New Roman" w:hAnsi="Times New Roman" w:cs="Times New Roman"/>
        </w:rPr>
        <w:t xml:space="preserve">However, </w:t>
      </w:r>
      <w:r w:rsidR="00F0172E">
        <w:rPr>
          <w:rFonts w:ascii="Times New Roman" w:hAnsi="Times New Roman" w:cs="Times New Roman"/>
        </w:rPr>
        <w:t xml:space="preserve">during the month of September to November </w:t>
      </w:r>
      <w:r w:rsidR="00185987">
        <w:rPr>
          <w:rFonts w:ascii="Times New Roman" w:hAnsi="Times New Roman" w:cs="Times New Roman"/>
        </w:rPr>
        <w:t xml:space="preserve">there are slight fall in funding activities but </w:t>
      </w:r>
      <w:r w:rsidR="00881334">
        <w:rPr>
          <w:rFonts w:ascii="Times New Roman" w:hAnsi="Times New Roman" w:cs="Times New Roman"/>
        </w:rPr>
        <w:t>very minimal.</w:t>
      </w:r>
      <w:r w:rsidRPr="001E11C2">
        <w:rPr>
          <w:rFonts w:ascii="Times New Roman" w:hAnsi="Times New Roman" w:cs="Times New Roman"/>
        </w:rPr>
        <w:t xml:space="preserve"> This suggests that the monthly performance of projects does not exhibit any notable seasonality or consistent changes over the long-term period.</w:t>
      </w:r>
    </w:p>
    <w:p w14:paraId="1B8C991C" w14:textId="79D8843F" w:rsidR="00762E7C" w:rsidRDefault="008C638F">
      <w:r>
        <w:rPr>
          <w:noProof/>
        </w:rPr>
        <w:drawing>
          <wp:inline distT="0" distB="0" distL="0" distR="0" wp14:anchorId="02566E89" wp14:editId="4CFF3F22">
            <wp:extent cx="4888230" cy="2221523"/>
            <wp:effectExtent l="0" t="0" r="7620" b="7620"/>
            <wp:docPr id="5" name="Chart 5">
              <a:extLst xmlns:a="http://schemas.openxmlformats.org/drawingml/2006/main">
                <a:ext uri="{FF2B5EF4-FFF2-40B4-BE49-F238E27FC236}">
                  <a16:creationId xmlns:a16="http://schemas.microsoft.com/office/drawing/2014/main" id="{7AB5DDB4-EB40-9792-36B8-25783F2E2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BCDF1F" w14:textId="77777777" w:rsidR="00881334" w:rsidRPr="004C6708" w:rsidRDefault="00881334" w:rsidP="00881334">
      <w:pPr>
        <w:rPr>
          <w:b/>
          <w:bCs/>
          <w:lang w:eastAsia="en-AU"/>
        </w:rPr>
      </w:pPr>
      <w:r w:rsidRPr="004C6708">
        <w:rPr>
          <w:b/>
          <w:bCs/>
          <w:lang w:eastAsia="en-AU"/>
        </w:rPr>
        <w:lastRenderedPageBreak/>
        <w:t>2.</w:t>
      </w:r>
      <w:r w:rsidRPr="00762E7C">
        <w:rPr>
          <w:b/>
          <w:bCs/>
          <w:lang w:eastAsia="en-AU"/>
        </w:rPr>
        <w:t>What are some limitations of this dataset?</w:t>
      </w:r>
    </w:p>
    <w:p w14:paraId="52152146" w14:textId="10EB2FE1" w:rsidR="002F0EEA" w:rsidRDefault="002F0EEA" w:rsidP="00E24E2E">
      <w:pPr>
        <w:rPr>
          <w:lang w:eastAsia="en-AU"/>
        </w:rPr>
      </w:pPr>
      <w:r>
        <w:rPr>
          <w:lang w:eastAsia="en-AU"/>
        </w:rPr>
        <w:t>Based on the observation of the diverse dataset, it appears that some parent categories have a significantly lower number of projects compared to others. To improve the analysis and reduce the variance in the data, it is suggested to categorize the projects into lower, middle, and higher range</w:t>
      </w:r>
      <w:r w:rsidR="00C85A50">
        <w:rPr>
          <w:lang w:eastAsia="en-AU"/>
        </w:rPr>
        <w:t xml:space="preserve"> of project</w:t>
      </w:r>
      <w:r>
        <w:rPr>
          <w:lang w:eastAsia="en-AU"/>
        </w:rPr>
        <w:t xml:space="preserve"> categories.</w:t>
      </w:r>
    </w:p>
    <w:p w14:paraId="157540F9" w14:textId="77777777" w:rsidR="002F0EEA" w:rsidRDefault="002F0EEA" w:rsidP="002F0EEA">
      <w:pPr>
        <w:rPr>
          <w:lang w:eastAsia="en-AU"/>
        </w:rPr>
      </w:pPr>
      <w:r>
        <w:rPr>
          <w:lang w:eastAsia="en-AU"/>
        </w:rPr>
        <w:t>For example, categories like journalism, which only had 4 projects out of 1000, could be classified as "lower range" due to their limited representation. On the other hand, categories such as theatre, film, and music, which seem to have a higher number of projects, can be grouped into the "higher range" category for better analysis.</w:t>
      </w:r>
    </w:p>
    <w:p w14:paraId="5AE0D812" w14:textId="13564B67" w:rsidR="00E74526" w:rsidRDefault="002F0EEA" w:rsidP="002F0EEA">
      <w:pPr>
        <w:rPr>
          <w:lang w:eastAsia="en-AU"/>
        </w:rPr>
      </w:pPr>
      <w:r>
        <w:rPr>
          <w:lang w:eastAsia="en-AU"/>
        </w:rPr>
        <w:t>By adopting this approach, the data analysis will be more balanced, and it will allow for a more accurate assessment of trends and patterns within specific project categories. This categorization will help focus the analysis on the categories with a significant number of projects, ensuring that the findings are more representative and meaningful.</w:t>
      </w:r>
    </w:p>
    <w:p w14:paraId="76123ADC" w14:textId="270FED8B" w:rsidR="00370A2A" w:rsidRDefault="00370A2A" w:rsidP="00370A2A">
      <w:pPr>
        <w:rPr>
          <w:lang w:eastAsia="en-AU"/>
        </w:rPr>
      </w:pPr>
      <w:r>
        <w:rPr>
          <w:lang w:eastAsia="en-AU"/>
        </w:rPr>
        <w:t xml:space="preserve">Using the country of origin to find comparable data on crowdfunding success rates can indeed provide valuable insights into the countries where people are willing to invest their money in various projects. Since the data includes only a few countries (US, Canada, and Europe), we can </w:t>
      </w:r>
      <w:r w:rsidR="00224C0C">
        <w:rPr>
          <w:lang w:eastAsia="en-AU"/>
        </w:rPr>
        <w:t>analyse</w:t>
      </w:r>
      <w:r>
        <w:rPr>
          <w:lang w:eastAsia="en-AU"/>
        </w:rPr>
        <w:t xml:space="preserve"> the success rates for crowdfunding projects from these regions.</w:t>
      </w:r>
    </w:p>
    <w:p w14:paraId="3A0FDDE5" w14:textId="77777777" w:rsidR="00370A2A" w:rsidRDefault="00370A2A" w:rsidP="00370A2A">
      <w:pPr>
        <w:rPr>
          <w:lang w:eastAsia="en-AU"/>
        </w:rPr>
      </w:pPr>
      <w:r>
        <w:rPr>
          <w:lang w:eastAsia="en-AU"/>
        </w:rPr>
        <w:t>To perform this analysis, we would need to:</w:t>
      </w:r>
    </w:p>
    <w:p w14:paraId="286FE844" w14:textId="203F901A" w:rsidR="00370A2A" w:rsidRDefault="00370A2A" w:rsidP="0094435C">
      <w:pPr>
        <w:pStyle w:val="ListParagraph"/>
        <w:numPr>
          <w:ilvl w:val="0"/>
          <w:numId w:val="6"/>
        </w:numPr>
        <w:rPr>
          <w:lang w:eastAsia="en-AU"/>
        </w:rPr>
      </w:pPr>
      <w:r>
        <w:rPr>
          <w:lang w:eastAsia="en-AU"/>
        </w:rPr>
        <w:t>Filter the data to include only projects from the US, Canada, and Europe.</w:t>
      </w:r>
    </w:p>
    <w:p w14:paraId="682E37F1" w14:textId="53EA4FFD" w:rsidR="00370A2A" w:rsidRDefault="00370A2A" w:rsidP="0094435C">
      <w:pPr>
        <w:pStyle w:val="ListParagraph"/>
        <w:numPr>
          <w:ilvl w:val="0"/>
          <w:numId w:val="6"/>
        </w:numPr>
        <w:rPr>
          <w:lang w:eastAsia="en-AU"/>
        </w:rPr>
      </w:pPr>
      <w:r>
        <w:rPr>
          <w:lang w:eastAsia="en-AU"/>
        </w:rPr>
        <w:t>Calculate the success rate for each country by dividing the number of successful projects by the total number of projects from that country.</w:t>
      </w:r>
    </w:p>
    <w:p w14:paraId="5024FE14" w14:textId="4C1E09C8" w:rsidR="00370A2A" w:rsidRDefault="00370A2A" w:rsidP="0094435C">
      <w:pPr>
        <w:pStyle w:val="ListParagraph"/>
        <w:numPr>
          <w:ilvl w:val="0"/>
          <w:numId w:val="6"/>
        </w:numPr>
        <w:rPr>
          <w:lang w:eastAsia="en-AU"/>
        </w:rPr>
      </w:pPr>
      <w:r>
        <w:rPr>
          <w:lang w:eastAsia="en-AU"/>
        </w:rPr>
        <w:t>Compare the success rates across these countries to identify which ones have a high crowdfunding success rate and where people are more willing to invest.</w:t>
      </w:r>
    </w:p>
    <w:p w14:paraId="2F3063D6" w14:textId="094F3856" w:rsidR="007D420E" w:rsidRDefault="00370A2A" w:rsidP="00370A2A">
      <w:pPr>
        <w:rPr>
          <w:lang w:eastAsia="en-AU"/>
        </w:rPr>
      </w:pPr>
      <w:r>
        <w:rPr>
          <w:lang w:eastAsia="en-AU"/>
        </w:rPr>
        <w:t>By focusing on these specific regions, the analysis will be more manageable, and it will allow us to draw meaningful conclusions about the crowdfunding success rates in these countries. This information can be valuable for understanding the crowdfunding landscape and identifying potential areas of interest for investors and project creators.</w:t>
      </w:r>
    </w:p>
    <w:p w14:paraId="0CB066C9" w14:textId="3A377523" w:rsidR="000953BD" w:rsidRPr="004C6708" w:rsidRDefault="000953BD" w:rsidP="00881334">
      <w:pPr>
        <w:rPr>
          <w:b/>
          <w:bCs/>
          <w:lang w:eastAsia="en-AU"/>
        </w:rPr>
      </w:pPr>
      <w:r w:rsidRPr="004C6708">
        <w:rPr>
          <w:b/>
          <w:bCs/>
          <w:lang w:eastAsia="en-AU"/>
        </w:rPr>
        <w:t>3.</w:t>
      </w:r>
      <w:r w:rsidRPr="00762E7C">
        <w:rPr>
          <w:b/>
          <w:bCs/>
          <w:lang w:eastAsia="en-AU"/>
        </w:rPr>
        <w:t>What are some other possible tables and/or graphs that we could create, and what additional value would they provide?</w:t>
      </w:r>
    </w:p>
    <w:p w14:paraId="35367939" w14:textId="36354D1C" w:rsidR="00196419" w:rsidRDefault="00196419" w:rsidP="00196419">
      <w:pPr>
        <w:rPr>
          <w:lang w:eastAsia="en-AU"/>
        </w:rPr>
      </w:pPr>
      <w:r>
        <w:rPr>
          <w:lang w:eastAsia="en-AU"/>
        </w:rPr>
        <w:t xml:space="preserve">Including the "Spotlight" feature and </w:t>
      </w:r>
      <w:r w:rsidR="00982DB2">
        <w:rPr>
          <w:lang w:eastAsia="en-AU"/>
        </w:rPr>
        <w:t>analysing</w:t>
      </w:r>
      <w:r>
        <w:rPr>
          <w:lang w:eastAsia="en-AU"/>
        </w:rPr>
        <w:t xml:space="preserve"> its correlation with the number of projects and their success rate can provide valuable insights.</w:t>
      </w:r>
    </w:p>
    <w:p w14:paraId="6201E240" w14:textId="77777777" w:rsidR="00196419" w:rsidRDefault="00196419" w:rsidP="00196419">
      <w:pPr>
        <w:rPr>
          <w:lang w:eastAsia="en-AU"/>
        </w:rPr>
      </w:pPr>
      <w:r>
        <w:rPr>
          <w:lang w:eastAsia="en-AU"/>
        </w:rPr>
        <w:t>The "Spotlight" feature in crowdfunding platforms typically highlights certain projects or gives them special visibility to attract more attention and backers. By examining the correlation between the "Spotlight" status, the number of projects, and their success rates, we can determine if there is a meaningful relationship.</w:t>
      </w:r>
    </w:p>
    <w:p w14:paraId="3AA75CAA" w14:textId="77777777" w:rsidR="00196419" w:rsidRDefault="00196419" w:rsidP="00196419">
      <w:pPr>
        <w:rPr>
          <w:lang w:eastAsia="en-AU"/>
        </w:rPr>
      </w:pPr>
      <w:r>
        <w:rPr>
          <w:lang w:eastAsia="en-AU"/>
        </w:rPr>
        <w:t>If there is a positive correlation between being in the "Spotlight" and higher success rates, it could indicate that the special visibility provided by the "Spotlight" feature attracts more backers and leads to greater crowdfunding success.</w:t>
      </w:r>
    </w:p>
    <w:p w14:paraId="185EE3AC" w14:textId="66CC783D" w:rsidR="00881334" w:rsidRDefault="00196419" w:rsidP="00196419">
      <w:pPr>
        <w:rPr>
          <w:lang w:eastAsia="en-AU"/>
        </w:rPr>
      </w:pPr>
      <w:r>
        <w:rPr>
          <w:lang w:eastAsia="en-AU"/>
        </w:rPr>
        <w:t>By incorporating the "Spotlight" status into the analysis, we can uncover additional insights and potentially identify factors that contribute to higher crowdfunding success rates. This information can be valuable for both project creators and backers in understanding how project visibility and promotion impact their chances of success in the crowdfunding platform.</w:t>
      </w:r>
    </w:p>
    <w:p w14:paraId="3C52CB96" w14:textId="77777777" w:rsidR="00AE6BFB" w:rsidRDefault="00AE6BFB" w:rsidP="00196419">
      <w:pPr>
        <w:rPr>
          <w:lang w:eastAsia="en-AU"/>
        </w:rPr>
      </w:pPr>
    </w:p>
    <w:p w14:paraId="7C2E8D6F" w14:textId="77777777" w:rsidR="00E24E2E" w:rsidRDefault="00E24E2E" w:rsidP="00196419">
      <w:pPr>
        <w:rPr>
          <w:lang w:eastAsia="en-AU"/>
        </w:rPr>
      </w:pPr>
    </w:p>
    <w:p w14:paraId="6A57CC95" w14:textId="77777777" w:rsidR="00E24E2E" w:rsidRDefault="00E24E2E" w:rsidP="00196419">
      <w:pPr>
        <w:rPr>
          <w:lang w:eastAsia="en-AU"/>
        </w:rPr>
      </w:pPr>
    </w:p>
    <w:p w14:paraId="3275DBCA" w14:textId="77777777" w:rsidR="00C70A42" w:rsidRDefault="00C70A42" w:rsidP="00196419">
      <w:pPr>
        <w:rPr>
          <w:lang w:eastAsia="en-AU"/>
        </w:rPr>
      </w:pPr>
    </w:p>
    <w:p w14:paraId="618AFDA3" w14:textId="2A963764" w:rsidR="00015F0B" w:rsidRPr="00762E7C" w:rsidRDefault="00911396" w:rsidP="00196419">
      <w:pPr>
        <w:rPr>
          <w:lang w:eastAsia="en-AU"/>
        </w:rPr>
      </w:pPr>
      <w:r>
        <w:rPr>
          <w:lang w:eastAsia="en-AU"/>
        </w:rPr>
        <w:lastRenderedPageBreak/>
        <w:t>Part 2 Analysis.</w:t>
      </w:r>
    </w:p>
    <w:tbl>
      <w:tblPr>
        <w:tblW w:w="5240" w:type="dxa"/>
        <w:tblLook w:val="04A0" w:firstRow="1" w:lastRow="0" w:firstColumn="1" w:lastColumn="0" w:noHBand="0" w:noVBand="1"/>
      </w:tblPr>
      <w:tblGrid>
        <w:gridCol w:w="1460"/>
        <w:gridCol w:w="1665"/>
        <w:gridCol w:w="271"/>
        <w:gridCol w:w="1985"/>
      </w:tblGrid>
      <w:tr w:rsidR="00A8613A" w:rsidRPr="00A8613A" w14:paraId="26C07BEA" w14:textId="77777777" w:rsidTr="00A8613A">
        <w:trPr>
          <w:trHeight w:val="312"/>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6D4D2"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3780"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6E2F46EA" w14:textId="77777777" w:rsidR="00A8613A" w:rsidRPr="00A8613A" w:rsidRDefault="00A8613A" w:rsidP="00A8613A">
            <w:pPr>
              <w:spacing w:after="0" w:line="240" w:lineRule="auto"/>
              <w:jc w:val="center"/>
              <w:rPr>
                <w:rFonts w:ascii="Calibri" w:eastAsia="Times New Roman" w:hAnsi="Calibri" w:cs="Calibri"/>
                <w:kern w:val="0"/>
                <w:sz w:val="24"/>
                <w:szCs w:val="24"/>
                <w:lang w:eastAsia="en-AU"/>
                <w14:ligatures w14:val="none"/>
              </w:rPr>
            </w:pPr>
            <w:r w:rsidRPr="00A8613A">
              <w:rPr>
                <w:rFonts w:ascii="Calibri" w:eastAsia="Times New Roman" w:hAnsi="Calibri" w:cs="Calibri"/>
                <w:kern w:val="0"/>
                <w:sz w:val="24"/>
                <w:szCs w:val="24"/>
                <w:lang w:eastAsia="en-AU"/>
                <w14:ligatures w14:val="none"/>
              </w:rPr>
              <w:t>Campaigns</w:t>
            </w:r>
          </w:p>
        </w:tc>
      </w:tr>
      <w:tr w:rsidR="00A8613A" w:rsidRPr="00A8613A" w14:paraId="5CBEB97B"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415E920E"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Backer</w:t>
            </w:r>
          </w:p>
        </w:tc>
        <w:tc>
          <w:tcPr>
            <w:tcW w:w="1665" w:type="dxa"/>
            <w:tcBorders>
              <w:top w:val="nil"/>
              <w:left w:val="nil"/>
              <w:bottom w:val="single" w:sz="4" w:space="0" w:color="auto"/>
              <w:right w:val="single" w:sz="4" w:space="0" w:color="auto"/>
            </w:tcBorders>
            <w:shd w:val="clear" w:color="000000" w:fill="FFFF00"/>
            <w:noWrap/>
            <w:vAlign w:val="bottom"/>
            <w:hideMark/>
          </w:tcPr>
          <w:p w14:paraId="6415F8F4" w14:textId="77777777" w:rsidR="00A8613A" w:rsidRPr="00A8613A" w:rsidRDefault="00A8613A" w:rsidP="00A8613A">
            <w:pPr>
              <w:spacing w:after="0" w:line="240" w:lineRule="auto"/>
              <w:rPr>
                <w:rFonts w:ascii="Calibri" w:eastAsia="Times New Roman" w:hAnsi="Calibri" w:cs="Calibri"/>
                <w:kern w:val="0"/>
                <w:sz w:val="24"/>
                <w:szCs w:val="24"/>
                <w:lang w:eastAsia="en-AU"/>
                <w14:ligatures w14:val="none"/>
              </w:rPr>
            </w:pPr>
            <w:r w:rsidRPr="00A8613A">
              <w:rPr>
                <w:rFonts w:ascii="Calibri" w:eastAsia="Times New Roman" w:hAnsi="Calibri" w:cs="Calibri"/>
                <w:kern w:val="0"/>
                <w:sz w:val="24"/>
                <w:szCs w:val="24"/>
                <w:lang w:eastAsia="en-AU"/>
                <w14:ligatures w14:val="none"/>
              </w:rPr>
              <w:t>Successful </w:t>
            </w:r>
          </w:p>
        </w:tc>
        <w:tc>
          <w:tcPr>
            <w:tcW w:w="130" w:type="dxa"/>
            <w:tcBorders>
              <w:top w:val="nil"/>
              <w:left w:val="nil"/>
              <w:bottom w:val="single" w:sz="4" w:space="0" w:color="auto"/>
              <w:right w:val="single" w:sz="4" w:space="0" w:color="auto"/>
            </w:tcBorders>
            <w:shd w:val="clear" w:color="000000" w:fill="FFFF00"/>
            <w:noWrap/>
            <w:vAlign w:val="bottom"/>
            <w:hideMark/>
          </w:tcPr>
          <w:p w14:paraId="39FC88A0" w14:textId="77777777" w:rsidR="00A8613A" w:rsidRPr="00A8613A" w:rsidRDefault="00A8613A" w:rsidP="00A8613A">
            <w:pPr>
              <w:spacing w:after="0" w:line="240" w:lineRule="auto"/>
              <w:rPr>
                <w:rFonts w:ascii="Calibri" w:eastAsia="Times New Roman" w:hAnsi="Calibri" w:cs="Calibri"/>
                <w:kern w:val="0"/>
                <w:sz w:val="24"/>
                <w:szCs w:val="24"/>
                <w:lang w:eastAsia="en-AU"/>
                <w14:ligatures w14:val="none"/>
              </w:rPr>
            </w:pPr>
            <w:r w:rsidRPr="00A8613A">
              <w:rPr>
                <w:rFonts w:ascii="Calibri" w:eastAsia="Times New Roman" w:hAnsi="Calibri" w:cs="Calibri"/>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000000" w:fill="FFFF00"/>
            <w:noWrap/>
            <w:vAlign w:val="bottom"/>
            <w:hideMark/>
          </w:tcPr>
          <w:p w14:paraId="28122FC1" w14:textId="77777777" w:rsidR="00A8613A" w:rsidRPr="00A8613A" w:rsidRDefault="00A8613A" w:rsidP="00A8613A">
            <w:pPr>
              <w:spacing w:after="0" w:line="240" w:lineRule="auto"/>
              <w:rPr>
                <w:rFonts w:ascii="Calibri" w:eastAsia="Times New Roman" w:hAnsi="Calibri" w:cs="Calibri"/>
                <w:kern w:val="0"/>
                <w:sz w:val="24"/>
                <w:szCs w:val="24"/>
                <w:lang w:eastAsia="en-AU"/>
                <w14:ligatures w14:val="none"/>
              </w:rPr>
            </w:pPr>
            <w:r w:rsidRPr="00A8613A">
              <w:rPr>
                <w:rFonts w:ascii="Calibri" w:eastAsia="Times New Roman" w:hAnsi="Calibri" w:cs="Calibri"/>
                <w:kern w:val="0"/>
                <w:sz w:val="24"/>
                <w:szCs w:val="24"/>
                <w:lang w:eastAsia="en-AU"/>
                <w14:ligatures w14:val="none"/>
              </w:rPr>
              <w:t>Unsuccessful</w:t>
            </w:r>
          </w:p>
        </w:tc>
      </w:tr>
      <w:tr w:rsidR="00A8613A" w:rsidRPr="00A8613A" w14:paraId="03703A32"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1BDE90A2"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665" w:type="dxa"/>
            <w:tcBorders>
              <w:top w:val="nil"/>
              <w:left w:val="nil"/>
              <w:bottom w:val="single" w:sz="4" w:space="0" w:color="auto"/>
              <w:right w:val="single" w:sz="4" w:space="0" w:color="auto"/>
            </w:tcBorders>
            <w:shd w:val="clear" w:color="auto" w:fill="auto"/>
            <w:noWrap/>
            <w:vAlign w:val="bottom"/>
            <w:hideMark/>
          </w:tcPr>
          <w:p w14:paraId="445F4E60"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30" w:type="dxa"/>
            <w:tcBorders>
              <w:top w:val="nil"/>
              <w:left w:val="nil"/>
              <w:bottom w:val="single" w:sz="4" w:space="0" w:color="auto"/>
              <w:right w:val="single" w:sz="4" w:space="0" w:color="auto"/>
            </w:tcBorders>
            <w:shd w:val="clear" w:color="auto" w:fill="auto"/>
            <w:noWrap/>
            <w:vAlign w:val="bottom"/>
            <w:hideMark/>
          </w:tcPr>
          <w:p w14:paraId="174E8335"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3A0C42EC"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r>
      <w:tr w:rsidR="00A8613A" w:rsidRPr="00A8613A" w14:paraId="7B7BDC55"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03753735"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Mean</w:t>
            </w:r>
          </w:p>
        </w:tc>
        <w:tc>
          <w:tcPr>
            <w:tcW w:w="1665" w:type="dxa"/>
            <w:tcBorders>
              <w:top w:val="nil"/>
              <w:left w:val="nil"/>
              <w:bottom w:val="single" w:sz="4" w:space="0" w:color="auto"/>
              <w:right w:val="single" w:sz="4" w:space="0" w:color="auto"/>
            </w:tcBorders>
            <w:shd w:val="clear" w:color="auto" w:fill="auto"/>
            <w:noWrap/>
            <w:vAlign w:val="bottom"/>
            <w:hideMark/>
          </w:tcPr>
          <w:p w14:paraId="42D391B8"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851</w:t>
            </w:r>
          </w:p>
        </w:tc>
        <w:tc>
          <w:tcPr>
            <w:tcW w:w="130" w:type="dxa"/>
            <w:tcBorders>
              <w:top w:val="nil"/>
              <w:left w:val="nil"/>
              <w:bottom w:val="single" w:sz="4" w:space="0" w:color="auto"/>
              <w:right w:val="single" w:sz="4" w:space="0" w:color="auto"/>
            </w:tcBorders>
            <w:shd w:val="clear" w:color="auto" w:fill="auto"/>
            <w:noWrap/>
            <w:vAlign w:val="bottom"/>
            <w:hideMark/>
          </w:tcPr>
          <w:p w14:paraId="498A12CA"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50FFAC25"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586</w:t>
            </w:r>
          </w:p>
        </w:tc>
      </w:tr>
      <w:tr w:rsidR="00A8613A" w:rsidRPr="00A8613A" w14:paraId="650F24D5"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59C0A15D"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Median</w:t>
            </w:r>
          </w:p>
        </w:tc>
        <w:tc>
          <w:tcPr>
            <w:tcW w:w="1665" w:type="dxa"/>
            <w:tcBorders>
              <w:top w:val="nil"/>
              <w:left w:val="nil"/>
              <w:bottom w:val="single" w:sz="4" w:space="0" w:color="auto"/>
              <w:right w:val="single" w:sz="4" w:space="0" w:color="auto"/>
            </w:tcBorders>
            <w:shd w:val="clear" w:color="auto" w:fill="auto"/>
            <w:noWrap/>
            <w:vAlign w:val="bottom"/>
            <w:hideMark/>
          </w:tcPr>
          <w:p w14:paraId="4DFB499F"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201</w:t>
            </w:r>
          </w:p>
        </w:tc>
        <w:tc>
          <w:tcPr>
            <w:tcW w:w="130" w:type="dxa"/>
            <w:tcBorders>
              <w:top w:val="nil"/>
              <w:left w:val="nil"/>
              <w:bottom w:val="single" w:sz="4" w:space="0" w:color="auto"/>
              <w:right w:val="single" w:sz="4" w:space="0" w:color="auto"/>
            </w:tcBorders>
            <w:shd w:val="clear" w:color="auto" w:fill="auto"/>
            <w:noWrap/>
            <w:vAlign w:val="bottom"/>
            <w:hideMark/>
          </w:tcPr>
          <w:p w14:paraId="3C4434A0"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1FA3AC21"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115</w:t>
            </w:r>
          </w:p>
        </w:tc>
      </w:tr>
      <w:tr w:rsidR="00A8613A" w:rsidRPr="00A8613A" w14:paraId="38CD16F7"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1104FE16"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Minimum</w:t>
            </w:r>
          </w:p>
        </w:tc>
        <w:tc>
          <w:tcPr>
            <w:tcW w:w="1665" w:type="dxa"/>
            <w:tcBorders>
              <w:top w:val="nil"/>
              <w:left w:val="nil"/>
              <w:bottom w:val="single" w:sz="4" w:space="0" w:color="auto"/>
              <w:right w:val="single" w:sz="4" w:space="0" w:color="auto"/>
            </w:tcBorders>
            <w:shd w:val="clear" w:color="auto" w:fill="auto"/>
            <w:noWrap/>
            <w:vAlign w:val="bottom"/>
            <w:hideMark/>
          </w:tcPr>
          <w:p w14:paraId="07944B64"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16</w:t>
            </w:r>
          </w:p>
        </w:tc>
        <w:tc>
          <w:tcPr>
            <w:tcW w:w="130" w:type="dxa"/>
            <w:tcBorders>
              <w:top w:val="nil"/>
              <w:left w:val="nil"/>
              <w:bottom w:val="single" w:sz="4" w:space="0" w:color="auto"/>
              <w:right w:val="single" w:sz="4" w:space="0" w:color="auto"/>
            </w:tcBorders>
            <w:shd w:val="clear" w:color="auto" w:fill="auto"/>
            <w:noWrap/>
            <w:vAlign w:val="bottom"/>
            <w:hideMark/>
          </w:tcPr>
          <w:p w14:paraId="5F1CF40C"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74CB5D74"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0</w:t>
            </w:r>
          </w:p>
        </w:tc>
      </w:tr>
      <w:tr w:rsidR="00A8613A" w:rsidRPr="00A8613A" w14:paraId="06EB764C"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2EF6C3E5"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Maximum</w:t>
            </w:r>
          </w:p>
        </w:tc>
        <w:tc>
          <w:tcPr>
            <w:tcW w:w="1665" w:type="dxa"/>
            <w:tcBorders>
              <w:top w:val="nil"/>
              <w:left w:val="nil"/>
              <w:bottom w:val="single" w:sz="4" w:space="0" w:color="auto"/>
              <w:right w:val="single" w:sz="4" w:space="0" w:color="auto"/>
            </w:tcBorders>
            <w:shd w:val="clear" w:color="auto" w:fill="auto"/>
            <w:noWrap/>
            <w:vAlign w:val="bottom"/>
            <w:hideMark/>
          </w:tcPr>
          <w:p w14:paraId="4BC5EA94"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7295</w:t>
            </w:r>
          </w:p>
        </w:tc>
        <w:tc>
          <w:tcPr>
            <w:tcW w:w="130" w:type="dxa"/>
            <w:tcBorders>
              <w:top w:val="nil"/>
              <w:left w:val="nil"/>
              <w:bottom w:val="single" w:sz="4" w:space="0" w:color="auto"/>
              <w:right w:val="single" w:sz="4" w:space="0" w:color="auto"/>
            </w:tcBorders>
            <w:shd w:val="clear" w:color="auto" w:fill="auto"/>
            <w:noWrap/>
            <w:vAlign w:val="bottom"/>
            <w:hideMark/>
          </w:tcPr>
          <w:p w14:paraId="02C50710"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5BAC9560"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6080</w:t>
            </w:r>
          </w:p>
        </w:tc>
      </w:tr>
      <w:tr w:rsidR="00A8613A" w:rsidRPr="00A8613A" w14:paraId="7D5E1B03"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1225F3BD"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665" w:type="dxa"/>
            <w:tcBorders>
              <w:top w:val="nil"/>
              <w:left w:val="nil"/>
              <w:bottom w:val="single" w:sz="4" w:space="0" w:color="auto"/>
              <w:right w:val="single" w:sz="4" w:space="0" w:color="auto"/>
            </w:tcBorders>
            <w:shd w:val="clear" w:color="auto" w:fill="auto"/>
            <w:noWrap/>
            <w:vAlign w:val="bottom"/>
            <w:hideMark/>
          </w:tcPr>
          <w:p w14:paraId="550460FE"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30" w:type="dxa"/>
            <w:tcBorders>
              <w:top w:val="nil"/>
              <w:left w:val="nil"/>
              <w:bottom w:val="single" w:sz="4" w:space="0" w:color="auto"/>
              <w:right w:val="single" w:sz="4" w:space="0" w:color="auto"/>
            </w:tcBorders>
            <w:shd w:val="clear" w:color="auto" w:fill="auto"/>
            <w:noWrap/>
            <w:vAlign w:val="bottom"/>
            <w:hideMark/>
          </w:tcPr>
          <w:p w14:paraId="2409C71E"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26289162"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r>
      <w:tr w:rsidR="00A8613A" w:rsidRPr="00A8613A" w14:paraId="4D2F6F9A"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1E3F4E0F"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Variance</w:t>
            </w:r>
          </w:p>
        </w:tc>
        <w:tc>
          <w:tcPr>
            <w:tcW w:w="1665" w:type="dxa"/>
            <w:tcBorders>
              <w:top w:val="nil"/>
              <w:left w:val="nil"/>
              <w:bottom w:val="single" w:sz="4" w:space="0" w:color="auto"/>
              <w:right w:val="single" w:sz="4" w:space="0" w:color="auto"/>
            </w:tcBorders>
            <w:shd w:val="clear" w:color="auto" w:fill="auto"/>
            <w:noWrap/>
            <w:vAlign w:val="bottom"/>
            <w:hideMark/>
          </w:tcPr>
          <w:p w14:paraId="7DA2549C"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1606217</w:t>
            </w:r>
          </w:p>
        </w:tc>
        <w:tc>
          <w:tcPr>
            <w:tcW w:w="130" w:type="dxa"/>
            <w:tcBorders>
              <w:top w:val="nil"/>
              <w:left w:val="nil"/>
              <w:bottom w:val="single" w:sz="4" w:space="0" w:color="auto"/>
              <w:right w:val="single" w:sz="4" w:space="0" w:color="auto"/>
            </w:tcBorders>
            <w:shd w:val="clear" w:color="auto" w:fill="auto"/>
            <w:noWrap/>
            <w:vAlign w:val="bottom"/>
            <w:hideMark/>
          </w:tcPr>
          <w:p w14:paraId="5794E998"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06D24F0E"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924113</w:t>
            </w:r>
          </w:p>
        </w:tc>
      </w:tr>
      <w:tr w:rsidR="00A8613A" w:rsidRPr="00A8613A" w14:paraId="3ACD223F" w14:textId="77777777" w:rsidTr="00A8613A">
        <w:trPr>
          <w:trHeight w:val="312"/>
        </w:trPr>
        <w:tc>
          <w:tcPr>
            <w:tcW w:w="1460" w:type="dxa"/>
            <w:tcBorders>
              <w:top w:val="nil"/>
              <w:left w:val="single" w:sz="4" w:space="0" w:color="auto"/>
              <w:bottom w:val="single" w:sz="4" w:space="0" w:color="auto"/>
              <w:right w:val="single" w:sz="4" w:space="0" w:color="auto"/>
            </w:tcBorders>
            <w:shd w:val="clear" w:color="000000" w:fill="E7E6E6"/>
            <w:noWrap/>
            <w:vAlign w:val="bottom"/>
            <w:hideMark/>
          </w:tcPr>
          <w:p w14:paraId="2FD94488"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Std Deviation</w:t>
            </w:r>
          </w:p>
        </w:tc>
        <w:tc>
          <w:tcPr>
            <w:tcW w:w="1665" w:type="dxa"/>
            <w:tcBorders>
              <w:top w:val="nil"/>
              <w:left w:val="nil"/>
              <w:bottom w:val="single" w:sz="4" w:space="0" w:color="auto"/>
              <w:right w:val="single" w:sz="4" w:space="0" w:color="auto"/>
            </w:tcBorders>
            <w:shd w:val="clear" w:color="auto" w:fill="auto"/>
            <w:noWrap/>
            <w:vAlign w:val="bottom"/>
            <w:hideMark/>
          </w:tcPr>
          <w:p w14:paraId="3D26EA3A"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1267</w:t>
            </w:r>
          </w:p>
        </w:tc>
        <w:tc>
          <w:tcPr>
            <w:tcW w:w="130" w:type="dxa"/>
            <w:tcBorders>
              <w:top w:val="nil"/>
              <w:left w:val="nil"/>
              <w:bottom w:val="single" w:sz="4" w:space="0" w:color="auto"/>
              <w:right w:val="single" w:sz="4" w:space="0" w:color="auto"/>
            </w:tcBorders>
            <w:shd w:val="clear" w:color="auto" w:fill="auto"/>
            <w:noWrap/>
            <w:vAlign w:val="bottom"/>
            <w:hideMark/>
          </w:tcPr>
          <w:p w14:paraId="18F47E3A" w14:textId="77777777" w:rsidR="00A8613A" w:rsidRPr="00A8613A" w:rsidRDefault="00A8613A" w:rsidP="00A8613A">
            <w:pPr>
              <w:spacing w:after="0" w:line="240" w:lineRule="auto"/>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 </w:t>
            </w:r>
          </w:p>
        </w:tc>
        <w:tc>
          <w:tcPr>
            <w:tcW w:w="1985" w:type="dxa"/>
            <w:tcBorders>
              <w:top w:val="nil"/>
              <w:left w:val="nil"/>
              <w:bottom w:val="single" w:sz="4" w:space="0" w:color="auto"/>
              <w:right w:val="single" w:sz="4" w:space="0" w:color="auto"/>
            </w:tcBorders>
            <w:shd w:val="clear" w:color="auto" w:fill="auto"/>
            <w:noWrap/>
            <w:vAlign w:val="bottom"/>
            <w:hideMark/>
          </w:tcPr>
          <w:p w14:paraId="769B31A9" w14:textId="77777777" w:rsidR="00A8613A" w:rsidRPr="00A8613A" w:rsidRDefault="00A8613A" w:rsidP="00A8613A">
            <w:pPr>
              <w:spacing w:after="0" w:line="240" w:lineRule="auto"/>
              <w:jc w:val="right"/>
              <w:rPr>
                <w:rFonts w:ascii="Calibri" w:eastAsia="Times New Roman" w:hAnsi="Calibri" w:cs="Calibri"/>
                <w:color w:val="000000"/>
                <w:kern w:val="0"/>
                <w:sz w:val="24"/>
                <w:szCs w:val="24"/>
                <w:lang w:eastAsia="en-AU"/>
                <w14:ligatures w14:val="none"/>
              </w:rPr>
            </w:pPr>
            <w:r w:rsidRPr="00A8613A">
              <w:rPr>
                <w:rFonts w:ascii="Calibri" w:eastAsia="Times New Roman" w:hAnsi="Calibri" w:cs="Calibri"/>
                <w:color w:val="000000"/>
                <w:kern w:val="0"/>
                <w:sz w:val="24"/>
                <w:szCs w:val="24"/>
                <w:lang w:eastAsia="en-AU"/>
                <w14:ligatures w14:val="none"/>
              </w:rPr>
              <w:t>961</w:t>
            </w:r>
          </w:p>
        </w:tc>
      </w:tr>
    </w:tbl>
    <w:p w14:paraId="2FE550AE" w14:textId="0C31ACBF" w:rsidR="00762E7C" w:rsidRDefault="00762E7C"/>
    <w:p w14:paraId="70C69875" w14:textId="461A72FC" w:rsidR="00762E7C" w:rsidRPr="00BF392E" w:rsidRDefault="00762E7C" w:rsidP="00A8613A">
      <w:pPr>
        <w:pStyle w:val="ListParagraph"/>
        <w:numPr>
          <w:ilvl w:val="0"/>
          <w:numId w:val="11"/>
        </w:numPr>
      </w:pPr>
      <w:r w:rsidRPr="00BF392E">
        <w:t>Use your data to determine whether the mean or the median better summarises the data.</w:t>
      </w:r>
    </w:p>
    <w:p w14:paraId="6C4F8C56" w14:textId="77777777" w:rsidR="00F0219A" w:rsidRPr="00BF392E" w:rsidRDefault="00055A74" w:rsidP="00BF392E">
      <w:r w:rsidRPr="00BF392E">
        <w:t>The Mean represents the average number of backers for each group. For Successful campaigns, the average number of backers is approximately 851, while for Unsuccessful campaigns, the average number of backers is approximately 586. This suggests that, on average, successful campaigns tend to attract more backers compared to unsuccessful ones.</w:t>
      </w:r>
    </w:p>
    <w:p w14:paraId="088865AF" w14:textId="499ECDF2" w:rsidR="00055A74" w:rsidRPr="00BF392E" w:rsidRDefault="00055A74" w:rsidP="00BF392E">
      <w:r w:rsidRPr="00BF392E">
        <w:t>The Median represents the middle value when the data is arranged in ascending order. For Successful campaigns, the median number of backers is 201, while for Unsuccessful campaigns, the median number of backers is 115. The median provides a measure of central tendency that is less influenced by extreme values. In this case, the median for successful campaigns is significantly higher than for unsuccessful campaigns, indicating a notable difference in the distribution of backers.</w:t>
      </w:r>
    </w:p>
    <w:p w14:paraId="639254CB" w14:textId="29740AFC" w:rsidR="00F0219A" w:rsidRPr="00BF392E" w:rsidRDefault="00F0219A" w:rsidP="00BF392E">
      <w:r w:rsidRPr="00BF392E">
        <w:t xml:space="preserve">The data analysis provides insights into the distribution and spread of the number of backers for successful and unsuccessful projects. The mean and median provide central tendency measures, while the variance and standard deviation give an idea of the data's variability. This information is valuable for understanding the typical and extreme values of backers in each group and how much the data points deviate from the </w:t>
      </w:r>
      <w:r w:rsidR="0033232D" w:rsidRPr="00BF392E">
        <w:t>mean.</w:t>
      </w:r>
    </w:p>
    <w:p w14:paraId="64296FB0" w14:textId="77777777" w:rsidR="00FF5D62" w:rsidRPr="00BF392E" w:rsidRDefault="00FF5D62" w:rsidP="00BF392E"/>
    <w:p w14:paraId="0DD3A43D" w14:textId="5B6A0A30" w:rsidR="00762E7C" w:rsidRPr="00BF392E" w:rsidRDefault="00A8613A" w:rsidP="00BF392E">
      <w:r>
        <w:t xml:space="preserve">B) </w:t>
      </w:r>
      <w:r w:rsidR="00762E7C" w:rsidRPr="00BF392E">
        <w:t>Use your data to determine if there is more variability with successful or unsuccessful campaigns. Does this make sense? Why or why not?</w:t>
      </w:r>
    </w:p>
    <w:p w14:paraId="1F9D9062" w14:textId="1C6E83BB" w:rsidR="00AA56E2" w:rsidRDefault="00AA56E2" w:rsidP="00BF392E">
      <w:r w:rsidRPr="00AA56E2">
        <w:t xml:space="preserve">The variance of successful campaigns is </w:t>
      </w:r>
      <w:r>
        <w:t>higher tha</w:t>
      </w:r>
      <w:r w:rsidR="009562F4">
        <w:t>n</w:t>
      </w:r>
      <w:r>
        <w:t xml:space="preserve"> </w:t>
      </w:r>
      <w:r w:rsidRPr="00AA56E2">
        <w:t>unsuccessful campaigns. Consequently, the number of backers in successful campaigns exhibits greater variability than that of unsuccessful campaigns. This higher variance suggests that the data points in the successful campaign group are more dispersed from the mean value, indicating a broader range of backer counts for successful campaigns.</w:t>
      </w:r>
    </w:p>
    <w:p w14:paraId="0EC2EBB7" w14:textId="03D4FF70" w:rsidR="00BF392E" w:rsidRPr="00BF392E" w:rsidRDefault="00BF392E" w:rsidP="00BF392E">
      <w:r w:rsidRPr="00BF392E">
        <w:t xml:space="preserve">The standard deviation for successful campaigns is 1,267, while for unsuccessful campaigns, it is 961. </w:t>
      </w:r>
      <w:r w:rsidR="00FB5D6B" w:rsidRPr="00BF392E">
        <w:t>Like</w:t>
      </w:r>
      <w:r w:rsidRPr="00BF392E">
        <w:t xml:space="preserve"> variance, the standard deviation confirms that the backer counts for successful campaigns have more variability compared to unsuccessful campaigns.</w:t>
      </w:r>
    </w:p>
    <w:p w14:paraId="4BF27AD2" w14:textId="17967739" w:rsidR="0052402C" w:rsidRDefault="0052402C" w:rsidP="0052402C">
      <w:r>
        <w:t>Overall, based on the variance and standard deviation measures, it becomes evident that the number of backers in successful campaigns displays a higher level of variability compared to unsuccessful ones. This observation is logical as successful campaigns tend to draw a more diverse and varied pool of backers, resulting in a broader distribution of backer counts. In contrast, unsuccessful campaigns typically have a more concentrated distribution of backers, leading to less variability in the dataset.</w:t>
      </w:r>
    </w:p>
    <w:p w14:paraId="55C7958B" w14:textId="7B39036F" w:rsidR="00762E7C" w:rsidRDefault="00C70A42" w:rsidP="0052402C">
      <w:r>
        <w:lastRenderedPageBreak/>
        <w:t>The</w:t>
      </w:r>
      <w:r w:rsidR="0052402C">
        <w:t xml:space="preserve"> data analysis highlights a crucial point</w:t>
      </w:r>
      <w:r w:rsidR="00034524">
        <w:t xml:space="preserve"> </w:t>
      </w:r>
      <w:r w:rsidR="0052402C">
        <w:t xml:space="preserve">successful campaigns exhibit a greater degree of variability in backer counts. For crowdfunding platforms and project creators, this information is vital to comprehend the potential range of support they may receive for their campaigns. Understanding the variability in backer engagement can aid in making informed decisions and tailoring strategies to achieve better results in crowdfunding </w:t>
      </w:r>
      <w:r w:rsidR="00CB1082">
        <w:t>endeavours</w:t>
      </w:r>
      <w:r w:rsidR="0052402C">
        <w:t>.</w:t>
      </w:r>
    </w:p>
    <w:sectPr w:rsidR="00762E7C" w:rsidSect="00C70A42">
      <w:pgSz w:w="11906" w:h="16838"/>
      <w:pgMar w:top="1440" w:right="566" w:bottom="1418" w:left="426" w:header="708" w:footer="708"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525D" w14:textId="77777777" w:rsidR="006964A5" w:rsidRDefault="006964A5" w:rsidP="006C75D9">
      <w:pPr>
        <w:spacing w:after="0" w:line="240" w:lineRule="auto"/>
      </w:pPr>
      <w:r>
        <w:separator/>
      </w:r>
    </w:p>
  </w:endnote>
  <w:endnote w:type="continuationSeparator" w:id="0">
    <w:p w14:paraId="2C263E2E" w14:textId="77777777" w:rsidR="006964A5" w:rsidRDefault="006964A5" w:rsidP="006C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1CC3" w14:textId="77777777" w:rsidR="006964A5" w:rsidRDefault="006964A5" w:rsidP="006C75D9">
      <w:pPr>
        <w:spacing w:after="0" w:line="240" w:lineRule="auto"/>
      </w:pPr>
      <w:r>
        <w:separator/>
      </w:r>
    </w:p>
  </w:footnote>
  <w:footnote w:type="continuationSeparator" w:id="0">
    <w:p w14:paraId="124F0C91" w14:textId="77777777" w:rsidR="006964A5" w:rsidRDefault="006964A5" w:rsidP="006C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0F25"/>
    <w:multiLevelType w:val="hybridMultilevel"/>
    <w:tmpl w:val="2FB48840"/>
    <w:lvl w:ilvl="0" w:tplc="E0AE148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43B95"/>
    <w:multiLevelType w:val="hybridMultilevel"/>
    <w:tmpl w:val="BA387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A9284D"/>
    <w:multiLevelType w:val="multilevel"/>
    <w:tmpl w:val="B85C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20ACC"/>
    <w:multiLevelType w:val="hybridMultilevel"/>
    <w:tmpl w:val="9B2C9514"/>
    <w:lvl w:ilvl="0" w:tplc="26D63AD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BC3D7E"/>
    <w:multiLevelType w:val="hybridMultilevel"/>
    <w:tmpl w:val="3DF2CE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1C1C80"/>
    <w:multiLevelType w:val="hybridMultilevel"/>
    <w:tmpl w:val="026640E8"/>
    <w:lvl w:ilvl="0" w:tplc="ADF4F98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345BA4"/>
    <w:multiLevelType w:val="hybridMultilevel"/>
    <w:tmpl w:val="F6B05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5F228B"/>
    <w:multiLevelType w:val="multilevel"/>
    <w:tmpl w:val="C1E4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13F8A"/>
    <w:multiLevelType w:val="multilevel"/>
    <w:tmpl w:val="BCB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25E5B"/>
    <w:multiLevelType w:val="multilevel"/>
    <w:tmpl w:val="4338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F7173"/>
    <w:multiLevelType w:val="multilevel"/>
    <w:tmpl w:val="48F8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308098">
    <w:abstractNumId w:val="10"/>
  </w:num>
  <w:num w:numId="2" w16cid:durableId="596594166">
    <w:abstractNumId w:val="8"/>
  </w:num>
  <w:num w:numId="3" w16cid:durableId="1024212310">
    <w:abstractNumId w:val="5"/>
  </w:num>
  <w:num w:numId="4" w16cid:durableId="650018213">
    <w:abstractNumId w:val="0"/>
  </w:num>
  <w:num w:numId="5" w16cid:durableId="1467161869">
    <w:abstractNumId w:val="2"/>
  </w:num>
  <w:num w:numId="6" w16cid:durableId="1972124627">
    <w:abstractNumId w:val="6"/>
  </w:num>
  <w:num w:numId="7" w16cid:durableId="1424494221">
    <w:abstractNumId w:val="1"/>
  </w:num>
  <w:num w:numId="8" w16cid:durableId="1096562779">
    <w:abstractNumId w:val="7"/>
  </w:num>
  <w:num w:numId="9" w16cid:durableId="1936088184">
    <w:abstractNumId w:val="4"/>
  </w:num>
  <w:num w:numId="10" w16cid:durableId="992830508">
    <w:abstractNumId w:val="9"/>
  </w:num>
  <w:num w:numId="11" w16cid:durableId="847208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7C"/>
    <w:rsid w:val="00015F0B"/>
    <w:rsid w:val="00034524"/>
    <w:rsid w:val="000432DB"/>
    <w:rsid w:val="00055A74"/>
    <w:rsid w:val="00087817"/>
    <w:rsid w:val="00087C70"/>
    <w:rsid w:val="000953BD"/>
    <w:rsid w:val="00097AF8"/>
    <w:rsid w:val="000D2AD8"/>
    <w:rsid w:val="000D473D"/>
    <w:rsid w:val="00113094"/>
    <w:rsid w:val="00127843"/>
    <w:rsid w:val="00135214"/>
    <w:rsid w:val="00144151"/>
    <w:rsid w:val="0017274A"/>
    <w:rsid w:val="00173ADF"/>
    <w:rsid w:val="0018534B"/>
    <w:rsid w:val="00185987"/>
    <w:rsid w:val="00196419"/>
    <w:rsid w:val="001E11C2"/>
    <w:rsid w:val="00224C0C"/>
    <w:rsid w:val="00234327"/>
    <w:rsid w:val="002862E5"/>
    <w:rsid w:val="00292F48"/>
    <w:rsid w:val="00297146"/>
    <w:rsid w:val="002A2E60"/>
    <w:rsid w:val="002B08A3"/>
    <w:rsid w:val="002E50F3"/>
    <w:rsid w:val="002F0EEA"/>
    <w:rsid w:val="002F5223"/>
    <w:rsid w:val="003215B3"/>
    <w:rsid w:val="0033232D"/>
    <w:rsid w:val="003401F4"/>
    <w:rsid w:val="003667EB"/>
    <w:rsid w:val="00370A2A"/>
    <w:rsid w:val="00384094"/>
    <w:rsid w:val="003B505F"/>
    <w:rsid w:val="003E051E"/>
    <w:rsid w:val="0043730E"/>
    <w:rsid w:val="00450B66"/>
    <w:rsid w:val="004754C9"/>
    <w:rsid w:val="00476899"/>
    <w:rsid w:val="00492F19"/>
    <w:rsid w:val="00493B2A"/>
    <w:rsid w:val="004B6F03"/>
    <w:rsid w:val="004C6708"/>
    <w:rsid w:val="004E5DDF"/>
    <w:rsid w:val="00521B2A"/>
    <w:rsid w:val="0052402C"/>
    <w:rsid w:val="00542C59"/>
    <w:rsid w:val="0056047F"/>
    <w:rsid w:val="005739B8"/>
    <w:rsid w:val="0058274B"/>
    <w:rsid w:val="0059056F"/>
    <w:rsid w:val="00590B60"/>
    <w:rsid w:val="00594577"/>
    <w:rsid w:val="00617CC3"/>
    <w:rsid w:val="00632234"/>
    <w:rsid w:val="006442E3"/>
    <w:rsid w:val="00673D4D"/>
    <w:rsid w:val="00684374"/>
    <w:rsid w:val="006964A5"/>
    <w:rsid w:val="006A3CC8"/>
    <w:rsid w:val="006C75D9"/>
    <w:rsid w:val="006E5206"/>
    <w:rsid w:val="006F04D3"/>
    <w:rsid w:val="00735FA2"/>
    <w:rsid w:val="00740B7E"/>
    <w:rsid w:val="0075217C"/>
    <w:rsid w:val="00756A18"/>
    <w:rsid w:val="00762E7C"/>
    <w:rsid w:val="007D420E"/>
    <w:rsid w:val="008255E2"/>
    <w:rsid w:val="008320F0"/>
    <w:rsid w:val="0083326A"/>
    <w:rsid w:val="00851BA4"/>
    <w:rsid w:val="00853CBD"/>
    <w:rsid w:val="00866E7A"/>
    <w:rsid w:val="00881334"/>
    <w:rsid w:val="008A1033"/>
    <w:rsid w:val="008A5548"/>
    <w:rsid w:val="008C4114"/>
    <w:rsid w:val="008C638F"/>
    <w:rsid w:val="00911396"/>
    <w:rsid w:val="00926CE3"/>
    <w:rsid w:val="009341ED"/>
    <w:rsid w:val="0094435C"/>
    <w:rsid w:val="009562F4"/>
    <w:rsid w:val="00982DB2"/>
    <w:rsid w:val="00991CBB"/>
    <w:rsid w:val="00996809"/>
    <w:rsid w:val="009E4BF0"/>
    <w:rsid w:val="00A019D6"/>
    <w:rsid w:val="00A11EAD"/>
    <w:rsid w:val="00A36DE3"/>
    <w:rsid w:val="00A4158B"/>
    <w:rsid w:val="00A5443B"/>
    <w:rsid w:val="00A74758"/>
    <w:rsid w:val="00A8613A"/>
    <w:rsid w:val="00A874F1"/>
    <w:rsid w:val="00AA56E2"/>
    <w:rsid w:val="00AA7C9D"/>
    <w:rsid w:val="00AE6BFB"/>
    <w:rsid w:val="00AF20E3"/>
    <w:rsid w:val="00AF35E1"/>
    <w:rsid w:val="00B262F2"/>
    <w:rsid w:val="00B5226A"/>
    <w:rsid w:val="00B7424A"/>
    <w:rsid w:val="00B76D76"/>
    <w:rsid w:val="00B8146A"/>
    <w:rsid w:val="00B865B2"/>
    <w:rsid w:val="00BB0AC4"/>
    <w:rsid w:val="00BB1EB3"/>
    <w:rsid w:val="00BB6270"/>
    <w:rsid w:val="00BC7782"/>
    <w:rsid w:val="00BE578D"/>
    <w:rsid w:val="00BF392E"/>
    <w:rsid w:val="00C01C21"/>
    <w:rsid w:val="00C10855"/>
    <w:rsid w:val="00C21521"/>
    <w:rsid w:val="00C22856"/>
    <w:rsid w:val="00C30C62"/>
    <w:rsid w:val="00C33049"/>
    <w:rsid w:val="00C35DE8"/>
    <w:rsid w:val="00C60699"/>
    <w:rsid w:val="00C61F97"/>
    <w:rsid w:val="00C632C4"/>
    <w:rsid w:val="00C70A42"/>
    <w:rsid w:val="00C85A50"/>
    <w:rsid w:val="00C96A4C"/>
    <w:rsid w:val="00CA4D63"/>
    <w:rsid w:val="00CB1082"/>
    <w:rsid w:val="00CC40CA"/>
    <w:rsid w:val="00CD02BC"/>
    <w:rsid w:val="00CE3B41"/>
    <w:rsid w:val="00D0031F"/>
    <w:rsid w:val="00D07D72"/>
    <w:rsid w:val="00D23E0F"/>
    <w:rsid w:val="00D34D16"/>
    <w:rsid w:val="00D41BDB"/>
    <w:rsid w:val="00D4564B"/>
    <w:rsid w:val="00D50C74"/>
    <w:rsid w:val="00D5314F"/>
    <w:rsid w:val="00D82AAA"/>
    <w:rsid w:val="00D9708B"/>
    <w:rsid w:val="00DA7DA3"/>
    <w:rsid w:val="00DC0095"/>
    <w:rsid w:val="00DC26D0"/>
    <w:rsid w:val="00DD0D04"/>
    <w:rsid w:val="00DE5385"/>
    <w:rsid w:val="00DF0E61"/>
    <w:rsid w:val="00DF58EC"/>
    <w:rsid w:val="00E02445"/>
    <w:rsid w:val="00E032F3"/>
    <w:rsid w:val="00E24E2E"/>
    <w:rsid w:val="00E47D16"/>
    <w:rsid w:val="00E560AC"/>
    <w:rsid w:val="00E74526"/>
    <w:rsid w:val="00ED5782"/>
    <w:rsid w:val="00EE62CD"/>
    <w:rsid w:val="00F0172E"/>
    <w:rsid w:val="00F0219A"/>
    <w:rsid w:val="00F31494"/>
    <w:rsid w:val="00F4333D"/>
    <w:rsid w:val="00F62E85"/>
    <w:rsid w:val="00F71283"/>
    <w:rsid w:val="00F74F95"/>
    <w:rsid w:val="00F97226"/>
    <w:rsid w:val="00FB5D6B"/>
    <w:rsid w:val="00FF393F"/>
    <w:rsid w:val="00FF5D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1ACC"/>
  <w15:chartTrackingRefBased/>
  <w15:docId w15:val="{955DFD6A-F4CD-484A-816F-CFF686E4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E7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D50C74"/>
    <w:pPr>
      <w:ind w:left="720"/>
      <w:contextualSpacing/>
    </w:pPr>
  </w:style>
  <w:style w:type="paragraph" w:styleId="Header">
    <w:name w:val="header"/>
    <w:basedOn w:val="Normal"/>
    <w:link w:val="HeaderChar"/>
    <w:uiPriority w:val="99"/>
    <w:unhideWhenUsed/>
    <w:rsid w:val="006C7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5D9"/>
  </w:style>
  <w:style w:type="paragraph" w:styleId="Footer">
    <w:name w:val="footer"/>
    <w:basedOn w:val="Normal"/>
    <w:link w:val="FooterChar"/>
    <w:uiPriority w:val="99"/>
    <w:unhideWhenUsed/>
    <w:rsid w:val="006C7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3849">
      <w:bodyDiv w:val="1"/>
      <w:marLeft w:val="0"/>
      <w:marRight w:val="0"/>
      <w:marTop w:val="0"/>
      <w:marBottom w:val="0"/>
      <w:divBdr>
        <w:top w:val="none" w:sz="0" w:space="0" w:color="auto"/>
        <w:left w:val="none" w:sz="0" w:space="0" w:color="auto"/>
        <w:bottom w:val="none" w:sz="0" w:space="0" w:color="auto"/>
        <w:right w:val="none" w:sz="0" w:space="0" w:color="auto"/>
      </w:divBdr>
    </w:div>
    <w:div w:id="262956376">
      <w:bodyDiv w:val="1"/>
      <w:marLeft w:val="0"/>
      <w:marRight w:val="0"/>
      <w:marTop w:val="0"/>
      <w:marBottom w:val="0"/>
      <w:divBdr>
        <w:top w:val="none" w:sz="0" w:space="0" w:color="auto"/>
        <w:left w:val="none" w:sz="0" w:space="0" w:color="auto"/>
        <w:bottom w:val="none" w:sz="0" w:space="0" w:color="auto"/>
        <w:right w:val="none" w:sz="0" w:space="0" w:color="auto"/>
      </w:divBdr>
    </w:div>
    <w:div w:id="331835453">
      <w:bodyDiv w:val="1"/>
      <w:marLeft w:val="0"/>
      <w:marRight w:val="0"/>
      <w:marTop w:val="0"/>
      <w:marBottom w:val="0"/>
      <w:divBdr>
        <w:top w:val="none" w:sz="0" w:space="0" w:color="auto"/>
        <w:left w:val="none" w:sz="0" w:space="0" w:color="auto"/>
        <w:bottom w:val="none" w:sz="0" w:space="0" w:color="auto"/>
        <w:right w:val="none" w:sz="0" w:space="0" w:color="auto"/>
      </w:divBdr>
    </w:div>
    <w:div w:id="385691398">
      <w:bodyDiv w:val="1"/>
      <w:marLeft w:val="0"/>
      <w:marRight w:val="0"/>
      <w:marTop w:val="0"/>
      <w:marBottom w:val="0"/>
      <w:divBdr>
        <w:top w:val="none" w:sz="0" w:space="0" w:color="auto"/>
        <w:left w:val="none" w:sz="0" w:space="0" w:color="auto"/>
        <w:bottom w:val="none" w:sz="0" w:space="0" w:color="auto"/>
        <w:right w:val="none" w:sz="0" w:space="0" w:color="auto"/>
      </w:divBdr>
    </w:div>
    <w:div w:id="587160094">
      <w:bodyDiv w:val="1"/>
      <w:marLeft w:val="0"/>
      <w:marRight w:val="0"/>
      <w:marTop w:val="0"/>
      <w:marBottom w:val="0"/>
      <w:divBdr>
        <w:top w:val="none" w:sz="0" w:space="0" w:color="auto"/>
        <w:left w:val="none" w:sz="0" w:space="0" w:color="auto"/>
        <w:bottom w:val="none" w:sz="0" w:space="0" w:color="auto"/>
        <w:right w:val="none" w:sz="0" w:space="0" w:color="auto"/>
      </w:divBdr>
    </w:div>
    <w:div w:id="589004146">
      <w:bodyDiv w:val="1"/>
      <w:marLeft w:val="0"/>
      <w:marRight w:val="0"/>
      <w:marTop w:val="0"/>
      <w:marBottom w:val="0"/>
      <w:divBdr>
        <w:top w:val="none" w:sz="0" w:space="0" w:color="auto"/>
        <w:left w:val="none" w:sz="0" w:space="0" w:color="auto"/>
        <w:bottom w:val="none" w:sz="0" w:space="0" w:color="auto"/>
        <w:right w:val="none" w:sz="0" w:space="0" w:color="auto"/>
      </w:divBdr>
    </w:div>
    <w:div w:id="626089021">
      <w:bodyDiv w:val="1"/>
      <w:marLeft w:val="0"/>
      <w:marRight w:val="0"/>
      <w:marTop w:val="0"/>
      <w:marBottom w:val="0"/>
      <w:divBdr>
        <w:top w:val="none" w:sz="0" w:space="0" w:color="auto"/>
        <w:left w:val="none" w:sz="0" w:space="0" w:color="auto"/>
        <w:bottom w:val="none" w:sz="0" w:space="0" w:color="auto"/>
        <w:right w:val="none" w:sz="0" w:space="0" w:color="auto"/>
      </w:divBdr>
    </w:div>
    <w:div w:id="695084898">
      <w:bodyDiv w:val="1"/>
      <w:marLeft w:val="0"/>
      <w:marRight w:val="0"/>
      <w:marTop w:val="0"/>
      <w:marBottom w:val="0"/>
      <w:divBdr>
        <w:top w:val="none" w:sz="0" w:space="0" w:color="auto"/>
        <w:left w:val="none" w:sz="0" w:space="0" w:color="auto"/>
        <w:bottom w:val="none" w:sz="0" w:space="0" w:color="auto"/>
        <w:right w:val="none" w:sz="0" w:space="0" w:color="auto"/>
      </w:divBdr>
    </w:div>
    <w:div w:id="772286628">
      <w:bodyDiv w:val="1"/>
      <w:marLeft w:val="0"/>
      <w:marRight w:val="0"/>
      <w:marTop w:val="0"/>
      <w:marBottom w:val="0"/>
      <w:divBdr>
        <w:top w:val="none" w:sz="0" w:space="0" w:color="auto"/>
        <w:left w:val="none" w:sz="0" w:space="0" w:color="auto"/>
        <w:bottom w:val="none" w:sz="0" w:space="0" w:color="auto"/>
        <w:right w:val="none" w:sz="0" w:space="0" w:color="auto"/>
      </w:divBdr>
    </w:div>
    <w:div w:id="1028681245">
      <w:bodyDiv w:val="1"/>
      <w:marLeft w:val="0"/>
      <w:marRight w:val="0"/>
      <w:marTop w:val="0"/>
      <w:marBottom w:val="0"/>
      <w:divBdr>
        <w:top w:val="none" w:sz="0" w:space="0" w:color="auto"/>
        <w:left w:val="none" w:sz="0" w:space="0" w:color="auto"/>
        <w:bottom w:val="none" w:sz="0" w:space="0" w:color="auto"/>
        <w:right w:val="none" w:sz="0" w:space="0" w:color="auto"/>
      </w:divBdr>
    </w:div>
    <w:div w:id="1275945478">
      <w:bodyDiv w:val="1"/>
      <w:marLeft w:val="0"/>
      <w:marRight w:val="0"/>
      <w:marTop w:val="0"/>
      <w:marBottom w:val="0"/>
      <w:divBdr>
        <w:top w:val="none" w:sz="0" w:space="0" w:color="auto"/>
        <w:left w:val="none" w:sz="0" w:space="0" w:color="auto"/>
        <w:bottom w:val="none" w:sz="0" w:space="0" w:color="auto"/>
        <w:right w:val="none" w:sz="0" w:space="0" w:color="auto"/>
      </w:divBdr>
    </w:div>
    <w:div w:id="1912930647">
      <w:bodyDiv w:val="1"/>
      <w:marLeft w:val="0"/>
      <w:marRight w:val="0"/>
      <w:marTop w:val="0"/>
      <w:marBottom w:val="0"/>
      <w:divBdr>
        <w:top w:val="none" w:sz="0" w:space="0" w:color="auto"/>
        <w:left w:val="none" w:sz="0" w:space="0" w:color="auto"/>
        <w:bottom w:val="none" w:sz="0" w:space="0" w:color="auto"/>
        <w:right w:val="none" w:sz="0" w:space="0" w:color="auto"/>
      </w:divBdr>
    </w:div>
    <w:div w:id="2019458068">
      <w:bodyDiv w:val="1"/>
      <w:marLeft w:val="0"/>
      <w:marRight w:val="0"/>
      <w:marTop w:val="0"/>
      <w:marBottom w:val="0"/>
      <w:divBdr>
        <w:top w:val="none" w:sz="0" w:space="0" w:color="auto"/>
        <w:left w:val="none" w:sz="0" w:space="0" w:color="auto"/>
        <w:bottom w:val="none" w:sz="0" w:space="0" w:color="auto"/>
        <w:right w:val="none" w:sz="0" w:space="0" w:color="auto"/>
      </w:divBdr>
    </w:div>
    <w:div w:id="20595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d84483a10a29f9a/Desktop/excel-challenge%20Stev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d84483a10a29f9a/Desktop/excel-challenge%20Stev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d84483a10a29f9a/Desktop/Boot%20-class%20folder/Excel/Assignment/Assig%201/excel-challenge%20Steve%20A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 Steve 1.xlsx]Parent_Category rate!PivotTable5</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Outcome Based</a:t>
            </a:r>
            <a:r>
              <a:rPr lang="en-US" sz="1200" baseline="0"/>
              <a:t> on Parent </a:t>
            </a:r>
            <a:r>
              <a:rPr lang="en-US" sz="1200"/>
              <a:t>Category</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'Parent_Category rate'!$B$3:$B$4</c:f>
              <c:strCache>
                <c:ptCount val="1"/>
                <c:pt idx="0">
                  <c:v>canceled</c:v>
                </c:pt>
              </c:strCache>
            </c:strRef>
          </c:tx>
          <c:spPr>
            <a:solidFill>
              <a:srgbClr val="FFFF00"/>
            </a:solidFill>
            <a:ln>
              <a:noFill/>
            </a:ln>
            <a:effectLst/>
          </c:spPr>
          <c:invertIfNegative val="0"/>
          <c:cat>
            <c:strRef>
              <c:f>'Parent_Category rate'!$A$5:$A$14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'Parent_Category rate'!$B$5:$B$14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4604-41D1-8633-422B888158FB}"/>
            </c:ext>
          </c:extLst>
        </c:ser>
        <c:ser>
          <c:idx val="1"/>
          <c:order val="1"/>
          <c:tx>
            <c:strRef>
              <c:f>'Parent_Category rate'!$C$3:$C$4</c:f>
              <c:strCache>
                <c:ptCount val="1"/>
                <c:pt idx="0">
                  <c:v>Failed</c:v>
                </c:pt>
              </c:strCache>
            </c:strRef>
          </c:tx>
          <c:spPr>
            <a:solidFill>
              <a:srgbClr val="00B0F0"/>
            </a:solidFill>
            <a:ln>
              <a:noFill/>
            </a:ln>
            <a:effectLst/>
          </c:spPr>
          <c:invertIfNegative val="0"/>
          <c:cat>
            <c:strRef>
              <c:f>'Parent_Category rate'!$A$5:$A$14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'Parent_Category rate'!$C$5:$C$14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4604-41D1-8633-422B888158FB}"/>
            </c:ext>
          </c:extLst>
        </c:ser>
        <c:ser>
          <c:idx val="2"/>
          <c:order val="2"/>
          <c:tx>
            <c:strRef>
              <c:f>'Parent_Category rate'!$D$3:$D$4</c:f>
              <c:strCache>
                <c:ptCount val="1"/>
                <c:pt idx="0">
                  <c:v>live</c:v>
                </c:pt>
              </c:strCache>
            </c:strRef>
          </c:tx>
          <c:spPr>
            <a:solidFill>
              <a:schemeClr val="accent3"/>
            </a:solidFill>
            <a:ln>
              <a:noFill/>
            </a:ln>
            <a:effectLst/>
          </c:spPr>
          <c:invertIfNegative val="0"/>
          <c:cat>
            <c:strRef>
              <c:f>'Parent_Category rate'!$A$5:$A$14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'Parent_Category rate'!$D$5:$D$14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4604-41D1-8633-422B888158FB}"/>
            </c:ext>
          </c:extLst>
        </c:ser>
        <c:ser>
          <c:idx val="3"/>
          <c:order val="3"/>
          <c:tx>
            <c:strRef>
              <c:f>'Parent_Category rate'!$E$3:$E$4</c:f>
              <c:strCache>
                <c:ptCount val="1"/>
                <c:pt idx="0">
                  <c:v>successful</c:v>
                </c:pt>
              </c:strCache>
            </c:strRef>
          </c:tx>
          <c:spPr>
            <a:solidFill>
              <a:srgbClr val="00B050"/>
            </a:solidFill>
            <a:ln>
              <a:noFill/>
            </a:ln>
            <a:effectLst/>
          </c:spPr>
          <c:invertIfNegative val="0"/>
          <c:cat>
            <c:strRef>
              <c:f>'Parent_Category rate'!$A$5:$A$14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'Parent_Category rate'!$E$5:$E$14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4604-41D1-8633-422B888158FB}"/>
            </c:ext>
          </c:extLst>
        </c:ser>
        <c:dLbls>
          <c:showLegendKey val="0"/>
          <c:showVal val="0"/>
          <c:showCatName val="0"/>
          <c:showSerName val="0"/>
          <c:showPercent val="0"/>
          <c:showBubbleSize val="0"/>
        </c:dLbls>
        <c:gapWidth val="150"/>
        <c:overlap val="100"/>
        <c:axId val="1128240943"/>
        <c:axId val="1128239983"/>
      </c:barChart>
      <c:catAx>
        <c:axId val="112824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a:t>
                </a:r>
                <a:r>
                  <a:rPr lang="en-US" baseline="0"/>
                  <a:t> </a:t>
                </a: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239983"/>
        <c:crosses val="autoZero"/>
        <c:auto val="1"/>
        <c:lblAlgn val="ctr"/>
        <c:lblOffset val="100"/>
        <c:noMultiLvlLbl val="0"/>
      </c:catAx>
      <c:valAx>
        <c:axId val="112823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240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 Steve 1.xlsx]Sub_category rate!PivotTable10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Outcome</a:t>
            </a:r>
            <a:r>
              <a:rPr lang="en-AU" baseline="0"/>
              <a:t> Base on Sub Category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pivotFmt>
      <c:pivotFmt>
        <c:idx val="5"/>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accent4"/>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'Sub_category rate'!$B$3:$B$4</c:f>
              <c:strCache>
                <c:ptCount val="1"/>
                <c:pt idx="0">
                  <c:v>canceled</c:v>
                </c:pt>
              </c:strCache>
            </c:strRef>
          </c:tx>
          <c:spPr>
            <a:solidFill>
              <a:schemeClr val="accent4"/>
            </a:solidFill>
            <a:ln>
              <a:noFill/>
            </a:ln>
            <a:effectLst/>
            <a:sp3d/>
          </c:spPr>
          <c:invertIfNegative val="0"/>
          <c:cat>
            <c:strRef>
              <c:f>'Sub_category rate'!$A$5:$A$29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'Sub_category rate'!$B$5:$B$29</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6A97-46D3-A829-C0C33B4F6EF6}"/>
            </c:ext>
          </c:extLst>
        </c:ser>
        <c:ser>
          <c:idx val="1"/>
          <c:order val="1"/>
          <c:tx>
            <c:strRef>
              <c:f>'Sub_category rate'!$C$3:$C$4</c:f>
              <c:strCache>
                <c:ptCount val="1"/>
                <c:pt idx="0">
                  <c:v>Failed</c:v>
                </c:pt>
              </c:strCache>
            </c:strRef>
          </c:tx>
          <c:spPr>
            <a:solidFill>
              <a:srgbClr val="FF0000"/>
            </a:solidFill>
            <a:ln>
              <a:noFill/>
            </a:ln>
            <a:effectLst/>
            <a:sp3d/>
          </c:spPr>
          <c:invertIfNegative val="0"/>
          <c:cat>
            <c:strRef>
              <c:f>'Sub_category rate'!$A$5:$A$29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'Sub_category rate'!$C$5:$C$29</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6A97-46D3-A829-C0C33B4F6EF6}"/>
            </c:ext>
          </c:extLst>
        </c:ser>
        <c:ser>
          <c:idx val="2"/>
          <c:order val="2"/>
          <c:tx>
            <c:strRef>
              <c:f>'Sub_category rate'!$D$3:$D$4</c:f>
              <c:strCache>
                <c:ptCount val="1"/>
                <c:pt idx="0">
                  <c:v>live</c:v>
                </c:pt>
              </c:strCache>
            </c:strRef>
          </c:tx>
          <c:spPr>
            <a:solidFill>
              <a:schemeClr val="accent3"/>
            </a:solidFill>
            <a:ln>
              <a:noFill/>
            </a:ln>
            <a:effectLst/>
            <a:sp3d/>
          </c:spPr>
          <c:invertIfNegative val="0"/>
          <c:cat>
            <c:strRef>
              <c:f>'Sub_category rate'!$A$5:$A$29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'Sub_category rate'!$D$5:$D$29</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6A97-46D3-A829-C0C33B4F6EF6}"/>
            </c:ext>
          </c:extLst>
        </c:ser>
        <c:ser>
          <c:idx val="3"/>
          <c:order val="3"/>
          <c:tx>
            <c:strRef>
              <c:f>'Sub_category rate'!$E$3:$E$4</c:f>
              <c:strCache>
                <c:ptCount val="1"/>
                <c:pt idx="0">
                  <c:v>successful</c:v>
                </c:pt>
              </c:strCache>
            </c:strRef>
          </c:tx>
          <c:spPr>
            <a:solidFill>
              <a:srgbClr val="00B050"/>
            </a:solidFill>
            <a:ln>
              <a:noFill/>
            </a:ln>
            <a:effectLst/>
            <a:sp3d/>
          </c:spPr>
          <c:invertIfNegative val="0"/>
          <c:cat>
            <c:strRef>
              <c:f>'Sub_category rate'!$A$5:$A$29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'Sub_category rate'!$E$5:$E$29</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6A97-46D3-A829-C0C33B4F6EF6}"/>
            </c:ext>
          </c:extLst>
        </c:ser>
        <c:dLbls>
          <c:showLegendKey val="0"/>
          <c:showVal val="0"/>
          <c:showCatName val="0"/>
          <c:showSerName val="0"/>
          <c:showPercent val="0"/>
          <c:showBubbleSize val="0"/>
        </c:dLbls>
        <c:gapWidth val="150"/>
        <c:shape val="box"/>
        <c:axId val="1141728383"/>
        <c:axId val="1141728863"/>
        <c:axId val="0"/>
      </c:bar3DChart>
      <c:catAx>
        <c:axId val="1141728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28863"/>
        <c:crosses val="autoZero"/>
        <c:auto val="1"/>
        <c:lblAlgn val="ctr"/>
        <c:lblOffset val="100"/>
        <c:noMultiLvlLbl val="0"/>
      </c:catAx>
      <c:valAx>
        <c:axId val="114172886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72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 Steve Ans.xlsx]Monthly Analysis!PivotTable19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Multi-Year Monthly Outcome</a:t>
            </a:r>
            <a:endParaRPr lang="en-US"/>
          </a:p>
        </c:rich>
      </c:tx>
      <c:layout>
        <c:manualLayout>
          <c:xMode val="edge"/>
          <c:yMode val="edge"/>
          <c:x val="0.28478529038118094"/>
          <c:y val="0.1368475865650483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18594460571618"/>
          <c:y val="0.25156751239428404"/>
          <c:w val="0.69614085739282594"/>
          <c:h val="0.50278776650244927"/>
        </c:manualLayout>
      </c:layout>
      <c:lineChart>
        <c:grouping val="standard"/>
        <c:varyColors val="0"/>
        <c:ser>
          <c:idx val="0"/>
          <c:order val="0"/>
          <c:tx>
            <c:strRef>
              <c:f>'Monthly Analysis'!$B$4:$B$5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'Monthly Analysis'!$A$6:$A$18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Analysis'!$B$6:$B$18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8D8A-45FA-B352-306B9543DDB8}"/>
            </c:ext>
          </c:extLst>
        </c:ser>
        <c:ser>
          <c:idx val="1"/>
          <c:order val="1"/>
          <c:tx>
            <c:strRef>
              <c:f>'Monthly Analysis'!$C$4:$C$5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'Monthly Analysis'!$A$6:$A$18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Analysis'!$C$6:$C$18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8D8A-45FA-B352-306B9543DDB8}"/>
            </c:ext>
          </c:extLst>
        </c:ser>
        <c:ser>
          <c:idx val="2"/>
          <c:order val="2"/>
          <c:tx>
            <c:strRef>
              <c:f>'Monthly Analysis'!$D$4:$D$5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'Monthly Analysis'!$A$6:$A$18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Analysis'!$D$6:$D$18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8D8A-45FA-B352-306B9543DDB8}"/>
            </c:ext>
          </c:extLst>
        </c:ser>
        <c:dLbls>
          <c:showLegendKey val="0"/>
          <c:showVal val="0"/>
          <c:showCatName val="0"/>
          <c:showSerName val="0"/>
          <c:showPercent val="0"/>
          <c:showBubbleSize val="0"/>
        </c:dLbls>
        <c:marker val="1"/>
        <c:smooth val="0"/>
        <c:axId val="903585999"/>
        <c:axId val="903589359"/>
      </c:lineChart>
      <c:catAx>
        <c:axId val="903585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Multi-Year Monthly Results</a:t>
                </a:r>
                <a:endParaRPr lang="en-US"/>
              </a:p>
            </c:rich>
          </c:tx>
          <c:layout>
            <c:manualLayout>
              <c:xMode val="edge"/>
              <c:yMode val="edge"/>
              <c:x val="0.33398551213834049"/>
              <c:y val="0.847753870338400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589359"/>
        <c:crosses val="autoZero"/>
        <c:auto val="1"/>
        <c:lblAlgn val="ctr"/>
        <c:lblOffset val="100"/>
        <c:noMultiLvlLbl val="0"/>
      </c:catAx>
      <c:valAx>
        <c:axId val="90358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 Rate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585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 oon</dc:creator>
  <cp:keywords/>
  <dc:description/>
  <cp:lastModifiedBy>arjo oon</cp:lastModifiedBy>
  <cp:revision>2</cp:revision>
  <dcterms:created xsi:type="dcterms:W3CDTF">2023-07-25T14:27:00Z</dcterms:created>
  <dcterms:modified xsi:type="dcterms:W3CDTF">2023-07-25T14:27:00Z</dcterms:modified>
</cp:coreProperties>
</file>