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Outage-Aware Reporting and Loss Recovery for Energy-Efficient River Water-Quality Telemetry over LPWANs</w:t>
      </w:r>
    </w:p>
    <w:p>
      <w:pPr>
        <w:pStyle w:val="Author"/>
      </w:pPr>
      <w:r>
        <w:t xml:space="preserve">Kofi Sarpong Adu-Manu and Stephen Kwaku Azongo</w:t>
      </w:r>
      <w:r>
        <w:t xml:space="preserve"> </w:t>
      </w:r>
    </w:p>
    <w:p>
      <w:pPr>
        <w:pStyle w:val="Abstract"/>
      </w:pPr>
      <w:r>
        <w:rPr>
          <w:rStyle w:val="FootnoteReference"/>
        </w:rPr>
        <w:footnoteReference w:id="9" w:customMarkFollows="1"/>
      </w:r>
      <w:r>
        <w:rPr>
          <w:b/>
          <w:i/>
        </w:rPr>
        <w:t xml:space="preserve">Abstract—</w:t>
      </w:r>
      <w:r>
        <w:t xml:space="preserve">Battery-powered river water-quality nodes lose data, yet retransmission, buffering, and reconstruction are analysed for short, independent losses. This study measures the loss in four real systems: two water-quality deployments and two LoRaWAN networks. Losses fall into short radio losses and rarer long delivery gaps, which hold most of the missing data in the water-quality deployments; a geometric gap-length model fits worst on every record. Replayed through a measurement-parameterised LoRaWAN and NB-IoT energy model, retransmission recovers under a fifth of the missing readings even under optimistic retry timing, at 2.3</w:t>
      </w:r>
      <m:oMath>
        <m:r>
          <m:rPr>
            <m:sty m:val="p"/>
          </m:rPr>
          <m:t>×</m:t>
        </m:r>
      </m:oMath>
      <w:r>
        <w:t xml:space="preserve">–7.3</w:t>
      </w:r>
      <m:oMath>
        <m:r>
          <m:rPr>
            <m:sty m:val="p"/>
          </m:rPr>
          <m:t>×</m:t>
        </m:r>
      </m:oMath>
      <w:r>
        <w:t xml:space="preserve"> </w:t>
      </w:r>
      <w:r>
        <w:t xml:space="preserve">the energy of unconfirmed reporting on LoRaWAN, whereas buffering with back-off recovers every generated reading at an energy close to that of recovering nothing. Neither simple nor deep reconstruction keeps most day-long gaps within tolerance. Bounded event-driven batching combines hourly batches, immediate alarms, a bounded-error trigger, and buffering with back-off. Tested with frozen rules on held-out data from 33 river sites, it matches per-reading reporting on alarm latency and on the real-time picture, while per-reading retransmission uses 1.34</w:t>
      </w:r>
      <m:oMath>
        <m:r>
          <m:rPr>
            <m:sty m:val="p"/>
          </m:rPr>
          <m:t>×</m:t>
        </m:r>
      </m:oMath>
      <w:r>
        <w:t xml:space="preserve">–2.55</w:t>
      </w:r>
      <m:oMath>
        <m:r>
          <m:rPr>
            <m:sty m:val="p"/>
          </m:rPr>
          <m:t>×</m:t>
        </m:r>
      </m:oMath>
      <w:r>
        <w:t xml:space="preserve"> </w:t>
      </w:r>
      <w:r>
        <w:t xml:space="preserve">as much energy. Recovery of many nodes after a shared outage requires randomised probes, and large SF12 cells are limited by the gateway’s acknowledgements.</w:t>
      </w:r>
    </w:p>
    <w:p>
      <w:pPr>
        <w:pStyle w:val="Abstract"/>
        <w:spacing w:before="120" w:after="120"/>
      </w:pPr>
      <w:r>
        <w:rPr>
          <w:b/>
          <w:i/>
        </w:rPr>
        <w:t xml:space="preserve">Index Terms—</w:t>
      </w:r>
      <w:r>
        <w:t xml:space="preserve">Delivery gaps, network outages, store-and-forward, ARQ, LoRaWAN, NB-IoT, energy efficiency, water-quality monitoring, data reconstruction, event detection.</w:t>
      </w:r>
    </w:p>
    <w:bookmarkStart w:id="10" w:name="sec:intro"/>
    <w:p>
      <w:pPr>
        <w:pStyle w:val="Heading1"/>
      </w:pPr>
      <w:r>
        <w:t xml:space="preserve">I. Introduction</w:t>
      </w:r>
    </w:p>
    <w:p>
      <w:pPr>
        <w:pStyle w:val="FirstParagraph"/>
      </w:pPr>
      <w:r>
        <w:t xml:space="preserve">River and reservoir monitoring using in situ sensor nodes must work where field visits are expensive and power is scarce </w:t>
      </w:r>
      <w:r>
        <w:t xml:space="preserve">[1], [2]</w:t>
      </w:r>
      <w:r>
        <w:t xml:space="preserve">. A typical node samples temperature (T), specific conductance (EC), dissolved oxygen (DO), and pH every 5–30 min and sends the readings over a cellular or low-power wide-area network (LPWAN). Such nodes lose data. The InWaterSense deployment on the Sitnica river in Kosovo missed 46.0% of its expected readings </w:t>
      </w:r>
      <w:r>
        <w:t xml:space="preserve">[3]</w:t>
      </w:r>
      <w:r>
        <w:t xml:space="preserve">; the CSIRO water-quality network in Australia averaged approximately 64% delivery because the gateway’s connection to the server</w:t>
      </w:r>
      <w:r>
        <w:t xml:space="preserve"> </w:t>
      </w:r>
      <w:r>
        <w:t xml:space="preserve">“was down occasionally”</w:t>
      </w:r>
      <w:r>
        <w:t xml:space="preserve"> </w:t>
      </w:r>
      <w:r>
        <w:t xml:space="preserve">[4]</w:t>
      </w:r>
      <w:r>
        <w:t xml:space="preserve">; and deployment reports describe gateways that lose power every night </w:t>
      </w:r>
      <w:r>
        <w:t xml:space="preserve">[5]</w:t>
      </w:r>
      <w:r>
        <w:t xml:space="preserve">, sinks that stop reconnecting until rebooted </w:t>
      </w:r>
      <w:r>
        <w:t xml:space="preserve">[6], [7]</w:t>
      </w:r>
      <w:r>
        <w:t xml:space="preserve">, and outages of days to weeks </w:t>
      </w:r>
      <w:r>
        <w:t xml:space="preserve">[8], [9]</w:t>
      </w:r>
      <w:r>
        <w:t xml:space="preserve">.</w:t>
      </w:r>
    </w:p>
    <w:p>
      <w:pPr>
        <w:pStyle w:val="BodyText"/>
      </w:pPr>
      <w:r>
        <w:t xml:space="preserve">A node can retransmit a lost reading until it is acknowledged (automatic repeat request, ARQ), buffer it and backfill it later, or leave the server to reconstruct it from the site’s history or its neighbours. The correct response depends on how data are lost: retransmission helps against a short radio fade but wastes energy against a gateway that is down for a day, and reconstruction can fill ten minutes but not a week. Yet, the analyses behind these remedies assume short losses: estimation over lossy links uses independent or short-memory (Markov fading) packet errors </w:t>
      </w:r>
      <w:r>
        <w:t xml:space="preserve">[10], [11], [12]</w:t>
      </w:r>
      <w:r>
        <w:t xml:space="preserve">, and imputation methods are evaluated on random masks or simulated failures of a few hours </w:t>
      </w:r>
      <w:r>
        <w:t xml:space="preserve">[13], [14], [15], [16]</w:t>
      </w:r>
      <w:r>
        <w:t xml:space="preserve">. How long real delivery gaps last, how much of the missing data they hold, and what this implies for the energy and timeliness of each remedy have not been measured for environmental telemetry.</w:t>
      </w:r>
    </w:p>
    <w:p>
      <w:pPr>
        <w:pStyle w:val="BodyText"/>
      </w:pPr>
      <w:r>
        <w:t xml:space="preserve">The contribution of this study is not a new retransmission or prediction primitive; ARQ, buffering, back-off, batching, and error-bounded (dual-prediction) reporting are established. It is an evidence-to-design chain for outage-aware, energy-efficient telemetry. Real delivery records measure how long losses last and where the missing data are. The records are replayed through a measurement-parameterised LPWAN energy model, with explicit bounds on what they cannot show (why a reading is missing, and when within a slot the network returned), to decide when each remedy pays. The resulting reporting design is fixed on one year of river data and tested on a held-out year. Four research questions structure the paper:</w:t>
      </w:r>
    </w:p>
    <w:p>
      <w:pPr>
        <w:pStyle w:val="BodyText"/>
        <w:ind w:left="560" w:hanging="560"/>
      </w:pPr>
      <w:r>
        <w:rPr/>
        <w:t xml:space="preserve">RQ1</w:t>
        <w:tab/>
      </w:r>
      <w:r>
        <w:t xml:space="preserve">In the records studied, how long are the delivery gaps, how much of the missing data do long gaps hold, and is a geometric (memoryless) gap-length model adequate?</w:t>
      </w:r>
    </w:p>
    <w:p>
      <w:pPr>
        <w:pStyle w:val="BodyText"/>
        <w:ind w:left="560" w:hanging="560"/>
      </w:pPr>
      <w:r>
        <w:rPr/>
        <w:t xml:space="preserve">RQ2</w:t>
        <w:tab/>
      </w:r>
      <w:r>
        <w:t xml:space="preserve">Under these gaps, what do retransmission, buffering with back-off, and batching recover, at what energy and delay, on LoRaWAN and NB-IoT?</w:t>
      </w:r>
    </w:p>
    <w:p>
      <w:pPr>
        <w:pStyle w:val="BodyText"/>
        <w:ind w:left="560" w:hanging="560"/>
      </w:pPr>
      <w:r>
        <w:rPr/>
        <w:t xml:space="preserve">RQ3</w:t>
        <w:tab/>
      </w:r>
      <w:r>
        <w:t xml:space="preserve">Can reconstruction from a site’s own history or its neighbours replace delivery during a gap?</w:t>
      </w:r>
    </w:p>
    <w:p>
      <w:pPr>
        <w:pStyle w:val="BodyText"/>
        <w:ind w:left="560" w:hanging="560"/>
      </w:pPr>
      <w:r>
        <w:rPr/>
        <w:t xml:space="preserve">RQ4</w:t>
        <w:tab/>
      </w:r>
      <w:r>
        <w:t xml:space="preserve">Can one reporting scheme raise alarms as fast as per-reading reporting and keep the server’s real-time picture within a stated tolerance as often, at substantially less energy than per-reading retransmission, on data not used for its design?</w:t>
      </w:r>
    </w:p>
    <w:p>
      <w:pPr>
        <w:pStyle w:val="BodyText"/>
      </w:pPr>
      <w:r>
        <w:t xml:space="preserve">The contributions are as follows:</w:t>
      </w:r>
    </w:p>
    <w:p>
      <w:pPr>
        <w:numPr>
          <w:ilvl w:val="0"/>
          <w:numId w:val="1001"/>
        </w:numPr>
      </w:pPr>
      <w:r>
        <w:t xml:space="preserve">Empirical loss structure (Section IV): In four records, two water-quality deployments and two LoRaWAN networks, losses fall into short radio losses and rare long delivery gaps, which hold most of the missing readings in the water-quality records. A geometric gap-length model is strongly unsupported relative to the alternatives and fails worst in the long-gap tail. Where the records allow it, the cause of long gaps is traced.</w:t>
      </w:r>
    </w:p>
    <w:p>
      <w:pPr>
        <w:numPr>
          <w:ilvl w:val="0"/>
          <w:numId w:val="1001"/>
        </w:numPr>
      </w:pPr>
      <w:r>
        <w:t xml:space="preserve">Consequence analysis with explicit bounds (Sections V and VI): ARQ recovers under a fifth of the missing readings even under optimistic retry timing, at 2.3</w:t>
      </w:r>
      <m:oMath>
        <m:r>
          <m:rPr>
            <m:sty m:val="p"/>
          </m:rPr>
          <m:t>×</m:t>
        </m:r>
      </m:oMath>
      <w:r>
        <w:t xml:space="preserve">–7.3</w:t>
      </w:r>
      <m:oMath>
        <m:r>
          <m:rPr>
            <m:sty m:val="p"/>
          </m:rPr>
          <m:t>×</m:t>
        </m:r>
      </m:oMath>
      <w:r>
        <w:t xml:space="preserve"> </w:t>
      </w:r>
      <w:r>
        <w:t xml:space="preserve">the energy of unconfirmed reporting on LoRaWAN, whereas buffering with back-off recovers every generated reading at an energy close to that of recovering nothing. The results are bracketed for the unknown cause of gaps, retry timing, storage, the duty cycle, model uncertainty, and many nodes recovering simultaneously. The evaluated reconstruction estimators, including two deep imputers, keep few day-long gaps within tolerance.</w:t>
      </w:r>
    </w:p>
    <w:p>
      <w:pPr>
        <w:numPr>
          <w:ilvl w:val="0"/>
          <w:numId w:val="1001"/>
        </w:numPr>
      </w:pPr>
      <w:r>
        <w:t xml:space="preserve">An outage-aware reporting design, confirmed on held-out data (Section VII): Bounded event-driven batching combines hourly batches, immediate alarm uploads, a bounded-error trigger that mirrors the server’s estimate, and buffering with back-off. It was developed at 30 USGS river sites in 2023 and tested, with its rules frozen, at 33 sites in 2024.</w:t>
      </w:r>
    </w:p>
    <w:p>
      <w:pPr>
        <w:pStyle w:val="FirstParagraph"/>
      </w:pPr>
      <w:r>
        <w:t xml:space="preserve">Scope: The two water-quality records cannot fully separate a network outage from a node that stopped producing readings; therefore, the paper speaks of delivery gaps and treats buffering’s recovery as an upper bound. Energy comes from a model parameterised by published measurements, not from hardware built for this study, and the claims are ratios between strategies on the same radio. A supplement provides the details behind each section.</w:t>
      </w:r>
    </w:p>
    <w:p>
      <w:pPr>
        <w:pStyle w:val="BodyText"/>
      </w:pPr>
      <w:r>
        <w:t xml:space="preserve">Section II reviews related work. Section III describes the data and models. Sections IV–VII answer RQ1–RQ4, and Section VIII discusses guidance and limitations.</w:t>
      </w:r>
    </w:p>
    <w:bookmarkEnd w:id="10"/>
    <w:bookmarkStart w:id="12" w:name="sec:related"/>
    <w:p>
      <w:pPr>
        <w:pStyle w:val="Heading1"/>
      </w:pPr>
      <w:r>
        <w:t xml:space="preserve">II. Related Work</w:t>
      </w:r>
    </w:p>
    <w:p>
      <w:pPr>
        <w:pStyle w:val="FirstParagraph"/>
      </w:pPr>
      <w:r>
        <w:t xml:space="preserve">How sensor networks lose data: Packet delivery in dense sensor networks varies widely between links and over time </w:t>
      </w:r>
      <w:r>
        <w:t xml:space="preserve">[17]</w:t>
      </w:r>
      <w:r>
        <w:t xml:space="preserve">. Kong et al. </w:t>
      </w:r>
      <w:r>
        <w:t xml:space="preserve">[13]</w:t>
      </w:r>
      <w:r>
        <w:t xml:space="preserve"> </w:t>
      </w:r>
      <w:r>
        <w:t xml:space="preserve">analysed three real datasets with losses of 23–64% and identified five loss patterns, from random loss to</w:t>
      </w:r>
      <w:r>
        <w:t xml:space="preserve"> </w:t>
      </w:r>
      <w:r>
        <w:t xml:space="preserve">“successive loss in a row”</w:t>
      </w:r>
      <w:r>
        <w:t xml:space="preserve"> </w:t>
      </w:r>
      <w:r>
        <w:t xml:space="preserve">when a node fails, without measuring durations. Deployment reports describe long gaps anecdotally: a gateway losing its server connection </w:t>
      </w:r>
      <w:r>
        <w:t xml:space="preserve">[4]</w:t>
      </w:r>
      <w:r>
        <w:t xml:space="preserve">, nightly gateway power loss </w:t>
      </w:r>
      <w:r>
        <w:t xml:space="preserve">[5]</w:t>
      </w:r>
      <w:r>
        <w:t xml:space="preserve">, sinks and modems that stop until reset </w:t>
      </w:r>
      <w:r>
        <w:t xml:space="preserve">[6], [7]</w:t>
      </w:r>
      <w:r>
        <w:t xml:space="preserve">, and LoRaWAN outages of days to weeks </w:t>
      </w:r>
      <w:r>
        <w:t xml:space="preserve">[8]</w:t>
      </w:r>
      <w:r>
        <w:t xml:space="preserve">. Public LoRaWAN datasets now allow loss to be measured from frame counters: LoED </w:t>
      </w:r>
      <w:r>
        <w:t xml:space="preserve">[18]</w:t>
      </w:r>
      <w:r>
        <w:t xml:space="preserve"> </w:t>
      </w:r>
      <w:r>
        <w:t xml:space="preserve">and a 16-month deployment at the University of Virginia (UVA) </w:t>
      </w:r>
      <w:r>
        <w:t xml:space="preserve">[19]</w:t>
      </w:r>
      <w:r>
        <w:t xml:space="preserve">.</w:t>
      </w:r>
    </w:p>
    <w:p>
      <w:pPr>
        <w:pStyle w:val="BodyText"/>
      </w:pPr>
      <w:r>
        <w:t xml:space="preserve">Estimation and retransmission: Kalman filtering with intermittent observations was analysed under independent arrivals </w:t>
      </w:r>
      <w:r>
        <w:t xml:space="preserve">[10]</w:t>
      </w:r>
      <w:r>
        <w:t xml:space="preserve">; remote estimation asks whether to retransmit a failed packet or send a fresh one under independent or Markov fading channels </w:t>
      </w:r>
      <w:r>
        <w:t xml:space="preserve">[11], [12]</w:t>
      </w:r>
      <w:r>
        <w:t xml:space="preserve">, and the age of information formalises timeliness </w:t>
      </w:r>
      <w:r>
        <w:t xml:space="preserve">[20], [21]</w:t>
      </w:r>
      <w:r>
        <w:t xml:space="preserve">. Application-layer coding recovers LoRaWAN frames lost to the radio </w:t>
      </w:r>
      <w:r>
        <w:t xml:space="preserve">[22]</w:t>
      </w:r>
      <w:r>
        <w:t xml:space="preserve">. None of these solutions addresses periods of days with no communication.</w:t>
      </w:r>
    </w:p>
    <w:p>
      <w:pPr>
        <w:pStyle w:val="BodyText"/>
      </w:pPr>
      <w:r>
        <w:t xml:space="preserve">Reconstruction: Compressive and low-rank gathering </w:t>
      </w:r>
      <w:r>
        <w:t xml:space="preserve">[23], [24], [25]</w:t>
      </w:r>
      <w:r>
        <w:t xml:space="preserve">, and deep spatio-temporal imputation with graph networks </w:t>
      </w:r>
      <w:r>
        <w:t xml:space="preserve">[14], [15], [26], [27]</w:t>
      </w:r>
      <w:r>
        <w:t xml:space="preserve"> </w:t>
      </w:r>
      <w:r>
        <w:t xml:space="preserve">or self-attention </w:t>
      </w:r>
      <w:r>
        <w:t xml:space="preserve">[28], [29]</w:t>
      </w:r>
      <w:r>
        <w:t xml:space="preserve">, exploit spatial and temporal correlation. Their evaluations use random losses </w:t>
      </w:r>
      <w:r>
        <w:t xml:space="preserve">[16]</w:t>
      </w:r>
      <w:r>
        <w:t xml:space="preserve"> </w:t>
      </w:r>
      <w:r>
        <w:t xml:space="preserve">or simulated blocks of 1–4 h </w:t>
      </w:r>
      <w:r>
        <w:t xml:space="preserve">[14], [15]</w:t>
      </w:r>
      <w:r>
        <w:t xml:space="preserve">, without a per-site diel baseline, although many such signals have strong day–night cycles. River networks have a specific spatial structure along the flow </w:t>
      </w:r>
      <w:r>
        <w:t xml:space="preserve">[30]</w:t>
      </w:r>
      <w:r>
        <w:t xml:space="preserve">.</w:t>
      </w:r>
    </w:p>
    <w:p>
      <w:pPr>
        <w:pStyle w:val="BodyText"/>
      </w:pPr>
      <w:r>
        <w:t xml:space="preserve">Store-and-forward and energy: Node-side buffering is an established practice </w:t>
      </w:r>
      <w:r>
        <w:t xml:space="preserve">[4], [5], [8], [31], [32]</w:t>
      </w:r>
      <w:r>
        <w:t xml:space="preserve">, as is gateway-side storage during backhaul outages </w:t>
      </w:r>
      <w:r>
        <w:t xml:space="preserve">[9]</w:t>
      </w:r>
      <w:r>
        <w:t xml:space="preserve">; reports also note that draining a backlog can starve live traffic </w:t>
      </w:r>
      <w:r>
        <w:t xml:space="preserve">[6]</w:t>
      </w:r>
      <w:r>
        <w:t xml:space="preserve"> </w:t>
      </w:r>
      <w:r>
        <w:t xml:space="preserve">and that storage fails </w:t>
      </w:r>
      <w:r>
        <w:t xml:space="preserve">[32]</w:t>
      </w:r>
      <w:r>
        <w:t xml:space="preserve">. LPWAN energy rests on measured LoRaWAN </w:t>
      </w:r>
      <w:r>
        <w:t xml:space="preserve">[33]</w:t>
      </w:r>
      <w:r>
        <w:t xml:space="preserve"> </w:t>
      </w:r>
      <w:r>
        <w:t xml:space="preserve">and NB-IoT </w:t>
      </w:r>
      <w:r>
        <w:t xml:space="preserve">[34], [35]</w:t>
      </w:r>
      <w:r>
        <w:t xml:space="preserve"> </w:t>
      </w:r>
      <w:r>
        <w:t xml:space="preserve">profiles and models </w:t>
      </w:r>
      <w:r>
        <w:t xml:space="preserve">[36], [37]</w:t>
      </w:r>
      <w:r>
        <w:t xml:space="preserve">. Dual prediction transmits only when the server’s prediction would leave a tolerance </w:t>
      </w:r>
      <w:r>
        <w:t xml:space="preserve">[38], [39]</w:t>
      </w:r>
      <w:r>
        <w:t xml:space="preserve">, and it was recently combined with adaptive sampling under an energy budget </w:t>
      </w:r>
      <w:r>
        <w:t xml:space="preserve">[40]</w:t>
      </w:r>
      <w:r>
        <w:t xml:space="preserve">; it is used to suppress reports over reliable or independently lossy links.</w:t>
      </w:r>
    </w:p>
    <w:p>
      <w:pPr>
        <w:pStyle w:val="BodyText"/>
      </w:pPr>
      <w:r>
        <w:t xml:space="preserve">What is missing is a quantitative comparison of these remedies in terms of energy, completeness, and timeliness under measured gap processes (Table I). This study also reuses dual prediction for a different purpose: to make an hourly batch leave early when the server’s estimate would leave tolerance.</w:t>
      </w:r>
    </w:p>
    <w:bookmarkStart w:id="11" w:name="tab:related"/>
    <w:p>
      <w:pPr>
        <w:pStyle w:val="TableCaption"/>
        <w:spacing w:before="200" w:after="0"/>
      </w:pPr>
      <w:r>
        <w:rPr/>
        <w:t xml:space="preserve">Table I</w:t>
      </w:r>
    </w:p>
    <w:p>
      <w:pPr>
        <w:pStyle w:val="TableCaption"/>
      </w:pPr>
      <w:r>
        <w:t xml:space="preserve">Closest related work. Gap durations: measured from data, reported without measurement, assumed in a model, or simulated. All four: ARQ, buffering, batching, and reconstruction. –: not addressed.</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I:N:S@@Closest related work. Gap durations: measured from data, reported without measurement, assumed in a model, or simulated. All four: ARQ, buffering, batching, and reconstruction. –: not addressed."/>
      </w:tblPr>
      <w:tblGrid>
        <w:gridCol w:w="1584"/>
        <w:gridCol w:w="1584"/>
        <w:gridCol w:w="1584"/>
        <w:gridCol w:w="1584"/>
        <w:gridCol w:w="1584"/>
      </w:tblGrid>
      <w:tr>
        <w:trPr>
          <w:cantSplit/>
          <w:tblHeader w:val="on"/>
        </w:trPr>
        <w:tc>
          <w:tcPr>
            <w:tcBorders>
              <w:bottom w:val="single" w:sz="4" w:space="0" w:color="000000"/>
            </w:tcBorders>
          </w:tcPr>
          <w:p>
            <w:pPr>
              <w:pStyle w:val="Compact"/>
              <w:keepNext/>
              <w:spacing w:before="10" w:after="10"/>
              <w:ind w:firstLine="0"/>
              <w:jc w:val="left"/>
              <w:rPr>
                <w:sz w:val="14"/>
                <w:szCs w:val="14"/>
              </w:rPr>
            </w:pPr>
            <w:r>
              <w:rPr>
                <w:sz w:val="14"/>
                <w:szCs w:val="14"/>
              </w:rPr>
              <w:t xml:space="preserve">Work</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Gap durations</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Remedies compared</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Energy</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Held-out test</w:t>
            </w:r>
          </w:p>
        </w:tc>
      </w:tr>
      <w:tr>
        <w:trPr>
          <w:cantSplit/>
        </w:trPr>
        <w:tc>
          <w:tcPr/>
          <w:p>
            <w:pPr>
              <w:pStyle w:val="Compact"/>
              <w:keepNext/>
              <w:spacing w:before="10" w:after="10"/>
              <w:ind w:firstLine="0"/>
              <w:jc w:val="left"/>
              <w:rPr>
                <w:sz w:val="14"/>
                <w:szCs w:val="14"/>
              </w:rPr>
            </w:pPr>
            <w:r>
              <w:rPr>
                <w:sz w:val="14"/>
                <w:szCs w:val="14"/>
              </w:rPr>
              <w:t xml:space="preserve">Kong </w:t>
            </w:r>
            <w:r>
              <w:rPr>
                <w:sz w:val="14"/>
                <w:szCs w:val="14"/>
              </w:rPr>
              <w:t xml:space="preserve">[13]</w:t>
            </w:r>
          </w:p>
        </w:tc>
        <w:tc>
          <w:tcPr/>
          <w:p>
            <w:pPr>
              <w:pStyle w:val="Compact"/>
              <w:keepNext/>
              <w:spacing w:before="10" w:after="10"/>
              <w:ind w:firstLine="0"/>
              <w:jc w:val="left"/>
              <w:rPr>
                <w:sz w:val="14"/>
                <w:szCs w:val="14"/>
              </w:rPr>
            </w:pPr>
            <w:r>
              <w:rPr>
                <w:sz w:val="14"/>
                <w:szCs w:val="14"/>
              </w:rPr>
              <w:t xml:space="preserve">reported</w:t>
            </w:r>
          </w:p>
        </w:tc>
        <w:tc>
          <w:tcPr/>
          <w:p>
            <w:pPr>
              <w:pStyle w:val="Compact"/>
              <w:keepNext/>
              <w:spacing w:before="10" w:after="10"/>
              <w:ind w:firstLine="0"/>
              <w:jc w:val="left"/>
              <w:rPr>
                <w:sz w:val="14"/>
                <w:szCs w:val="14"/>
              </w:rPr>
            </w:pPr>
            <w:r>
              <w:rPr>
                <w:sz w:val="14"/>
                <w:szCs w:val="14"/>
              </w:rPr>
              <w:t xml:space="preserve">reconstruction</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keepNext/>
              <w:spacing w:before="10" w:after="10"/>
              <w:ind w:firstLine="0"/>
              <w:jc w:val="left"/>
              <w:rPr>
                <w:sz w:val="14"/>
                <w:szCs w:val="14"/>
              </w:rPr>
            </w:pPr>
            <w:r>
              <w:rPr>
                <w:sz w:val="14"/>
                <w:szCs w:val="14"/>
              </w:rPr>
              <w:t xml:space="preserve">Deployments </w:t>
            </w:r>
            <w:r>
              <w:rPr>
                <w:sz w:val="14"/>
                <w:szCs w:val="14"/>
              </w:rPr>
              <w:t xml:space="preserve">[4], [6], [8], [32]</w:t>
            </w:r>
          </w:p>
        </w:tc>
        <w:tc>
          <w:tcPr/>
          <w:p>
            <w:pPr>
              <w:pStyle w:val="Compact"/>
              <w:keepNext/>
              <w:spacing w:before="10" w:after="10"/>
              <w:ind w:firstLine="0"/>
              <w:jc w:val="left"/>
              <w:rPr>
                <w:sz w:val="14"/>
                <w:szCs w:val="14"/>
              </w:rPr>
            </w:pPr>
            <w:r>
              <w:rPr>
                <w:sz w:val="14"/>
                <w:szCs w:val="14"/>
              </w:rPr>
              <w:t xml:space="preserve">reported</w:t>
            </w:r>
          </w:p>
        </w:tc>
        <w:tc>
          <w:tcPr/>
          <w:p>
            <w:pPr>
              <w:pStyle w:val="Compact"/>
              <w:keepNext/>
              <w:spacing w:before="10" w:after="10"/>
              <w:ind w:firstLine="0"/>
              <w:jc w:val="left"/>
              <w:rPr>
                <w:sz w:val="14"/>
                <w:szCs w:val="14"/>
              </w:rPr>
            </w:pPr>
            <w:r>
              <w:rPr>
                <w:sz w:val="14"/>
                <w:szCs w:val="14"/>
              </w:rPr>
              <w:t xml:space="preserve">buffering</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keepNext/>
              <w:spacing w:before="10" w:after="10"/>
              <w:ind w:firstLine="0"/>
              <w:jc w:val="left"/>
              <w:rPr>
                <w:sz w:val="14"/>
                <w:szCs w:val="14"/>
              </w:rPr>
            </w:pPr>
            <w:r>
              <w:rPr>
                <w:sz w:val="14"/>
                <w:szCs w:val="14"/>
              </w:rPr>
              <w:t xml:space="preserve">Huang </w:t>
            </w:r>
            <w:r>
              <w:rPr>
                <w:sz w:val="14"/>
                <w:szCs w:val="14"/>
              </w:rPr>
              <w:t xml:space="preserve">[11], [12]</w:t>
            </w:r>
          </w:p>
        </w:tc>
        <w:tc>
          <w:tcPr/>
          <w:p>
            <w:pPr>
              <w:pStyle w:val="Compact"/>
              <w:keepNext/>
              <w:spacing w:before="10" w:after="10"/>
              <w:ind w:firstLine="0"/>
              <w:jc w:val="left"/>
              <w:rPr>
                <w:sz w:val="14"/>
                <w:szCs w:val="14"/>
              </w:rPr>
            </w:pPr>
            <w:r>
              <w:rPr>
                <w:sz w:val="14"/>
                <w:szCs w:val="14"/>
              </w:rPr>
              <w:t xml:space="preserve">assumed</w:t>
            </w:r>
          </w:p>
        </w:tc>
        <w:tc>
          <w:tcPr/>
          <w:p>
            <w:pPr>
              <w:pStyle w:val="Compact"/>
              <w:keepNext/>
              <w:spacing w:before="10" w:after="10"/>
              <w:ind w:firstLine="0"/>
              <w:jc w:val="left"/>
              <w:rPr>
                <w:sz w:val="14"/>
                <w:szCs w:val="14"/>
              </w:rPr>
            </w:pPr>
            <w:r>
              <w:rPr>
                <w:sz w:val="14"/>
                <w:szCs w:val="14"/>
              </w:rPr>
              <w:t xml:space="preserve">retransmission</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keepNext/>
              <w:spacing w:before="10" w:after="10"/>
              <w:ind w:firstLine="0"/>
              <w:jc w:val="left"/>
              <w:rPr>
                <w:sz w:val="14"/>
                <w:szCs w:val="14"/>
              </w:rPr>
            </w:pPr>
            <w:r>
              <w:rPr>
                <w:sz w:val="14"/>
                <w:szCs w:val="14"/>
              </w:rPr>
              <w:t xml:space="preserve">GRIN, SPIN </w:t>
            </w:r>
            <w:r>
              <w:rPr>
                <w:sz w:val="14"/>
                <w:szCs w:val="14"/>
              </w:rPr>
              <w:t xml:space="preserve">[14], [15]</w:t>
            </w:r>
          </w:p>
        </w:tc>
        <w:tc>
          <w:tcPr/>
          <w:p>
            <w:pPr>
              <w:pStyle w:val="Compact"/>
              <w:keepNext/>
              <w:spacing w:before="10" w:after="10"/>
              <w:ind w:firstLine="0"/>
              <w:jc w:val="left"/>
              <w:rPr>
                <w:sz w:val="14"/>
                <w:szCs w:val="14"/>
              </w:rPr>
            </w:pPr>
            <w:r>
              <w:rPr>
                <w:sz w:val="14"/>
                <w:szCs w:val="14"/>
              </w:rPr>
              <w:t xml:space="preserve">simulated</w:t>
            </w:r>
          </w:p>
        </w:tc>
        <w:tc>
          <w:tcPr/>
          <w:p>
            <w:pPr>
              <w:pStyle w:val="Compact"/>
              <w:keepNext/>
              <w:spacing w:before="10" w:after="10"/>
              <w:ind w:firstLine="0"/>
              <w:jc w:val="left"/>
              <w:rPr>
                <w:sz w:val="14"/>
                <w:szCs w:val="14"/>
              </w:rPr>
            </w:pPr>
            <w:r>
              <w:rPr>
                <w:sz w:val="14"/>
                <w:szCs w:val="14"/>
              </w:rPr>
              <w:t xml:space="preserve">reconstruction</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keepNext/>
              <w:spacing w:before="10" w:after="10"/>
              <w:ind w:firstLine="0"/>
              <w:jc w:val="left"/>
              <w:rPr>
                <w:sz w:val="14"/>
                <w:szCs w:val="14"/>
              </w:rPr>
            </w:pPr>
            <w:r>
              <w:rPr>
                <w:sz w:val="14"/>
                <w:szCs w:val="14"/>
              </w:rPr>
              <w:t xml:space="preserve">Arnaiz </w:t>
            </w:r>
            <w:r>
              <w:rPr>
                <w:sz w:val="14"/>
                <w:szCs w:val="14"/>
              </w:rPr>
              <w:t xml:space="preserve">[40]</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dual prediction</w:t>
            </w:r>
          </w:p>
        </w:tc>
        <w:tc>
          <w:tcPr/>
          <w:p>
            <w:pPr>
              <w:pStyle w:val="Compact"/>
              <w:keepNext/>
              <w:spacing w:before="10" w:after="10"/>
              <w:ind w:firstLine="0"/>
              <w:jc w:val="left"/>
              <w:rPr>
                <w:sz w:val="14"/>
                <w:szCs w:val="14"/>
              </w:rPr>
            </w:pPr>
            <w:r>
              <w:rPr>
                <w:sz w:val="14"/>
                <w:szCs w:val="14"/>
              </w:rPr>
              <w:t xml:space="preserve">modelled</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spacing w:before="10" w:after="10"/>
              <w:ind w:firstLine="0"/>
              <w:jc w:val="left"/>
              <w:rPr>
                <w:sz w:val="14"/>
                <w:szCs w:val="14"/>
              </w:rPr>
            </w:pPr>
            <w:r>
              <w:rPr>
                <w:sz w:val="14"/>
                <w:szCs w:val="14"/>
              </w:rPr>
              <w:t xml:space="preserve">This study</w:t>
            </w:r>
          </w:p>
        </w:tc>
        <w:tc>
          <w:tcPr/>
          <w:p>
            <w:pPr>
              <w:pStyle w:val="Compact"/>
              <w:spacing w:before="10" w:after="10"/>
              <w:ind w:firstLine="0"/>
              <w:jc w:val="left"/>
              <w:rPr>
                <w:sz w:val="14"/>
                <w:szCs w:val="14"/>
              </w:rPr>
            </w:pPr>
            <w:r>
              <w:rPr>
                <w:sz w:val="14"/>
                <w:szCs w:val="14"/>
              </w:rPr>
              <w:t xml:space="preserve">measured</w:t>
            </w:r>
          </w:p>
        </w:tc>
        <w:tc>
          <w:tcPr/>
          <w:p>
            <w:pPr>
              <w:pStyle w:val="Compact"/>
              <w:spacing w:before="10" w:after="10"/>
              <w:ind w:firstLine="0"/>
              <w:jc w:val="left"/>
              <w:rPr>
                <w:sz w:val="14"/>
                <w:szCs w:val="14"/>
              </w:rPr>
            </w:pPr>
            <w:r>
              <w:rPr>
                <w:sz w:val="14"/>
                <w:szCs w:val="14"/>
              </w:rPr>
              <w:t xml:space="preserve">all four</w:t>
            </w:r>
          </w:p>
        </w:tc>
        <w:tc>
          <w:tcPr/>
          <w:p>
            <w:pPr>
              <w:pStyle w:val="Compact"/>
              <w:spacing w:before="10" w:after="10"/>
              <w:ind w:firstLine="0"/>
              <w:jc w:val="left"/>
              <w:rPr>
                <w:sz w:val="14"/>
                <w:szCs w:val="14"/>
              </w:rPr>
            </w:pPr>
            <w:r>
              <w:rPr>
                <w:sz w:val="14"/>
                <w:szCs w:val="14"/>
              </w:rPr>
              <w:t xml:space="preserve">ratios</w:t>
            </w:r>
          </w:p>
        </w:tc>
        <w:tc>
          <w:tcPr/>
          <w:p>
            <w:pPr>
              <w:pStyle w:val="Compact"/>
              <w:spacing w:before="10" w:after="10"/>
              <w:ind w:firstLine="0"/>
              <w:jc w:val="left"/>
              <w:rPr>
                <w:sz w:val="14"/>
                <w:szCs w:val="14"/>
              </w:rPr>
            </w:pPr>
            <w:r>
              <w:rPr>
                <w:sz w:val="14"/>
                <w:szCs w:val="14"/>
              </w:rPr>
              <w:t xml:space="preserve">yes</w:t>
            </w:r>
          </w:p>
        </w:tc>
      </w:tr>
    </w:tbl>
    <w:bookmarkEnd w:id="11"/>
    <w:bookmarkEnd w:id="12"/>
    <w:bookmarkStart w:id="18" w:name="sec:data"/>
    <w:p>
      <w:pPr>
        <w:pStyle w:val="Heading1"/>
      </w:pPr>
      <w:r>
        <w:t xml:space="preserve">III. Data and Models</w:t>
      </w:r>
    </w:p>
    <w:p>
      <w:pPr>
        <w:pStyle w:val="FirstParagraph"/>
      </w:pPr>
      <w:r>
        <w:t xml:space="preserve">The following terms are used throughout:</w:t>
      </w:r>
    </w:p>
    <w:p>
      <w:pPr>
        <w:numPr>
          <w:ilvl w:val="0"/>
          <w:numId w:val="1002"/>
        </w:numPr>
      </w:pPr>
      <w:r>
        <w:t xml:space="preserve">Reading: one sampling cycle of a node, i.e., the four parameters taken at one instant, which travel together. Time is divided into slots at the reporting cadence, one reading per slot.</w:t>
      </w:r>
    </w:p>
    <w:p>
      <w:pPr>
        <w:numPr>
          <w:ilvl w:val="0"/>
          <w:numId w:val="1002"/>
        </w:numPr>
      </w:pPr>
      <w:r>
        <w:t xml:space="preserve">Delivery gap: a run of slots for which no reading reaches the server, regardless of the cause.</w:t>
      </w:r>
    </w:p>
    <w:p>
      <w:pPr>
        <w:numPr>
          <w:ilvl w:val="0"/>
          <w:numId w:val="1002"/>
        </w:numPr>
      </w:pPr>
      <w:r>
        <w:t xml:space="preserve">System outage: a delivery gap verified to affect every node of a network (its gateway, backhaul, or server).</w:t>
      </w:r>
    </w:p>
    <w:p>
      <w:pPr>
        <w:numPr>
          <w:ilvl w:val="0"/>
          <w:numId w:val="1002"/>
        </w:numPr>
      </w:pPr>
      <w:r>
        <w:t xml:space="preserve">Radio loss: a frame lost while the rest of the path works.</w:t>
      </w:r>
    </w:p>
    <w:bookmarkStart w:id="14" w:name="sec:data-records"/>
    <w:p>
      <w:pPr>
        <w:pStyle w:val="Heading2"/>
      </w:pPr>
      <w:r>
        <w:t xml:space="preserve">A. Delivery records and the cause of gaps</w:t>
      </w:r>
    </w:p>
    <w:p>
      <w:pPr>
        <w:pStyle w:val="FirstParagraph"/>
      </w:pPr>
      <w:r>
        <w:t xml:space="preserve">The study uses four records of what a network delivered (Table II; details in Supplementary Section S1):</w:t>
      </w:r>
    </w:p>
    <w:p>
      <w:pPr>
        <w:numPr>
          <w:ilvl w:val="0"/>
          <w:numId w:val="1003"/>
        </w:numPr>
      </w:pPr>
      <w:r>
        <w:t xml:space="preserve">InWaterSense (Kosovo): node 1 on the Sitnica river </w:t>
      </w:r>
      <w:r>
        <w:t xml:space="preserve">[3], [41]</w:t>
      </w:r>
      <w:r>
        <w:t xml:space="preserve">, reporting approximately every 611 s from May 2015 to January 2016.</w:t>
      </w:r>
    </w:p>
    <w:p>
      <w:pPr>
        <w:numPr>
          <w:ilvl w:val="0"/>
          <w:numId w:val="1003"/>
        </w:numPr>
      </w:pPr>
      <w:r>
        <w:t xml:space="preserve">Weija (Ghana): nine parameter streams of one node, October 2018 to March 2019 </w:t>
      </w:r>
      <w:r>
        <w:t xml:space="preserve">[2]</w:t>
      </w:r>
      <w:r>
        <w:t xml:space="preserve">. Records marked as imputed do not count, and gap statistics use the conductivity stream (32.5-min cadence).</w:t>
      </w:r>
    </w:p>
    <w:p>
      <w:pPr>
        <w:numPr>
          <w:ilvl w:val="0"/>
          <w:numId w:val="1003"/>
        </w:numPr>
      </w:pPr>
      <w:r>
        <w:t xml:space="preserve">UVA (USA): ten LoRaWAN sensors reporting every 5 min through three gateways, February 2024 to June 2025 </w:t>
      </w:r>
      <w:r>
        <w:t xml:space="preserve">[19], [42]</w:t>
      </w:r>
      <w:r>
        <w:t xml:space="preserve">. Missing frames are found from frame counters and classed as system losses if no sensor reached the database in that 10-min bin, as gateway losses if all of the sensor’s gateways were silent, and as radio losses otherwise.</w:t>
      </w:r>
    </w:p>
    <w:p>
      <w:pPr>
        <w:numPr>
          <w:ilvl w:val="0"/>
          <w:numId w:val="1003"/>
        </w:numPr>
      </w:pPr>
      <w:r>
        <w:t xml:space="preserve">LoED (UK): uplinks heard by nine gateways </w:t>
      </w:r>
      <w:r>
        <w:t xml:space="preserve">[18], [43]</w:t>
      </w:r>
      <w:r>
        <w:t xml:space="preserve">, of which only well-heard devices (at least 200 frames, radio loss below 20%) are used.</w:t>
      </w:r>
    </w:p>
    <w:bookmarkStart w:id="13" w:name="tab:records"/>
    <w:p>
      <w:pPr>
        <w:pStyle w:val="TableCaption"/>
        <w:spacing w:before="200" w:after="0"/>
      </w:pPr>
      <w:r>
        <w:rPr/>
        <w:t xml:space="preserve">Table II</w:t>
      </w:r>
    </w:p>
    <w:p>
      <w:pPr>
        <w:pStyle w:val="TableCaption"/>
      </w:pPr>
      <w:r>
        <w:t xml:space="preserve">Delivery records. Loss: share of expected readings (InWaterSense, Weija) or frames (UVA, LoED) that did not arrive. Gaps: runs of missing slots or frames. Lost in</w:t>
      </w:r>
      <w:r>
        <w:t xml:space="preserve"> </w:t>
      </w:r>
      <m:oMath>
        <m:r>
          <m:rPr>
            <m:sty m:val="p"/>
          </m:rPr>
          <m:t>≥</m:t>
        </m:r>
      </m:oMath>
      <w:r>
        <w:t xml:space="preserve">1 d:</w:t>
      </w:r>
      <w:r>
        <w:t xml:space="preserve"> </w:t>
      </w:r>
      <m:oMath>
        <m:r>
          <m:t>S</m:t>
        </m:r>
        <m:r>
          <m:rPr>
            <m:sty m:val="p"/>
          </m:rPr>
          <m:t>(</m:t>
        </m:r>
        <m:r>
          <m:t>1</m:t>
        </m:r>
        <m:r>
          <m:t> </m:t>
        </m:r>
        <m:r>
          <m:rPr>
            <m:sty m:val="p"/>
          </m:rPr>
          <m:t>d</m:t>
        </m:r>
        <m:r>
          <m:rPr>
            <m:sty m:val="p"/>
          </m:rPr>
          <m:t>)</m:t>
        </m:r>
      </m:oMath>
      <w:r>
        <w:t xml:space="preserve"> </w:t>
      </w:r>
      <w:r>
        <w:t xml:space="preserve">in (1). Weija: conductivity stream (71.0%–100.0% over all nine streams). LoED: well-heard devices (radio loss).</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II:N:S@@Delivery records. Loss: share of expected readings (InWaterSense, Weija) or frames (UVA, LoED) that did not arrive. Gaps: runs of missing slots or frames. Lost in \ge1 d: S(1~\mathrm{d}) in (1). Weija: conductivity stream (71.0%–100.0% over all nine streams). LoED: well-heard devices (radio loss)."/>
      </w:tblPr>
      <w:tblGrid>
        <w:gridCol w:w="1320"/>
        <w:gridCol w:w="1320"/>
        <w:gridCol w:w="1320"/>
        <w:gridCol w:w="1320"/>
        <w:gridCol w:w="1320"/>
        <w:gridCol w:w="1320"/>
      </w:tblGrid>
      <w:tr>
        <w:trPr>
          <w:cantSplit/>
          <w:tblHeader w:val="on"/>
        </w:trPr>
        <w:tc>
          <w:tcPr>
            <w:tcBorders>
              <w:bottom w:val="single" w:sz="4" w:space="0" w:color="000000"/>
            </w:tcBorders>
          </w:tcPr>
          <w:p>
            <w:pPr>
              <w:pStyle w:val="Compact"/>
              <w:keepNext/>
              <w:spacing w:before="10" w:after="10"/>
              <w:ind w:firstLine="0"/>
              <w:jc w:val="left"/>
              <w:rPr>
                <w:sz w:val="14"/>
                <w:szCs w:val="14"/>
              </w:rPr>
            </w:pPr>
            <w:r>
              <w:rPr>
                <w:sz w:val="14"/>
                <w:szCs w:val="14"/>
              </w:rPr>
              <w:t xml:space="preserve">Record</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Type</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Slot</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Loss</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Gaps</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Lost in</w:t>
            </w:r>
            <w:r>
              <w:rPr>
                <w:sz w:val="14"/>
                <w:szCs w:val="14"/>
              </w:rPr>
              <w:t xml:space="preserve"> </w:t>
            </w:r>
            <m:oMath>
              <m:r>
                <m:rPr>
                  <m:sty m:val="p"/>
                </m:rPr>
                <w:rPr>
                  <w:sz w:val="14"/>
                  <w:szCs w:val="14"/>
                </w:rPr>
                <m:t>≥</m:t>
              </m:r>
            </m:oMath>
            <w:r>
              <w:rPr>
                <w:sz w:val="14"/>
                <w:szCs w:val="14"/>
              </w:rPr>
              <w:t xml:space="preserve">1 d</w:t>
            </w:r>
          </w:p>
        </w:tc>
      </w:tr>
      <w:tr>
        <w:trPr>
          <w:cantSplit/>
        </w:trPr>
        <w:tc>
          <w:tcPr/>
          <w:p>
            <w:pPr>
              <w:pStyle w:val="Compact"/>
              <w:keepNext/>
              <w:spacing w:before="10" w:after="10"/>
              <w:ind w:firstLine="0"/>
              <w:jc w:val="left"/>
              <w:rPr>
                <w:sz w:val="14"/>
                <w:szCs w:val="14"/>
              </w:rPr>
            </w:pPr>
            <w:r>
              <w:rPr>
                <w:sz w:val="14"/>
                <w:szCs w:val="14"/>
              </w:rPr>
              <w:t xml:space="preserve">InWaterSense</w:t>
            </w:r>
          </w:p>
        </w:tc>
        <w:tc>
          <w:tcPr/>
          <w:p>
            <w:pPr>
              <w:pStyle w:val="Compact"/>
              <w:keepNext/>
              <w:spacing w:before="10" w:after="10"/>
              <w:ind w:firstLine="0"/>
              <w:jc w:val="left"/>
              <w:rPr>
                <w:sz w:val="14"/>
                <w:szCs w:val="14"/>
              </w:rPr>
            </w:pPr>
            <w:r>
              <w:rPr>
                <w:sz w:val="14"/>
                <w:szCs w:val="14"/>
              </w:rPr>
              <w:t xml:space="preserve">water quality</w:t>
            </w:r>
          </w:p>
        </w:tc>
        <w:tc>
          <w:tcPr/>
          <w:p>
            <w:pPr>
              <w:pStyle w:val="Compact"/>
              <w:keepNext/>
              <w:spacing w:before="10" w:after="10"/>
              <w:ind w:firstLine="0"/>
              <w:jc w:val="left"/>
              <w:rPr>
                <w:sz w:val="14"/>
                <w:szCs w:val="14"/>
              </w:rPr>
            </w:pPr>
            <w:r>
              <w:rPr>
                <w:sz w:val="14"/>
                <w:szCs w:val="14"/>
              </w:rPr>
              <w:t xml:space="preserve">611 s</w:t>
            </w:r>
          </w:p>
        </w:tc>
        <w:tc>
          <w:tcPr/>
          <w:p>
            <w:pPr>
              <w:pStyle w:val="Compact"/>
              <w:keepNext/>
              <w:spacing w:before="10" w:after="10"/>
              <w:ind w:firstLine="0"/>
              <w:jc w:val="right"/>
              <w:rPr>
                <w:sz w:val="14"/>
                <w:szCs w:val="14"/>
              </w:rPr>
            </w:pPr>
            <w:r>
              <w:rPr>
                <w:sz w:val="14"/>
                <w:szCs w:val="14"/>
              </w:rPr>
              <w:t xml:space="preserve">46.0%</w:t>
            </w:r>
          </w:p>
        </w:tc>
        <w:tc>
          <w:tcPr/>
          <w:p>
            <w:pPr>
              <w:pStyle w:val="Compact"/>
              <w:keepNext/>
              <w:spacing w:before="10" w:after="10"/>
              <w:ind w:firstLine="0"/>
              <w:jc w:val="right"/>
              <w:rPr>
                <w:sz w:val="14"/>
                <w:szCs w:val="14"/>
              </w:rPr>
            </w:pPr>
            <w:r>
              <w:rPr>
                <w:sz w:val="14"/>
                <w:szCs w:val="14"/>
              </w:rPr>
              <w:t xml:space="preserve">1,619</w:t>
            </w:r>
          </w:p>
        </w:tc>
        <w:tc>
          <w:tcPr/>
          <w:p>
            <w:pPr>
              <w:pStyle w:val="Compact"/>
              <w:keepNext/>
              <w:spacing w:before="10" w:after="10"/>
              <w:ind w:firstLine="0"/>
              <w:jc w:val="right"/>
              <w:rPr>
                <w:sz w:val="14"/>
                <w:szCs w:val="14"/>
              </w:rPr>
            </w:pPr>
            <w:r>
              <w:rPr>
                <w:sz w:val="14"/>
                <w:szCs w:val="14"/>
              </w:rPr>
              <w:t xml:space="preserve">50.7%</w:t>
            </w:r>
          </w:p>
        </w:tc>
      </w:tr>
      <w:tr>
        <w:trPr>
          <w:cantSplit/>
        </w:trPr>
        <w:tc>
          <w:tcPr/>
          <w:p>
            <w:pPr>
              <w:pStyle w:val="Compact"/>
              <w:keepNext/>
              <w:spacing w:before="10" w:after="10"/>
              <w:ind w:firstLine="0"/>
              <w:jc w:val="left"/>
              <w:rPr>
                <w:sz w:val="14"/>
                <w:szCs w:val="14"/>
              </w:rPr>
            </w:pPr>
            <w:r>
              <w:rPr>
                <w:sz w:val="14"/>
                <w:szCs w:val="14"/>
              </w:rPr>
              <w:t xml:space="preserve">Weija</w:t>
            </w:r>
          </w:p>
        </w:tc>
        <w:tc>
          <w:tcPr/>
          <w:p>
            <w:pPr>
              <w:pStyle w:val="Compact"/>
              <w:keepNext/>
              <w:spacing w:before="10" w:after="10"/>
              <w:ind w:firstLine="0"/>
              <w:jc w:val="left"/>
              <w:rPr>
                <w:sz w:val="14"/>
                <w:szCs w:val="14"/>
              </w:rPr>
            </w:pPr>
            <w:r>
              <w:rPr>
                <w:sz w:val="14"/>
                <w:szCs w:val="14"/>
              </w:rPr>
              <w:t xml:space="preserve">water quality</w:t>
            </w:r>
          </w:p>
        </w:tc>
        <w:tc>
          <w:tcPr/>
          <w:p>
            <w:pPr>
              <w:pStyle w:val="Compact"/>
              <w:keepNext/>
              <w:spacing w:before="10" w:after="10"/>
              <w:ind w:firstLine="0"/>
              <w:jc w:val="left"/>
              <w:rPr>
                <w:sz w:val="14"/>
                <w:szCs w:val="14"/>
              </w:rPr>
            </w:pPr>
            <w:r>
              <w:rPr>
                <w:sz w:val="14"/>
                <w:szCs w:val="14"/>
              </w:rPr>
              <w:t xml:space="preserve">32.5 min</w:t>
            </w:r>
          </w:p>
        </w:tc>
        <w:tc>
          <w:tcPr/>
          <w:p>
            <w:pPr>
              <w:pStyle w:val="Compact"/>
              <w:keepNext/>
              <w:spacing w:before="10" w:after="10"/>
              <w:ind w:firstLine="0"/>
              <w:jc w:val="right"/>
              <w:rPr>
                <w:sz w:val="14"/>
                <w:szCs w:val="14"/>
              </w:rPr>
            </w:pPr>
            <w:r>
              <w:rPr>
                <w:sz w:val="14"/>
                <w:szCs w:val="14"/>
              </w:rPr>
              <w:t xml:space="preserve">15.4%</w:t>
            </w:r>
          </w:p>
        </w:tc>
        <w:tc>
          <w:tcPr/>
          <w:p>
            <w:pPr>
              <w:pStyle w:val="Compact"/>
              <w:keepNext/>
              <w:spacing w:before="10" w:after="10"/>
              <w:ind w:firstLine="0"/>
              <w:jc w:val="right"/>
              <w:rPr>
                <w:sz w:val="14"/>
                <w:szCs w:val="14"/>
              </w:rPr>
            </w:pPr>
            <w:r>
              <w:rPr>
                <w:sz w:val="14"/>
                <w:szCs w:val="14"/>
              </w:rPr>
              <w:t xml:space="preserve">42</w:t>
            </w:r>
          </w:p>
        </w:tc>
        <w:tc>
          <w:tcPr/>
          <w:p>
            <w:pPr>
              <w:pStyle w:val="Compact"/>
              <w:keepNext/>
              <w:spacing w:before="10" w:after="10"/>
              <w:ind w:firstLine="0"/>
              <w:jc w:val="right"/>
              <w:rPr>
                <w:sz w:val="14"/>
                <w:szCs w:val="14"/>
              </w:rPr>
            </w:pPr>
            <w:r>
              <w:rPr>
                <w:sz w:val="14"/>
                <w:szCs w:val="14"/>
              </w:rPr>
              <w:t xml:space="preserve">82.9%</w:t>
            </w:r>
          </w:p>
        </w:tc>
      </w:tr>
      <w:tr>
        <w:trPr>
          <w:cantSplit/>
        </w:trPr>
        <w:tc>
          <w:tcPr/>
          <w:p>
            <w:pPr>
              <w:pStyle w:val="Compact"/>
              <w:keepNext/>
              <w:spacing w:before="10" w:after="10"/>
              <w:ind w:firstLine="0"/>
              <w:jc w:val="left"/>
              <w:rPr>
                <w:sz w:val="14"/>
                <w:szCs w:val="14"/>
              </w:rPr>
            </w:pPr>
            <w:r>
              <w:rPr>
                <w:sz w:val="14"/>
                <w:szCs w:val="14"/>
              </w:rPr>
              <w:t xml:space="preserve">UVA</w:t>
            </w:r>
          </w:p>
        </w:tc>
        <w:tc>
          <w:tcPr/>
          <w:p>
            <w:pPr>
              <w:pStyle w:val="Compact"/>
              <w:keepNext/>
              <w:spacing w:before="10" w:after="10"/>
              <w:ind w:firstLine="0"/>
              <w:jc w:val="left"/>
              <w:rPr>
                <w:sz w:val="14"/>
                <w:szCs w:val="14"/>
              </w:rPr>
            </w:pPr>
            <w:r>
              <w:rPr>
                <w:sz w:val="14"/>
                <w:szCs w:val="14"/>
              </w:rPr>
              <w:t xml:space="preserve">LoRaWAN, 3 GW</w:t>
            </w:r>
          </w:p>
        </w:tc>
        <w:tc>
          <w:tcPr/>
          <w:p>
            <w:pPr>
              <w:pStyle w:val="Compact"/>
              <w:keepNext/>
              <w:spacing w:before="10" w:after="10"/>
              <w:ind w:firstLine="0"/>
              <w:jc w:val="left"/>
              <w:rPr>
                <w:sz w:val="14"/>
                <w:szCs w:val="14"/>
              </w:rPr>
            </w:pPr>
            <w:r>
              <w:rPr>
                <w:sz w:val="14"/>
                <w:szCs w:val="14"/>
              </w:rPr>
              <w:t xml:space="preserve">5 min</w:t>
            </w:r>
          </w:p>
        </w:tc>
        <w:tc>
          <w:tcPr/>
          <w:p>
            <w:pPr>
              <w:pStyle w:val="Compact"/>
              <w:keepNext/>
              <w:spacing w:before="10" w:after="10"/>
              <w:ind w:firstLine="0"/>
              <w:jc w:val="right"/>
              <w:rPr>
                <w:sz w:val="14"/>
                <w:szCs w:val="14"/>
              </w:rPr>
            </w:pPr>
            <w:r>
              <w:rPr>
                <w:sz w:val="14"/>
                <w:szCs w:val="14"/>
              </w:rPr>
              <w:t xml:space="preserve">4.5%</w:t>
            </w:r>
          </w:p>
        </w:tc>
        <w:tc>
          <w:tcPr/>
          <w:p>
            <w:pPr>
              <w:pStyle w:val="Compact"/>
              <w:keepNext/>
              <w:spacing w:before="10" w:after="10"/>
              <w:ind w:firstLine="0"/>
              <w:jc w:val="right"/>
              <w:rPr>
                <w:sz w:val="14"/>
                <w:szCs w:val="14"/>
              </w:rPr>
            </w:pPr>
            <w:r>
              <w:rPr>
                <w:sz w:val="14"/>
                <w:szCs w:val="14"/>
              </w:rPr>
              <w:t xml:space="preserve">36,519</w:t>
            </w:r>
          </w:p>
        </w:tc>
        <w:tc>
          <w:tcPr/>
          <w:p>
            <w:pPr>
              <w:pStyle w:val="Compact"/>
              <w:keepNext/>
              <w:spacing w:before="10" w:after="10"/>
              <w:ind w:firstLine="0"/>
              <w:jc w:val="right"/>
              <w:rPr>
                <w:sz w:val="14"/>
                <w:szCs w:val="14"/>
              </w:rPr>
            </w:pPr>
            <w:r>
              <w:rPr>
                <w:sz w:val="14"/>
                <w:szCs w:val="14"/>
              </w:rPr>
              <w:t xml:space="preserve">23.6%</w:t>
            </w:r>
          </w:p>
        </w:tc>
      </w:tr>
      <w:tr>
        <w:trPr>
          <w:cantSplit/>
        </w:trPr>
        <w:tc>
          <w:tcPr/>
          <w:p>
            <w:pPr>
              <w:pStyle w:val="Compact"/>
              <w:spacing w:before="10" w:after="10"/>
              <w:ind w:firstLine="0"/>
              <w:jc w:val="left"/>
              <w:rPr>
                <w:sz w:val="14"/>
                <w:szCs w:val="14"/>
              </w:rPr>
            </w:pPr>
            <w:r>
              <w:rPr>
                <w:sz w:val="14"/>
                <w:szCs w:val="14"/>
              </w:rPr>
              <w:t xml:space="preserve">LoED</w:t>
            </w:r>
          </w:p>
        </w:tc>
        <w:tc>
          <w:tcPr/>
          <w:p>
            <w:pPr>
              <w:pStyle w:val="Compact"/>
              <w:spacing w:before="10" w:after="10"/>
              <w:ind w:firstLine="0"/>
              <w:jc w:val="left"/>
              <w:rPr>
                <w:sz w:val="14"/>
                <w:szCs w:val="14"/>
              </w:rPr>
            </w:pPr>
            <w:r>
              <w:rPr>
                <w:sz w:val="14"/>
                <w:szCs w:val="14"/>
              </w:rPr>
              <w:t xml:space="preserve">LoRaWAN, 9 GW</w:t>
            </w:r>
          </w:p>
        </w:tc>
        <w:tc>
          <w:tcPr/>
          <w:p>
            <w:pPr>
              <w:pStyle w:val="Compact"/>
              <w:spacing w:before="10" w:after="10"/>
              <w:ind w:firstLine="0"/>
              <w:jc w:val="left"/>
              <w:rPr>
                <w:sz w:val="14"/>
                <w:szCs w:val="14"/>
              </w:rPr>
            </w:pPr>
            <w:r>
              <w:rPr>
                <w:sz w:val="14"/>
                <w:szCs w:val="14"/>
              </w:rPr>
              <w:t xml:space="preserve">varies</w:t>
            </w:r>
          </w:p>
        </w:tc>
        <w:tc>
          <w:tcPr/>
          <w:p>
            <w:pPr>
              <w:pStyle w:val="Compact"/>
              <w:spacing w:before="10" w:after="10"/>
              <w:ind w:firstLine="0"/>
              <w:jc w:val="right"/>
              <w:rPr>
                <w:sz w:val="14"/>
                <w:szCs w:val="14"/>
              </w:rPr>
            </w:pPr>
            <w:r>
              <w:rPr>
                <w:sz w:val="14"/>
                <w:szCs w:val="14"/>
              </w:rPr>
              <w:t xml:space="preserve">9.6%</w:t>
            </w:r>
          </w:p>
        </w:tc>
        <w:tc>
          <w:tcPr/>
          <w:p>
            <w:pPr>
              <w:pStyle w:val="Compact"/>
              <w:spacing w:before="10" w:after="10"/>
              <w:ind w:firstLine="0"/>
              <w:jc w:val="right"/>
              <w:rPr>
                <w:sz w:val="14"/>
                <w:szCs w:val="14"/>
              </w:rPr>
            </w:pPr>
            <w:r>
              <w:rPr>
                <w:sz w:val="14"/>
                <w:szCs w:val="14"/>
              </w:rPr>
              <w:t xml:space="preserve">56,276</w:t>
            </w:r>
          </w:p>
        </w:tc>
        <w:tc>
          <w:tcPr/>
          <w:p>
            <w:pPr>
              <w:pStyle w:val="Compact"/>
              <w:spacing w:before="10" w:after="10"/>
              <w:ind w:firstLine="0"/>
              <w:jc w:val="right"/>
              <w:rPr>
                <w:sz w:val="14"/>
                <w:szCs w:val="14"/>
              </w:rPr>
            </w:pPr>
            <w:r>
              <w:rPr>
                <w:sz w:val="14"/>
                <w:szCs w:val="14"/>
              </w:rPr>
              <w:t xml:space="preserve">–</w:t>
            </w:r>
          </w:p>
        </w:tc>
      </w:tr>
    </w:tbl>
    <w:bookmarkEnd w:id="13"/>
    <w:p>
      <w:pPr>
        <w:pStyle w:val="BodyText"/>
      </w:pPr>
      <w:r>
        <w:t xml:space="preserve">Neither water-quality record has a node status log; therefore, a gap in which the network was down cannot be distinguished directly from one in which the node produced nothing. Two partial checks are possible. On Weija, the node’s other streams share its logger and uplink: of the 916 missing conductivity slots, 84% were silences of the whole node, and in gaps of 6 h or more, only 6% of the slots had another stream delivering. The long gaps are node-wide silences (node, logger, or uplink). InWaterSense’s two nodes reached the server through one gateway and one GPRS link </w:t>
      </w:r>
      <w:r>
        <w:t xml:space="preserve">[3]</w:t>
      </w:r>
      <w:r>
        <w:t xml:space="preserve">. While node 2 was operating, it was silent in 79% of node 1’s missing slots, and after correcting for its own silence, gaps of 6 h or more were approximately 74% shared-cause (gateway, backhaul, server, or shared power) and 26% specific to node 1. Most long gaps are therefore failures of the path to the server, but some may be nodes that produced nothing; Section V treats buffering’s recovery as an upper bound.</w:t>
      </w:r>
    </w:p>
    <w:bookmarkEnd w:id="14"/>
    <w:bookmarkStart w:id="15" w:name="sec:data-outages"/>
    <w:p>
      <w:pPr>
        <w:pStyle w:val="Heading2"/>
      </w:pPr>
      <w:r>
        <w:t xml:space="preserve">B. Gap-length models</w:t>
      </w:r>
    </w:p>
    <w:p>
      <w:pPr>
        <w:pStyle w:val="FirstParagraph"/>
      </w:pPr>
      <w:r>
        <w:t xml:space="preserve">A record is reduced to alternating up-runs and gaps of</w:t>
      </w:r>
      <w:r>
        <w:t xml:space="preserve"> </w:t>
      </w:r>
      <m:oMath>
        <m:sSub>
          <m:e>
            <m:r>
              <m:t>k</m:t>
            </m:r>
          </m:e>
          <m:sub>
            <m:r>
              <m:t>1</m:t>
            </m:r>
          </m:sub>
        </m:sSub>
        <m:r>
          <m:rPr>
            <m:sty m:val="p"/>
          </m:rPr>
          <m:t>,</m:t>
        </m:r>
        <m:r>
          <m:rPr>
            <m:sty m:val="p"/>
          </m:rPr>
          <m:t>…</m:t>
        </m:r>
        <m:r>
          <m:rPr>
            <m:sty m:val="p"/>
          </m:rPr>
          <m:t>,</m:t>
        </m:r>
        <m:sSub>
          <m:e>
            <m:r>
              <m:t>k</m:t>
            </m:r>
          </m:e>
          <m:sub>
            <m:r>
              <m:t>n</m:t>
            </m:r>
          </m:sub>
        </m:sSub>
      </m:oMath>
      <w:r>
        <w:t xml:space="preserve"> </w:t>
      </w:r>
      <w:r>
        <w:t xml:space="preserve">slots; let</w:t>
      </w:r>
      <w:r>
        <w:t xml:space="preserve"> </w:t>
      </w:r>
      <m:oMath>
        <m:r>
          <m:t>h</m:t>
        </m:r>
        <m:r>
          <m:rPr>
            <m:sty m:val="p"/>
          </m:rPr>
          <m:t>(</m:t>
        </m:r>
        <m:r>
          <m:t>k</m:t>
        </m:r>
        <m:r>
          <m:rPr>
            <m:sty m:val="p"/>
          </m:rPr>
          <m:t>)</m:t>
        </m:r>
      </m:oMath>
      <w:r>
        <w:t xml:space="preserve"> </w:t>
      </w:r>
      <w:r>
        <w:t xml:space="preserve">be the duration of a gap of</w:t>
      </w:r>
      <w:r>
        <w:t xml:space="preserve"> </w:t>
      </w:r>
      <m:oMath>
        <m:r>
          <m:t>k</m:t>
        </m:r>
      </m:oMath>
      <w:r>
        <w:t xml:space="preserve"> </w:t>
      </w:r>
      <w:r>
        <w:t xml:space="preserve">slots. Because loss handling depends on where the missing data are, the main statistic is the share of missing slots in gaps of at least duration</w:t>
      </w:r>
      <w:r>
        <w:t xml:space="preserve"> </w:t>
      </w:r>
      <m:oMath>
        <m:r>
          <m:t>L</m:t>
        </m:r>
      </m:oMath>
      <w:r>
        <w:t xml:space="preserve">,</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r>
                  <m:t>S</m:t>
                </m:r>
                <m:r>
                  <m:rPr>
                    <m:sty m:val="p"/>
                  </m:rPr>
                  <m:t>(</m:t>
                </m:r>
                <m:r>
                  <m:t>L</m:t>
                </m:r>
                <m:r>
                  <m:rPr>
                    <m:sty m:val="p"/>
                  </m:rPr>
                  <m:t>)</m:t>
                </m:r>
                <m:r>
                  <m:rPr>
                    <m:sty m:val="p"/>
                  </m:rPr>
                  <m:t>=</m:t>
                </m:r>
                <m:f>
                  <m:fPr>
                    <m:type m:val="bar"/>
                  </m:fPr>
                  <m:num>
                    <m:nary>
                      <m:naryPr>
                        <m:chr m:val="∑"/>
                        <m:limLoc m:val="undOvr"/>
                        <m:subHide m:val="off"/>
                        <m:supHide m:val="on"/>
                      </m:naryPr>
                      <m:sub>
                        <m:r>
                          <m:t>i</m:t>
                        </m:r>
                        <m:r>
                          <m:rPr>
                            <m:sty m:val="p"/>
                          </m:rPr>
                          <m:t>:</m:t>
                        </m:r>
                        <m:r>
                          <m:t> </m:t>
                        </m:r>
                        <m:r>
                          <m:t>h</m:t>
                        </m:r>
                        <m:r>
                          <m:rPr>
                            <m:sty m:val="p"/>
                          </m:rPr>
                          <m:t>(</m:t>
                        </m:r>
                        <m:sSub>
                          <m:e>
                            <m:r>
                              <m:t>k</m:t>
                            </m:r>
                          </m:e>
                          <m:sub>
                            <m:r>
                              <m:t>i</m:t>
                            </m:r>
                          </m:sub>
                        </m:sSub>
                        <m:r>
                          <m:rPr>
                            <m:sty m:val="p"/>
                          </m:rPr>
                          <m:t>)</m:t>
                        </m:r>
                        <m:r>
                          <m:rPr>
                            <m:sty m:val="p"/>
                          </m:rPr>
                          <m:t>≥</m:t>
                        </m:r>
                        <m:r>
                          <m:t>L</m:t>
                        </m:r>
                      </m:sub>
                      <m:sup>
                        <m:r>
                          <m:t>​</m:t>
                        </m:r>
                      </m:sup>
                      <m:e>
                        <m:sSub>
                          <m:e>
                            <m:r>
                              <m:t>k</m:t>
                            </m:r>
                          </m:e>
                          <m:sub>
                            <m:r>
                              <m:t>i</m:t>
                            </m:r>
                          </m:sub>
                        </m:sSub>
                      </m:e>
                    </m:nary>
                  </m:num>
                  <m:den>
                    <m:nary>
                      <m:naryPr>
                        <m:chr m:val="∑"/>
                        <m:limLoc m:val="undOvr"/>
                        <m:subHide m:val="off"/>
                        <m:supHide m:val="off"/>
                      </m:naryPr>
                      <m:sub>
                        <m:r>
                          <m:t>i</m:t>
                        </m:r>
                        <m:r>
                          <m:rPr>
                            <m:sty m:val="p"/>
                          </m:rPr>
                          <m:t>=</m:t>
                        </m:r>
                        <m:r>
                          <m:t>1</m:t>
                        </m:r>
                      </m:sub>
                      <m:sup>
                        <m:r>
                          <m:t>n</m:t>
                        </m:r>
                      </m:sup>
                      <m:e>
                        <m:sSub>
                          <m:e>
                            <m:r>
                              <m:t>k</m:t>
                            </m:r>
                          </m:e>
                          <m:sub>
                            <m:r>
                              <m:t>i</m:t>
                            </m:r>
                          </m:sub>
                        </m:sSub>
                      </m:e>
                    </m:nary>
                  </m:den>
                </m:f>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(1)</w:t>
            </w:r>
          </w:p>
        </w:tc>
      </w:tr>
    </w:tbl>
    <w:p>
      <w:pPr>
        <w:pStyle w:val="FirstParagraph"/>
        <w:ind w:firstLine="0"/>
      </w:pPr>
      <w:r>
        <w:t xml:space="preserve">with bootstrap 95% confidence intervals </w:t>
      </w:r>
      <w:r>
        <w:t xml:space="preserve">[44]</w:t>
      </w:r>
      <w:r>
        <w:t xml:space="preserve">. The gap lengths are fitted by maximum likelihood with four models. The first is a geometric model,</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P</m:t>
                    </m:r>
                  </m:e>
                  <m:sub>
                    <m:r>
                      <m:rPr>
                        <m:sty m:val="p"/>
                      </m:rPr>
                      <m:t>g</m:t>
                    </m:r>
                    <m:r>
                      <m:rPr>
                        <m:sty m:val="p"/>
                      </m:rPr>
                      <m:t>e</m:t>
                    </m:r>
                    <m:r>
                      <m:rPr>
                        <m:sty m:val="p"/>
                      </m:rPr>
                      <m:t>o</m:t>
                    </m:r>
                  </m:sub>
                </m:sSub>
                <m:r>
                  <m:rPr>
                    <m:sty m:val="p"/>
                  </m:rPr>
                  <m:t>(</m:t>
                </m:r>
                <m:r>
                  <m:t>k</m:t>
                </m:r>
                <m:r>
                  <m:rPr>
                    <m:sty m:val="p"/>
                  </m:rPr>
                  <m:t>)</m:t>
                </m:r>
                <m:r>
                  <m:rPr>
                    <m:sty m:val="p"/>
                  </m:rPr>
                  <m:t>=</m:t>
                </m:r>
                <m:r>
                  <m:rPr>
                    <m:sty m:val="p"/>
                  </m:rPr>
                  <m:t>(</m:t>
                </m:r>
                <m:r>
                  <m:t>1</m:t>
                </m:r>
                <m:r>
                  <m:rPr>
                    <m:sty m:val="p"/>
                  </m:rPr>
                  <m:t>−</m:t>
                </m:r>
                <m:r>
                  <m:t>q</m:t>
                </m:r>
                <m:r>
                  <m:rPr>
                    <m:sty m:val="p"/>
                  </m:rPr>
                  <m:t>)</m:t>
                </m:r>
                <m:r>
                  <m:t> </m:t>
                </m:r>
                <m:sSup>
                  <m:e>
                    <m:r>
                      <m:t>q</m:t>
                    </m:r>
                  </m:e>
                  <m:sup>
                    <m:r>
                      <m:t>k</m:t>
                    </m:r>
                    <m:r>
                      <m:rPr>
                        <m:sty m:val="p"/>
                      </m:rPr>
                      <m:t>−</m:t>
                    </m:r>
                    <m:r>
                      <m:t>1</m:t>
                    </m:r>
                  </m:sup>
                </m:sSup>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(2)</w:t>
            </w:r>
          </w:p>
        </w:tc>
      </w:tr>
    </w:tbl>
    <w:p>
      <w:pPr>
        <w:pStyle w:val="FirstParagraph"/>
        <w:ind w:firstLine="0"/>
      </w:pPr>
      <w:r>
        <w:t xml:space="preserve">the gap-length distribution of any loss process with a single loss state, including independent losses and the Gilbert–Elliott channel. The second is a two-geometric mixture,</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P</m:t>
                    </m:r>
                  </m:e>
                  <m:sub>
                    <m:r>
                      <m:rPr>
                        <m:sty m:val="p"/>
                      </m:rPr>
                      <m:t>m</m:t>
                    </m:r>
                    <m:r>
                      <m:rPr>
                        <m:sty m:val="p"/>
                      </m:rPr>
                      <m:t>i</m:t>
                    </m:r>
                    <m:r>
                      <m:rPr>
                        <m:sty m:val="p"/>
                      </m:rPr>
                      <m:t>x</m:t>
                    </m:r>
                  </m:sub>
                </m:sSub>
                <m:r>
                  <m:rPr>
                    <m:sty m:val="p"/>
                  </m:rPr>
                  <m:t>(</m:t>
                </m:r>
                <m:r>
                  <m:t>k</m:t>
                </m:r>
                <m:r>
                  <m:rPr>
                    <m:sty m:val="p"/>
                  </m:rPr>
                  <m:t>)</m:t>
                </m:r>
                <m:r>
                  <m:rPr>
                    <m:sty m:val="p"/>
                  </m:rPr>
                  <m:t>=</m:t>
                </m:r>
                <m:r>
                  <m:t>w</m:t>
                </m:r>
                <m:r>
                  <m:t> </m:t>
                </m:r>
                <m:r>
                  <m:rPr>
                    <m:sty m:val="p"/>
                  </m:rPr>
                  <m:t>(</m:t>
                </m:r>
                <m:r>
                  <m:t>1</m:t>
                </m:r>
                <m:r>
                  <m:rPr>
                    <m:sty m:val="p"/>
                  </m:rPr>
                  <m:t>−</m:t>
                </m:r>
                <m:sSub>
                  <m:e>
                    <m:r>
                      <m:t>q</m:t>
                    </m:r>
                  </m:e>
                  <m:sub>
                    <m:r>
                      <m:t>1</m:t>
                    </m:r>
                  </m:sub>
                </m:sSub>
                <m:r>
                  <m:rPr>
                    <m:sty m:val="p"/>
                  </m:rPr>
                  <m:t>)</m:t>
                </m:r>
                <m:r>
                  <m:t> </m:t>
                </m:r>
                <m:sSubSup>
                  <m:e>
                    <m:r>
                      <m:t>q</m:t>
                    </m:r>
                  </m:e>
                  <m:sub>
                    <m:r>
                      <m:t>1</m:t>
                    </m:r>
                  </m:sub>
                  <m:sup>
                    <m:r>
                      <m:t>k</m:t>
                    </m:r>
                    <m:r>
                      <m:rPr>
                        <m:sty m:val="p"/>
                      </m:rPr>
                      <m:t>−</m:t>
                    </m:r>
                    <m:r>
                      <m:t>1</m:t>
                    </m:r>
                  </m:sup>
                </m:sSubSup>
                <m:r>
                  <m:rPr>
                    <m:sty m:val="p"/>
                  </m:rPr>
                  <m:t>+</m:t>
                </m:r>
                <m:r>
                  <m:rPr>
                    <m:sty m:val="p"/>
                  </m:rPr>
                  <m:t>(</m:t>
                </m:r>
                <m:r>
                  <m:t>1</m:t>
                </m:r>
                <m:r>
                  <m:rPr>
                    <m:sty m:val="p"/>
                  </m:rPr>
                  <m:t>−</m:t>
                </m:r>
                <m:r>
                  <m:t>w</m:t>
                </m:r>
                <m:r>
                  <m:rPr>
                    <m:sty m:val="p"/>
                  </m:rPr>
                  <m:t>)</m:t>
                </m:r>
                <m:r>
                  <m:t> </m:t>
                </m:r>
                <m:r>
                  <m:rPr>
                    <m:sty m:val="p"/>
                  </m:rPr>
                  <m:t>(</m:t>
                </m:r>
                <m:r>
                  <m:t>1</m:t>
                </m:r>
                <m:r>
                  <m:rPr>
                    <m:sty m:val="p"/>
                  </m:rPr>
                  <m:t>−</m:t>
                </m:r>
                <m:sSub>
                  <m:e>
                    <m:r>
                      <m:t>q</m:t>
                    </m:r>
                  </m:e>
                  <m:sub>
                    <m:r>
                      <m:t>2</m:t>
                    </m:r>
                  </m:sub>
                </m:sSub>
                <m:r>
                  <m:rPr>
                    <m:sty m:val="p"/>
                  </m:rPr>
                  <m:t>)</m:t>
                </m:r>
                <m:r>
                  <m:t> </m:t>
                </m:r>
                <m:sSubSup>
                  <m:e>
                    <m:r>
                      <m:t>q</m:t>
                    </m:r>
                  </m:e>
                  <m:sub>
                    <m:r>
                      <m:t>2</m:t>
                    </m:r>
                  </m:sub>
                  <m:sup>
                    <m:r>
                      <m:t>k</m:t>
                    </m:r>
                    <m:r>
                      <m:rPr>
                        <m:sty m:val="p"/>
                      </m:rPr>
                      <m:t>−</m:t>
                    </m:r>
                    <m:r>
                      <m:t>1</m:t>
                    </m:r>
                  </m:sup>
                </m:sSubSup>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(3)</w:t>
            </w:r>
          </w:p>
        </w:tc>
      </w:tr>
    </w:tbl>
    <w:p>
      <w:pPr>
        <w:pStyle w:val="FirstParagraph"/>
        <w:ind w:firstLine="0"/>
      </w:pPr>
      <w:r>
        <w:t xml:space="preserve">a Markov chain with one up state and two loss states (short loss, long gap). The third and fourth are a discrete lognormal and a discrete power law. Models are ranked by Akaike’s information criterion and tested absolutely by a bootstrap Kolmogorov–Smirnov test (Supplementary Section S2).</w:t>
      </w:r>
    </w:p>
    <w:bookmarkEnd w:id="15"/>
    <w:bookmarkStart w:id="16" w:name="sec:data-energy"/>
    <w:p>
      <w:pPr>
        <w:pStyle w:val="Heading2"/>
      </w:pPr>
      <w:r>
        <w:t xml:space="preserve">C. Energy model and loss-handling strategies</w:t>
      </w:r>
    </w:p>
    <w:p>
      <w:pPr>
        <w:pStyle w:val="FirstParagraph"/>
      </w:pPr>
      <w:r>
        <w:t xml:space="preserve">The node is a Waspmote-class host </w:t>
      </w:r>
      <w:r>
        <w:t xml:space="preserve">[45]</w:t>
      </w:r>
      <w:r>
        <w:t xml:space="preserve"> </w:t>
      </w:r>
      <w:r>
        <w:t xml:space="preserve">with NB-IoT (the N211 module with release assistance </w:t>
      </w:r>
      <w:r>
        <w:t xml:space="preserve">[34]</w:t>
      </w:r>
      <w:r>
        <w:t xml:space="preserve">), LoRaWAN SF7, or LoRaWAN SF12 (EU868). Each transmission attempt is charged the measured energy of its radio and outcome, host time included (Supplementary Section S3). NB-IoT energies come from UDP datagrams to an echo server </w:t>
      </w:r>
      <w:r>
        <w:t xml:space="preserve">[34]</w:t>
      </w:r>
      <w:r>
        <w:t xml:space="preserve">; therefore, a confirmed report is acknowledged by the application, end to end. A cell search without a network costs the receive power </w:t>
      </w:r>
      <w:r>
        <w:t xml:space="preserve">[35]</w:t>
      </w:r>
      <w:r>
        <w:t xml:space="preserve"> </w:t>
      </w:r>
      <w:r>
        <w:t xml:space="preserve">times a search time swept over 2.2–60 s. LoRaWAN energies come from state-by-state current profiles </w:t>
      </w:r>
      <w:r>
        <w:t xml:space="preserve">[33]</w:t>
      </w:r>
      <w:r>
        <w:t xml:space="preserve">: at SF7, the acknowledgement arrives in the first receive window; therefore, a confirmed success is cheaper than an unconfirmed report; at SF12, it is more expensive. The acknowledgement comes from the network server. LoRaWAN 1.0.2 recommends eight transmissions of a confirmed frame with the data rate lowered every two </w:t>
      </w:r>
      <w:r>
        <w:t xml:space="preserve">[46]</w:t>
      </w:r>
      <w:r>
        <w:t xml:space="preserve">; LoRaWAN 1.0.4 sends a frame NbTrans times (1–15) at a fixed rate </w:t>
      </w:r>
      <w:r>
        <w:t xml:space="preserve">[47]</w:t>
      </w:r>
      <w:r>
        <w:t xml:space="preserve">; both are evaluated. The 1% duty cycle spaces frames </w:t>
      </w:r>
      <w:r>
        <w:t xml:space="preserve">[48]</w:t>
      </w:r>
      <w:r>
        <w:t xml:space="preserve">. A bulk frame carries 42 readings on NB-IoT, 18 at SF7, and 3 at SF12. Over a record of</w:t>
      </w:r>
      <w:r>
        <w:t xml:space="preserve"> </w:t>
      </w:r>
      <m:oMath>
        <m:r>
          <m:t>D</m:t>
        </m:r>
      </m:oMath>
      <w:r>
        <w:t xml:space="preserve"> </w:t>
      </w:r>
      <w:r>
        <w:t xml:space="preserve">days, the transmission energy per day and the lifetime on a battery of energy</w:t>
      </w:r>
      <w:r>
        <w:t xml:space="preserve"> </w:t>
      </w:r>
      <m:oMath>
        <m:r>
          <m:t>B</m:t>
        </m:r>
      </m:oMath>
      <w:r>
        <w:t xml:space="preserve"> </w:t>
      </w:r>
      <w:r>
        <w:t xml:space="preserve">are</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E</m:t>
                    </m:r>
                  </m:e>
                  <m:sub>
                    <m:r>
                      <m:rPr>
                        <m:sty m:val="p"/>
                      </m:rPr>
                      <m:t>t</m:t>
                    </m:r>
                    <m:r>
                      <m:rPr>
                        <m:sty m:val="p"/>
                      </m:rPr>
                      <m:t>x</m:t>
                    </m:r>
                  </m:sub>
                </m:sSub>
                <m:r>
                  <m:rPr>
                    <m:sty m:val="p"/>
                  </m:rPr>
                  <m:t>=</m:t>
                </m:r>
                <m:f>
                  <m:fPr>
                    <m:type m:val="bar"/>
                  </m:fPr>
                  <m:num>
                    <m:r>
                      <m:t>1</m:t>
                    </m:r>
                  </m:num>
                  <m:den>
                    <m:r>
                      <m:t>D</m:t>
                    </m:r>
                  </m:den>
                </m:f>
                <m:nary>
                  <m:naryPr>
                    <m:chr m:val="∑"/>
                    <m:limLoc m:val="undOvr"/>
                    <m:subHide m:val="off"/>
                    <m:supHide m:val="on"/>
                  </m:naryPr>
                  <m:sub>
                    <m:r>
                      <m:t>a</m:t>
                    </m:r>
                  </m:sub>
                  <m:sup>
                    <m:r>
                      <m:t>​</m:t>
                    </m:r>
                  </m:sup>
                  <m:e>
                    <m:sSub>
                      <m:e>
                        <m:r>
                          <m:t>e</m:t>
                        </m:r>
                      </m:e>
                      <m:sub>
                        <m:r>
                          <m:t>a</m:t>
                        </m:r>
                      </m:sub>
                    </m:sSub>
                  </m:e>
                </m:nary>
                <m:r>
                  <m:rPr>
                    <m:sty m:val="p"/>
                  </m:rPr>
                  <m:t>,</m:t>
                </m:r>
                <m:r>
                  <m:t>  </m:t>
                </m:r>
                <m:r>
                  <m:t>Y</m:t>
                </m:r>
                <m:r>
                  <m:rPr>
                    <m:sty m:val="p"/>
                  </m:rPr>
                  <m:t>=</m:t>
                </m:r>
                <m:f>
                  <m:fPr>
                    <m:type m:val="bar"/>
                  </m:fPr>
                  <m:num>
                    <m:r>
                      <m:t>B</m:t>
                    </m:r>
                  </m:num>
                  <m:den>
                    <m:r>
                      <m:t>365</m:t>
                    </m:r>
                    <m:r>
                      <m:t> </m:t>
                    </m:r>
                    <m:r>
                      <m:rPr>
                        <m:sty m:val="p"/>
                      </m:rPr>
                      <m:t>(</m:t>
                    </m:r>
                    <m:sSub>
                      <m:e>
                        <m:r>
                          <m:t>E</m:t>
                        </m:r>
                      </m:e>
                      <m:sub>
                        <m:r>
                          <m:rPr>
                            <m:sty m:val="p"/>
                          </m:rPr>
                          <m:t>f</m:t>
                        </m:r>
                        <m:r>
                          <m:rPr>
                            <m:sty m:val="p"/>
                          </m:rPr>
                          <m:t>l</m:t>
                        </m:r>
                        <m:r>
                          <m:rPr>
                            <m:sty m:val="p"/>
                          </m:rPr>
                          <m:t>o</m:t>
                        </m:r>
                        <m:r>
                          <m:rPr>
                            <m:sty m:val="p"/>
                          </m:rPr>
                          <m:t>o</m:t>
                        </m:r>
                        <m:r>
                          <m:rPr>
                            <m:sty m:val="p"/>
                          </m:rPr>
                          <m:t>r</m:t>
                        </m:r>
                      </m:sub>
                    </m:sSub>
                    <m:r>
                      <m:rPr>
                        <m:sty m:val="p"/>
                      </m:rPr>
                      <m:t>+</m:t>
                    </m:r>
                    <m:sSub>
                      <m:e>
                        <m:r>
                          <m:t>E</m:t>
                        </m:r>
                      </m:e>
                      <m:sub>
                        <m:r>
                          <m:rPr>
                            <m:sty m:val="p"/>
                          </m:rPr>
                          <m:t>t</m:t>
                        </m:r>
                        <m:r>
                          <m:rPr>
                            <m:sty m:val="p"/>
                          </m:rPr>
                          <m:t>x</m:t>
                        </m:r>
                      </m:sub>
                    </m:sSub>
                    <m:r>
                      <m:rPr>
                        <m:sty m:val="p"/>
                      </m:rPr>
                      <m:t>)</m:t>
                    </m:r>
                  </m:den>
                </m:f>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(4)</w:t>
            </w:r>
          </w:p>
        </w:tc>
      </w:tr>
    </w:tbl>
    <w:p>
      <w:pPr>
        <w:pStyle w:val="FirstParagraph"/>
        <w:ind w:firstLine="0"/>
      </w:pPr>
      <w:r>
        <w:t xml:space="preserve">where</w:t>
      </w:r>
      <w:r>
        <w:t xml:space="preserve"> </w:t>
      </w:r>
      <m:oMath>
        <m:sSub>
          <m:e>
            <m:r>
              <m:t>e</m:t>
            </m:r>
          </m:e>
          <m:sub>
            <m:r>
              <m:t>a</m:t>
            </m:r>
          </m:sub>
        </m:sSub>
      </m:oMath>
      <w:r>
        <w:t xml:space="preserve"> </w:t>
      </w:r>
      <w:r>
        <w:t xml:space="preserve">is the energy of attempt</w:t>
      </w:r>
      <w:r>
        <w:t xml:space="preserve"> </w:t>
      </w:r>
      <m:oMath>
        <m:r>
          <m:t>a</m:t>
        </m:r>
      </m:oMath>
      <w:r>
        <w:t xml:space="preserve"> </w:t>
      </w:r>
      <w:r>
        <w:t xml:space="preserve">and</w:t>
      </w:r>
      <w:r>
        <w:t xml:space="preserve"> </w:t>
      </w:r>
      <m:oMath>
        <m:sSub>
          <m:e>
            <m:r>
              <m:t>E</m:t>
            </m:r>
          </m:e>
          <m:sub>
            <m:r>
              <m:rPr>
                <m:sty m:val="p"/>
              </m:rPr>
              <m:t>f</m:t>
            </m:r>
            <m:r>
              <m:rPr>
                <m:sty m:val="p"/>
              </m:rPr>
              <m:t>l</m:t>
            </m:r>
            <m:r>
              <m:rPr>
                <m:sty m:val="p"/>
              </m:rPr>
              <m:t>o</m:t>
            </m:r>
            <m:r>
              <m:rPr>
                <m:sty m:val="p"/>
              </m:rPr>
              <m:t>o</m:t>
            </m:r>
            <m:r>
              <m:rPr>
                <m:sty m:val="p"/>
              </m:rPr>
              <m:t>r</m:t>
            </m:r>
          </m:sub>
        </m:sSub>
      </m:oMath>
      <w:r>
        <w:t xml:space="preserve"> </w:t>
      </w:r>
      <w:r>
        <w:t xml:space="preserve">is the daily sleep and sensing energy. Absolute energy depends on the platform and stack: an independent measurement on another board </w:t>
      </w:r>
      <w:r>
        <w:t xml:space="preserve">[37]</w:t>
      </w:r>
      <w:r>
        <w:t xml:space="preserve"> </w:t>
      </w:r>
      <w:r>
        <w:t xml:space="preserve">reports 3</w:t>
      </w:r>
      <m:oMath>
        <m:r>
          <m:rPr>
            <m:sty m:val="p"/>
          </m:rPr>
          <m:t>×</m:t>
        </m:r>
      </m:oMath>
      <w:r>
        <w:t xml:space="preserve"> </w:t>
      </w:r>
      <w:r>
        <w:t xml:space="preserve">this model’s per-message energy on LoRaWAN and 40</w:t>
      </w:r>
      <m:oMath>
        <m:r>
          <m:rPr>
            <m:sty m:val="p"/>
          </m:rPr>
          <m:t>×</m:t>
        </m:r>
      </m:oMath>
      <w:r>
        <w:t xml:space="preserve"> </w:t>
      </w:r>
      <w:r>
        <w:t xml:space="preserve">on NB-IoT (TCP without release assistance). The results are therefore ratios between strategies on the same radio; lifetimes are illustrative.</w:t>
      </w:r>
    </w:p>
    <w:p>
      <w:pPr>
        <w:pStyle w:val="BodyText"/>
      </w:pPr>
      <w:r>
        <w:t xml:space="preserve">Five strategies are compared:</w:t>
      </w:r>
    </w:p>
    <w:p>
      <w:pPr>
        <w:numPr>
          <w:ilvl w:val="0"/>
          <w:numId w:val="1004"/>
        </w:numPr>
      </w:pPr>
      <w:r>
        <w:t xml:space="preserve">Unconfirmed: one attempt per reading.</w:t>
      </w:r>
    </w:p>
    <w:p>
      <w:pPr>
        <w:numPr>
          <w:ilvl w:val="0"/>
          <w:numId w:val="1004"/>
        </w:numPr>
      </w:pPr>
      <w:r>
        <w:t xml:space="preserve">Unconfirmed + back-off (NB-IoT): the fair baseline, because a node that searches for a cell in every slot of a gap wastes energy.</w:t>
      </w:r>
    </w:p>
    <w:p>
      <w:pPr>
        <w:numPr>
          <w:ilvl w:val="0"/>
          <w:numId w:val="1004"/>
        </w:numPr>
      </w:pPr>
      <w:r>
        <w:t xml:space="preserve">ARQ: up to eight transmissions on LoRaWAN and three on NB-IoT.</w:t>
      </w:r>
    </w:p>
    <w:p>
      <w:pPr>
        <w:numPr>
          <w:ilvl w:val="0"/>
          <w:numId w:val="1004"/>
        </w:numPr>
      </w:pPr>
      <w:r>
        <w:t xml:space="preserve">ARQ + buffer: a failed reading is buffered, and the node sends one small confirmed probe at a time, waiting</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w</m:t>
                    </m:r>
                  </m:e>
                  <m:sub>
                    <m:r>
                      <m:t>n</m:t>
                    </m:r>
                  </m:sub>
                </m:sSub>
                <m:r>
                  <m:rPr>
                    <m:sty m:val="p"/>
                  </m:rPr>
                  <m:t>=</m:t>
                </m:r>
                <m:r>
                  <m:rPr>
                    <m:sty m:val="p"/>
                  </m:rPr>
                  <m:t>min</m:t>
                </m:r>
                <m:d>
                  <m:dPr>
                    <m:begChr m:val="("/>
                    <m:sepChr m:val=""/>
                    <m:endChr m:val=")"/>
                    <m:grow/>
                  </m:dPr>
                  <m:e>
                    <m:sSup>
                      <m:e>
                        <m:r>
                          <m:t>2</m:t>
                        </m:r>
                      </m:e>
                      <m:sup>
                        <m:r>
                          <m:t>n</m:t>
                        </m:r>
                      </m:sup>
                    </m:sSup>
                    <m:r>
                      <m:rPr>
                        <m:sty m:val="p"/>
                      </m:rPr>
                      <m:t>,</m:t>
                    </m:r>
                    <m:r>
                      <m:t> </m:t>
                    </m:r>
                    <m:r>
                      <m:t>K</m:t>
                    </m:r>
                  </m:e>
                </m:d>
                <m:r>
                  <m:t> </m:t>
                </m:r>
                <m:r>
                  <m:rPr>
                    <m:nor/>
                    <m:sty m:val="p"/>
                  </m:rPr>
                  <m:t>slots</m:t>
                </m:r>
                <m:r>
                  <m:rPr>
                    <m:sty m:val="p"/>
                  </m:rPr>
                  <m:t>,</m:t>
                </m:r>
                <m:r>
                  <m:t>  </m:t>
                </m:r>
                <m:r>
                  <m:t>K</m:t>
                </m:r>
                <m:r>
                  <m:rPr>
                    <m:sty m:val="p"/>
                  </m:rPr>
                  <m:t>=</m:t>
                </m:r>
                <m:r>
                  <m:t>6</m:t>
                </m:r>
                <m:r>
                  <m:t> </m:t>
                </m:r>
                <m:r>
                  <m:rPr>
                    <m:nor/>
                    <m:sty m:val="p"/>
                  </m:rPr>
                  <m:t>h</m:t>
                </m:r>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(5)</w:t>
            </w:r>
          </w:p>
        </w:tc>
      </w:tr>
    </w:tbl>
    <w:p>
      <w:pPr>
        <w:numPr>
          <w:ilvl w:val="0"/>
          <w:numId w:val="1000"/>
        </w:numPr>
        <w:ind w:firstLine="0"/>
      </w:pPr>
      <w:r>
        <w:t xml:space="preserve">after the</w:t>
      </w:r>
      <w:r>
        <w:t xml:space="preserve"> </w:t>
      </w:r>
      <m:oMath>
        <m:r>
          <m:t>n</m:t>
        </m:r>
      </m:oMath>
      <w:r>
        <w:t xml:space="preserve">-th failed probe and uploading the buffer in confirmed bulk frames once a probe succeeds.</w:t>
      </w:r>
    </w:p>
    <w:p>
      <w:pPr>
        <w:numPr>
          <w:ilvl w:val="0"/>
          <w:numId w:val="1004"/>
        </w:numPr>
      </w:pPr>
      <w:r>
        <w:t xml:space="preserve">Batching: the buffer is uploaded every 1 or 6 h with the same back-off.</w:t>
      </w:r>
    </w:p>
    <w:p>
      <w:pPr>
        <w:pStyle w:val="FirstParagraph"/>
      </w:pPr>
      <w:r>
        <w:t xml:space="preserve">Replay: A slot in which a record delivered nothing is a slot in which the first attempt fails; what happens to later attempts in that slot is not in the record. Three models bracket it:</w:t>
      </w:r>
    </w:p>
    <w:p>
      <w:pPr>
        <w:numPr>
          <w:ilvl w:val="0"/>
          <w:numId w:val="1005"/>
        </w:numPr>
      </w:pPr>
      <w:r>
        <w:t xml:space="preserve">Full slot: the link stays down for the whole slot (pessimistic for ARQ).</w:t>
      </w:r>
    </w:p>
    <w:p>
      <w:pPr>
        <w:numPr>
          <w:ilvl w:val="0"/>
          <w:numId w:val="1005"/>
        </w:numPr>
      </w:pPr>
      <w:r>
        <w:t xml:space="preserve">Restoration: the link returns at a uniformly random time before the next delivered slot.</w:t>
      </w:r>
    </w:p>
    <w:p>
      <w:pPr>
        <w:numPr>
          <w:ilvl w:val="0"/>
          <w:numId w:val="1005"/>
        </w:numPr>
      </w:pPr>
      <w:r>
        <w:t xml:space="preserve">Burst: in addition, gaps of up to an hour are radio-loss bursts through which retries usually pass (optimistic for ARQ).</w:t>
      </w:r>
    </w:p>
    <w:p>
      <w:pPr>
        <w:pStyle w:val="FirstParagraph"/>
      </w:pPr>
      <w:r>
        <w:t xml:space="preserve">Independent radio losses of 0.096 per attempt (LoED) can be added. The buffer is unlimited and free, unless stated otherwise. Supplementary Table S1 lists every input as measured, inferred, or assumed.</w:t>
      </w:r>
    </w:p>
    <w:bookmarkEnd w:id="16"/>
    <w:bookmarkStart w:id="17" w:name="sec:data-picture"/>
    <w:p>
      <w:pPr>
        <w:pStyle w:val="Heading2"/>
      </w:pPr>
      <w:r>
        <w:t xml:space="preserve">D. The server’s real-time picture and the tolerances</w:t>
      </w:r>
    </w:p>
    <w:p>
      <w:pPr>
        <w:pStyle w:val="FirstParagraph"/>
      </w:pPr>
      <w:r>
        <w:t xml:space="preserve">Let</w:t>
      </w:r>
      <w:r>
        <w:t xml:space="preserve"> </w:t>
      </w:r>
      <m:oMath>
        <m:r>
          <m:t>x</m:t>
        </m:r>
        <m:r>
          <m:rPr>
            <m:sty m:val="p"/>
          </m:rPr>
          <m:t>(</m:t>
        </m:r>
        <m:r>
          <m:t>t</m:t>
        </m:r>
        <m:r>
          <m:rPr>
            <m:sty m:val="p"/>
          </m:rPr>
          <m:t>)</m:t>
        </m:r>
      </m:oMath>
      <w:r>
        <w:t xml:space="preserve"> </w:t>
      </w:r>
      <w:r>
        <w:t xml:space="preserve">be the true reading of one parameter at slot</w:t>
      </w:r>
      <w:r>
        <w:t xml:space="preserve"> </w:t>
      </w:r>
      <m:oMath>
        <m:r>
          <m:t>t</m:t>
        </m:r>
      </m:oMath>
      <w:r>
        <w:t xml:space="preserve">,</w:t>
      </w:r>
      <w:r>
        <w:t xml:space="preserve"> </w:t>
      </w:r>
      <m:oMath>
        <m:r>
          <m:t>A</m:t>
        </m:r>
        <m:r>
          <m:rPr>
            <m:sty m:val="p"/>
          </m:rPr>
          <m:t>(</m:t>
        </m:r>
        <m:r>
          <m:t>τ</m:t>
        </m:r>
        <m:r>
          <m:rPr>
            <m:sty m:val="p"/>
          </m:rPr>
          <m:t>)</m:t>
        </m:r>
      </m:oMath>
      <w:r>
        <w:t xml:space="preserve"> </w:t>
      </w:r>
      <w:r>
        <w:t xml:space="preserve">the set of slots whose readings have arrived by time</w:t>
      </w:r>
      <w:r>
        <w:t xml:space="preserve"> </w:t>
      </w:r>
      <m:oMath>
        <m:r>
          <m:t>τ</m:t>
        </m:r>
      </m:oMath>
      <w:r>
        <w:t xml:space="preserve">, and</w:t>
      </w:r>
      <w:r>
        <w:t xml:space="preserve"> </w:t>
      </w:r>
      <m:oMath>
        <m:sSup>
          <m:e>
            <m:r>
              <m:t>s</m:t>
            </m:r>
          </m:e>
          <m:sup>
            <m:r>
              <m:rPr>
                <m:sty m:val="p"/>
              </m:rPr>
              <m:t>*</m:t>
            </m:r>
          </m:sup>
        </m:sSup>
        <m:r>
          <m:rPr>
            <m:sty m:val="p"/>
          </m:rPr>
          <m:t>(</m:t>
        </m:r>
        <m:r>
          <m:t>τ</m:t>
        </m:r>
        <m:r>
          <m:rPr>
            <m:sty m:val="p"/>
          </m:rPr>
          <m:t>)</m:t>
        </m:r>
        <m:r>
          <m:rPr>
            <m:sty m:val="p"/>
          </m:rPr>
          <m:t>=</m:t>
        </m:r>
        <m:r>
          <m:rPr>
            <m:sty m:val="p"/>
          </m:rPr>
          <m:t>max</m:t>
        </m:r>
        <m:r>
          <m:t>A</m:t>
        </m:r>
        <m:r>
          <m:rPr>
            <m:sty m:val="p"/>
          </m:rPr>
          <m:t>(</m:t>
        </m:r>
        <m:r>
          <m:t>τ</m:t>
        </m:r>
        <m:r>
          <m:rPr>
            <m:sty m:val="p"/>
          </m:rPr>
          <m:t>)</m:t>
        </m:r>
      </m:oMath>
      <w:r>
        <w:t xml:space="preserve">. The server shows</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acc>
                  <m:accPr>
                    <m:chr m:val="̂"/>
                  </m:accPr>
                  <m:e>
                    <m:r>
                      <m:t>x</m:t>
                    </m:r>
                  </m:e>
                </m:acc>
                <m:r>
                  <m:rPr>
                    <m:sty m:val="p"/>
                  </m:rPr>
                  <m:t>(</m:t>
                </m:r>
                <m:r>
                  <m:t>τ</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r>
                            <m:t>τ</m:t>
                          </m:r>
                          <m:r>
                            <m:rPr>
                              <m:sty m:val="p"/>
                            </m:rPr>
                            <m:t>)</m:t>
                          </m:r>
                          <m:r>
                            <m:rPr>
                              <m:sty m:val="p"/>
                            </m:rPr>
                            <m:t>,</m:t>
                          </m:r>
                        </m:e>
                        <m:e>
                          <m:r>
                            <m:t>τ</m:t>
                          </m:r>
                          <m:r>
                            <m:rPr>
                              <m:sty m:val="p"/>
                            </m:rPr>
                            <m:t>∈</m:t>
                          </m:r>
                          <m:r>
                            <m:t>A</m:t>
                          </m:r>
                          <m:r>
                            <m:rPr>
                              <m:sty m:val="p"/>
                            </m:rPr>
                            <m:t>(</m:t>
                          </m:r>
                          <m:r>
                            <m:t>τ</m:t>
                          </m:r>
                          <m:r>
                            <m:rPr>
                              <m:sty m:val="p"/>
                            </m:rPr>
                            <m:t>)</m:t>
                          </m:r>
                          <m:r>
                            <m:rPr>
                              <m:sty m:val="p"/>
                            </m:rPr>
                            <m:t>,</m:t>
                          </m:r>
                        </m:e>
                      </m:mr>
                      <m:mr>
                        <m:e>
                          <m:r>
                            <m:t>x</m:t>
                          </m:r>
                          <m:r>
                            <m:rPr>
                              <m:sty m:val="p"/>
                            </m:rPr>
                            <m:t>(</m:t>
                          </m:r>
                          <m:sSup>
                            <m:e>
                              <m:r>
                                <m:t>s</m:t>
                              </m:r>
                            </m:e>
                            <m:sup>
                              <m:r>
                                <m:rPr>
                                  <m:sty m:val="p"/>
                                </m:rPr>
                                <m:t>*</m:t>
                              </m:r>
                            </m:sup>
                          </m:sSup>
                          <m:r>
                            <m:rPr>
                              <m:sty m:val="p"/>
                            </m:rPr>
                            <m:t>)</m:t>
                          </m:r>
                          <m:r>
                            <m:rPr>
                              <m:sty m:val="p"/>
                            </m:rPr>
                            <m:t>+</m:t>
                          </m:r>
                          <m:r>
                            <m:rPr>
                              <m:sty m:val="p"/>
                            </m:rPr>
                            <m:t>Δ</m:t>
                          </m:r>
                          <m:r>
                            <m:rPr>
                              <m:sty m:val="p"/>
                            </m:rPr>
                            <m:t>(</m:t>
                          </m:r>
                          <m:r>
                            <m:t>τ</m:t>
                          </m:r>
                          <m:r>
                            <m:rPr>
                              <m:sty m:val="p"/>
                            </m:rPr>
                            <m:t>)</m:t>
                          </m:r>
                          <m:r>
                            <m:rPr>
                              <m:sty m:val="p"/>
                            </m:rPr>
                            <m:t>,</m:t>
                          </m:r>
                        </m:e>
                        <m:e>
                          <m:r>
                            <m:rPr>
                              <m:nor/>
                              <m:sty m:val="p"/>
                            </m:rPr>
                            <m:t>otherwise</m:t>
                          </m:r>
                          <m:r>
                            <m:rPr>
                              <m:sty m:val="p"/>
                            </m:rPr>
                            <m:t>,</m:t>
                          </m:r>
                        </m:e>
                      </m:mr>
                    </m:m>
                  </m:e>
                </m:d>
              </m:oMath>
            </m:oMathPara>
          </w:p>
        </w:tc>
        <w:tc>
          <w:tcPr>
            <w:tcW w:w="600" w:type="dxa"/>
            <w:tcBorders>
              <w:top w:val="nil"/>
              <w:left w:val="nil"/>
              <w:bottom w:val="nil"/>
              <w:right w:val="nil"/>
            </w:tcBorders>
            <w:vAlign w:val="center"/>
          </w:tcPr>
          <w:p>
            <w:pPr>
              <w:pStyle w:val="Normal"/>
              <w:spacing w:before="60" w:after="60"/>
              <w:jc w:val="right"/>
            </w:pPr>
            <w:r>
              <w:rPr/>
              <w:t xml:space="preserve">(6)</w:t>
            </w:r>
          </w:p>
        </w:tc>
      </w:tr>
    </w:tbl>
    <w:p>
      <w:pPr>
        <w:pStyle w:val="FirstParagraph"/>
        <w:ind w:firstLine="0"/>
      </w:pPr>
      <w:r>
        <w:t xml:space="preserve">where</w:t>
      </w:r>
      <w:r>
        <w:t xml:space="preserve"> </w:t>
      </w:r>
      <m:oMath>
        <m:r>
          <m:rPr>
            <m:sty m:val="p"/>
          </m:rPr>
          <m:t>Δ</m:t>
        </m:r>
        <m:r>
          <m:rPr>
            <m:sty m:val="p"/>
          </m:rPr>
          <m:t>(</m:t>
        </m:r>
        <m:r>
          <m:t>τ</m:t>
        </m:r>
        <m:r>
          <m:rPr>
            <m:sty m:val="p"/>
          </m:rPr>
          <m:t>)</m:t>
        </m:r>
        <m:r>
          <m:rPr>
            <m:sty m:val="p"/>
          </m:rPr>
          <m:t>=</m:t>
        </m:r>
        <m:r>
          <m:t>x</m:t>
        </m:r>
        <m:r>
          <m:rPr>
            <m:sty m:val="p"/>
          </m:rPr>
          <m:t>(</m:t>
        </m:r>
        <m:r>
          <m:t>τ</m:t>
        </m:r>
        <m:r>
          <m:rPr>
            <m:sty m:val="p"/>
          </m:rPr>
          <m:t>−</m:t>
        </m:r>
        <m:r>
          <m:t>24</m:t>
        </m:r>
        <m:r>
          <m:t> </m:t>
        </m:r>
        <m:r>
          <m:rPr>
            <m:sty m:val="p"/>
          </m:rPr>
          <m:t>h</m:t>
        </m:r>
        <m:r>
          <m:rPr>
            <m:sty m:val="p"/>
          </m:rPr>
          <m:t>)</m:t>
        </m:r>
        <m:r>
          <m:rPr>
            <m:sty m:val="p"/>
          </m:rPr>
          <m:t>−</m:t>
        </m:r>
        <m:r>
          <m:t>x</m:t>
        </m:r>
        <m:r>
          <m:rPr>
            <m:sty m:val="p"/>
          </m:rPr>
          <m:t>(</m:t>
        </m:r>
        <m:sSup>
          <m:e>
            <m:r>
              <m:t>s</m:t>
            </m:r>
          </m:e>
          <m:sup>
            <m:r>
              <m:rPr>
                <m:sty m:val="p"/>
              </m:rPr>
              <m:t>*</m:t>
            </m:r>
          </m:sup>
        </m:sSup>
        <m:r>
          <m:rPr>
            <m:sty m:val="p"/>
          </m:rPr>
          <m:t>−</m:t>
        </m:r>
        <m:r>
          <m:t>24</m:t>
        </m:r>
        <m:r>
          <m:t> </m:t>
        </m:r>
        <m:r>
          <m:rPr>
            <m:sty m:val="p"/>
          </m:rPr>
          <m:t>h</m:t>
        </m:r>
        <m:r>
          <m:rPr>
            <m:sty m:val="p"/>
          </m:rPr>
          <m:t>)</m:t>
        </m:r>
      </m:oMath>
      <w:r>
        <w:t xml:space="preserve"> </w:t>
      </w:r>
      <w:r>
        <w:t xml:space="preserve">if both readings have arrived and</w:t>
      </w:r>
      <w:r>
        <w:t xml:space="preserve"> </w:t>
      </w:r>
      <m:oMath>
        <m:r>
          <m:rPr>
            <m:sty m:val="p"/>
          </m:rPr>
          <m:t>Δ</m:t>
        </m:r>
        <m:r>
          <m:rPr>
            <m:sty m:val="p"/>
          </m:rPr>
          <m:t>(</m:t>
        </m:r>
        <m:r>
          <m:t>τ</m:t>
        </m:r>
        <m:r>
          <m:rPr>
            <m:sty m:val="p"/>
          </m:rPr>
          <m:t>)</m:t>
        </m:r>
        <m:r>
          <m:rPr>
            <m:sty m:val="p"/>
          </m:rPr>
          <m:t>=</m:t>
        </m:r>
        <m:r>
          <m:t>0</m:t>
        </m:r>
      </m:oMath>
      <w:r>
        <w:t xml:space="preserve"> </w:t>
      </w:r>
      <w:r>
        <w:t xml:space="preserve">otherwise. That is, the server shows the latest reading plus the site’s own change over the same hours a day earlier (the own-diel estimator). The picture is scored as the share of slots with</w:t>
      </w:r>
      <w:r>
        <w:t xml:space="preserve"> </w:t>
      </w:r>
      <m:oMath>
        <m:r>
          <m:rPr>
            <m:sty m:val="p"/>
          </m:rPr>
          <m:t>|</m:t>
        </m:r>
        <m:acc>
          <m:accPr>
            <m:chr m:val="̂"/>
          </m:accPr>
          <m:e>
            <m:r>
              <m:t>x</m:t>
            </m:r>
          </m:e>
        </m:acc>
        <m:r>
          <m:rPr>
            <m:sty m:val="p"/>
          </m:rPr>
          <m:t>(</m:t>
        </m:r>
        <m:r>
          <m:t>τ</m:t>
        </m:r>
        <m:r>
          <m:rPr>
            <m:sty m:val="p"/>
          </m:rPr>
          <m:t>)</m:t>
        </m:r>
        <m:r>
          <m:rPr>
            <m:sty m:val="p"/>
          </m:rPr>
          <m:t>−</m:t>
        </m:r>
        <m:r>
          <m:t>x</m:t>
        </m:r>
        <m:r>
          <m:rPr>
            <m:sty m:val="p"/>
          </m:rPr>
          <m:t>(</m:t>
        </m:r>
        <m:r>
          <m:t>τ</m:t>
        </m:r>
        <m:r>
          <m:rPr>
            <m:sty m:val="p"/>
          </m:rPr>
          <m:t>)</m:t>
        </m:r>
        <m:r>
          <m:rPr>
            <m:sty m:val="p"/>
          </m:rPr>
          <m:t>|</m:t>
        </m:r>
        <m:r>
          <m:rPr>
            <m:sty m:val="p"/>
          </m:rPr>
          <m:t>≤</m:t>
        </m:r>
        <m:r>
          <m:t>δ</m:t>
        </m:r>
      </m:oMath>
      <w:r>
        <w:t xml:space="preserve">. At the reference level L2,</w:t>
      </w:r>
      <w:r>
        <w:t xml:space="preserve"> </w:t>
      </w:r>
      <m:oMath>
        <m:r>
          <m:t>δ</m:t>
        </m:r>
      </m:oMath>
      <w:r>
        <w:t xml:space="preserve"> </w:t>
      </w:r>
      <w:r>
        <w:t xml:space="preserve">is 0.2 </w:t>
      </w:r>
      <m:oMath>
        <m:sSup>
          <m:e>
            <m:r>
              <m:t>​</m:t>
            </m:r>
          </m:e>
          <m:sup>
            <m:r>
              <m:rPr>
                <m:sty m:val="p"/>
              </m:rPr>
              <m:t>∘</m:t>
            </m:r>
          </m:sup>
        </m:sSup>
      </m:oMath>
      <w:r>
        <w:t xml:space="preserve">C (T), 2% saturation (DO), 0.1 (pH), and 2% of the median (EC); L1 halves and L3 widens these. L2 lies at or inside the U.S. Geological Survey’s accuracy rating</w:t>
      </w:r>
      <w:r>
        <w:t xml:space="preserve"> </w:t>
      </w:r>
      <w:r>
        <w:t xml:space="preserve">“excellent”</w:t>
      </w:r>
      <w:r>
        <w:t xml:space="preserve"> </w:t>
      </w:r>
      <w:r>
        <w:t xml:space="preserve">[49]</w:t>
      </w:r>
      <w:r>
        <w:t xml:space="preserve"> </w:t>
      </w:r>
      <w:r>
        <w:t xml:space="preserve">for every parameter (Supplementary Section S6).</w:t>
      </w:r>
    </w:p>
    <w:p>
      <w:pPr>
        <w:pStyle w:val="BodyText"/>
      </w:pPr>
      <w:r>
        <w:t xml:space="preserve">River data: River signals are approved USGS instantaneous values of T, EC, DO, and pH </w:t>
      </w:r>
      <w:r>
        <w:t xml:space="preserve">[50]</w:t>
      </w:r>
      <w:r>
        <w:t xml:space="preserve">, with DO converted to percent saturation </w:t>
      </w:r>
      <w:r>
        <w:t xml:space="preserve">[51]</w:t>
      </w:r>
      <w:r>
        <w:t xml:space="preserve">. Section VI uses nine river chains (27 sites) in 2023. Section VII uses every candidate site with all four parameters in complete cycles for at least half of the year: 30 of 39 in 2023 (development) and 33 in 2024 (held out).</w:t>
      </w:r>
    </w:p>
    <w:bookmarkEnd w:id="17"/>
    <w:bookmarkEnd w:id="18"/>
    <w:bookmarkStart w:id="24" w:name="sec:outages"/>
    <w:p>
      <w:pPr>
        <w:pStyle w:val="Heading1"/>
      </w:pPr>
      <w:r>
        <w:t xml:space="preserve">IV. How the Records Lose Data</w:t>
      </w:r>
    </w:p>
    <w:p>
      <w:pPr>
        <w:pStyle w:val="FirstParagraph"/>
      </w:pPr>
      <w:r>
        <w:t xml:space="preserve">In the water-quality deployments, most missing data were in long gaps. InWaterSense node 1 had 1,619 delivery gaps (timelines in Supplementary Fig. S1). Of these, 47.3% lasted a single slot but held only 4.7% of the missing readings, while 14 gaps of a day or more held 50.7% (95% CI 29.4%–64.6%), and gaps of 6 h or more held 68.5% (Fig. 1); the longest lasted 13.3 days. Weija, on another continent, showed the same structure: 82.9% of the missing conductivity readings fell in gaps of a day or more (71.0%–100.0% across all streams), with the longest lasting 36.7 days. With only 3 day-long gaps, the Weija interval is wide (0.0%–93.5%); therefore, Weija serves as qualitative support.</w:t>
      </w:r>
    </w:p>
    <w:bookmarkStart w:id="22" w:name="fig:outage-share"/>
    <w:p>
      <w:pPr>
        <w:pStyle w:val="CaptionedFigure"/>
      </w:pPr>
      <w:r>
        <w:drawing>
          <wp:inline>
            <wp:extent cx="3200400" cy="2743200"/>
            <wp:effectExtent b="0" l="0" r="0" t="0"/>
            <wp:docPr descr="" title="" id="20" name="Picture"/>
            <a:graphic>
              <a:graphicData uri="http://schemas.openxmlformats.org/drawingml/2006/picture">
                <pic:pic>
                  <pic:nvPicPr>
                    <pic:cNvPr descr="figs/fig_outage_share.png" id="21" name="Picture"/>
                    <pic:cNvPicPr>
                      <a:picLocks noChangeArrowheads="1" noChangeAspect="1"/>
                    </pic:cNvPicPr>
                  </pic:nvPicPr>
                  <pic:blipFill>
                    <a:blip r:embed="rId19"/>
                    <a:stretch>
                      <a:fillRect/>
                    </a:stretch>
                  </pic:blipFill>
                  <pic:spPr bwMode="auto">
                    <a:xfrm>
                      <a:off x="0" y="0"/>
                      <a:ext cx="3200400" cy="2743200"/>
                    </a:xfrm>
                    <a:prstGeom prst="rect">
                      <a:avLst/>
                    </a:prstGeom>
                    <a:noFill/>
                    <a:ln w="9525">
                      <a:noFill/>
                      <a:headEnd/>
                      <a:tailEnd/>
                    </a:ln>
                  </pic:spPr>
                </pic:pic>
              </a:graphicData>
            </a:graphic>
          </wp:inline>
        </w:drawing>
      </w:r>
    </w:p>
    <w:p>
      <w:pPr>
        <w:pStyle w:val="ImageCaption"/>
      </w:pPr>
      <w:r>
        <w:rPr/>
        <w:t xml:space="preserve">Fig. 1. </w:t>
      </w:r>
      <w:r>
        <w:t xml:space="preserve">Share of missing readings in gaps at least as long as the horizontal axis,</w:t>
      </w:r>
      <w:r>
        <w:t xml:space="preserve"> </w:t>
      </w:r>
      <m:oMath>
        <m:r>
          <m:t>S</m:t>
        </m:r>
        <m:r>
          <m:rPr>
            <m:sty m:val="p"/>
          </m:rPr>
          <m:t>(</m:t>
        </m:r>
        <m:r>
          <m:t>L</m:t>
        </m:r>
        <m:r>
          <m:rPr>
            <m:sty m:val="p"/>
          </m:rPr>
          <m:t>)</m:t>
        </m:r>
      </m:oMath>
      <w:r>
        <w:t xml:space="preserve"> </w:t>
      </w:r>
      <w:r>
        <w:t xml:space="preserve">in (1) (solid), and as predicted by the geometric model (2) fitted to each record (dashed). InWaterSense node 1 (611-s slots), Weija conductivity (32.5-min slots), and UVA (5-min slots; radio and system losses together).</w:t>
      </w:r>
    </w:p>
    <w:bookmarkEnd w:id="22"/>
    <w:p>
      <w:pPr>
        <w:pStyle w:val="BodyText"/>
      </w:pPr>
      <w:r>
        <w:t xml:space="preserve">The geometric model failed, and no tested model fitted. The geometric model (2) ranked last by AIC on every record (Table III), by 3,677 points on InWaterSense, 120 on Weija, and 43,915 on UVA. It also failed in the quantity that matters: fitted to InWaterSense, it put 11.4% of the missing readings in gaps of 6 h or more, against 68.5% observed, and less than 0.001% in gaps of a day or more. It was also rejected absolutely on every record (</w:t>
      </w:r>
      <m:oMath>
        <m:r>
          <m:t>p</m:t>
        </m:r>
        <m:r>
          <m:rPr>
            <m:sty m:val="p"/>
          </m:rPr>
          <m:t>≤</m:t>
        </m:r>
      </m:oMath>
      <w:r>
        <w:t xml:space="preserve"> 0.005). On the large records, every model was rejected, but the geometric model’s largest distance between the fitted and observed distribution functions was 0.48 on InWaterSense, against 0.027 for the best alternative. No single alternative won everywhere; the mixture (3), with many short losses and a few long gaps, is the common thread. On InWaterSense, long gaps also clustered (Spearman</w:t>
      </w:r>
      <w:r>
        <w:t xml:space="preserve"> </w:t>
      </w:r>
      <m:oMath>
        <m:r>
          <m:t>ρ</m:t>
        </m:r>
        <m:r>
          <m:rPr>
            <m:sty m:val="p"/>
          </m:rPr>
          <m:t>=</m:t>
        </m:r>
      </m:oMath>
      <w:r>
        <w:t xml:space="preserve"> </w:t>
      </w:r>
      <m:oMath>
        <m:r>
          <m:rPr>
            <m:sty m:val="p"/>
          </m:rPr>
          <m:t>+</m:t>
        </m:r>
        <m:r>
          <m:t>0.27</m:t>
        </m:r>
      </m:oMath>
      <w:r>
        <w:t xml:space="preserve"> </w:t>
      </w:r>
      <w:r>
        <w:t xml:space="preserve">between the lengths of consecutive gaps); therefore, all simulations replay the real records rather than a fitted model.</w:t>
      </w:r>
    </w:p>
    <w:bookmarkStart w:id="23" w:name="tab:aic"/>
    <w:p>
      <w:pPr>
        <w:pStyle w:val="TableCaption"/>
        <w:spacing w:before="200" w:after="0"/>
      </w:pPr>
      <w:r>
        <w:rPr/>
        <w:t xml:space="preserve">Table III</w:t>
      </w:r>
    </w:p>
    <w:p>
      <w:pPr>
        <w:pStyle w:val="TableCaption"/>
      </w:pPr>
      <w:r>
        <w:t xml:space="preserve">AIC of gap-length models (lower is better; best per record in bold). UVA: all missing-frame runs, 5-min slots.</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III:N:M@@AIC of gap-length models (lower is better; best per record in bold). UVA: all missing-frame runs, 5-min slots."/>
      </w:tblPr>
      <w:tblGrid>
        <w:gridCol w:w="1980"/>
        <w:gridCol w:w="1980"/>
        <w:gridCol w:w="1980"/>
        <w:gridCol w:w="1980"/>
      </w:tblGrid>
      <w:tr>
        <w:trPr>
          <w:cantSplit/>
          <w:tblHeader w:val="on"/>
        </w:trPr>
        <w:tc>
          <w:tcPr>
            <w:tcBorders>
              <w:bottom w:val="single" w:sz="4" w:space="0" w:color="000000"/>
            </w:tcBorders>
          </w:tcPr>
          <w:p>
            <w:pPr>
              <w:pStyle w:val="Compact"/>
              <w:keepNext/>
              <w:spacing w:before="10" w:after="10"/>
              <w:ind w:firstLine="0"/>
              <w:jc w:val="left"/>
              <w:rPr>
                <w:sz w:val="16"/>
                <w:szCs w:val="16"/>
              </w:rPr>
            </w:pPr>
            <w:r>
              <w:rPr>
                <w:sz w:val="16"/>
                <w:szCs w:val="16"/>
              </w:rPr>
              <w:t xml:space="preserve">Model</w:t>
            </w:r>
          </w:p>
        </w:tc>
        <w:tc>
          <w:tcPr>
            <w:tcBorders>
              <w:bottom w:val="single" w:sz="4" w:space="0" w:color="000000"/>
            </w:tcBorders>
          </w:tcPr>
          <w:p>
            <w:pPr>
              <w:pStyle w:val="Compact"/>
              <w:keepNext/>
              <w:spacing w:before="10" w:after="10"/>
              <w:ind w:firstLine="0"/>
              <w:jc w:val="right"/>
              <w:rPr>
                <w:sz w:val="16"/>
                <w:szCs w:val="16"/>
              </w:rPr>
            </w:pPr>
            <w:r>
              <w:rPr>
                <w:sz w:val="16"/>
                <w:szCs w:val="16"/>
              </w:rPr>
              <w:t xml:space="preserve">InWaterSense</w:t>
            </w:r>
          </w:p>
        </w:tc>
        <w:tc>
          <w:tcPr>
            <w:tcBorders>
              <w:bottom w:val="single" w:sz="4" w:space="0" w:color="000000"/>
            </w:tcBorders>
          </w:tcPr>
          <w:p>
            <w:pPr>
              <w:pStyle w:val="Compact"/>
              <w:keepNext/>
              <w:spacing w:before="10" w:after="10"/>
              <w:ind w:firstLine="0"/>
              <w:jc w:val="right"/>
              <w:rPr>
                <w:sz w:val="16"/>
                <w:szCs w:val="16"/>
              </w:rPr>
            </w:pPr>
            <w:r>
              <w:rPr>
                <w:sz w:val="16"/>
                <w:szCs w:val="16"/>
              </w:rPr>
              <w:t xml:space="preserve">Weija</w:t>
            </w:r>
          </w:p>
        </w:tc>
        <w:tc>
          <w:tcPr>
            <w:tcBorders>
              <w:bottom w:val="single" w:sz="4" w:space="0" w:color="000000"/>
            </w:tcBorders>
          </w:tcPr>
          <w:p>
            <w:pPr>
              <w:pStyle w:val="Compact"/>
              <w:keepNext/>
              <w:spacing w:before="10" w:after="10"/>
              <w:ind w:firstLine="0"/>
              <w:jc w:val="right"/>
              <w:rPr>
                <w:sz w:val="16"/>
                <w:szCs w:val="16"/>
              </w:rPr>
            </w:pPr>
            <w:r>
              <w:rPr>
                <w:sz w:val="16"/>
                <w:szCs w:val="16"/>
              </w:rPr>
              <w:t xml:space="preserve">UVA</w:t>
            </w:r>
          </w:p>
        </w:tc>
      </w:tr>
      <w:tr>
        <w:trPr>
          <w:cantSplit/>
        </w:trPr>
        <w:tc>
          <w:tcPr/>
          <w:p>
            <w:pPr>
              <w:pStyle w:val="Compact"/>
              <w:keepNext/>
              <w:spacing w:before="10" w:after="10"/>
              <w:ind w:firstLine="0"/>
              <w:jc w:val="left"/>
              <w:rPr>
                <w:sz w:val="16"/>
                <w:szCs w:val="16"/>
              </w:rPr>
            </w:pPr>
            <w:r>
              <w:rPr>
                <w:sz w:val="16"/>
                <w:szCs w:val="16"/>
              </w:rPr>
              <w:t xml:space="preserve">Geometric (memoryless)</w:t>
            </w:r>
          </w:p>
        </w:tc>
        <w:tc>
          <w:tcPr/>
          <w:p>
            <w:pPr>
              <w:pStyle w:val="Compact"/>
              <w:keepNext/>
              <w:spacing w:before="10" w:after="10"/>
              <w:ind w:firstLine="0"/>
              <w:jc w:val="right"/>
              <w:rPr>
                <w:sz w:val="16"/>
                <w:szCs w:val="16"/>
              </w:rPr>
            </w:pPr>
            <w:r>
              <w:rPr>
                <w:sz w:val="16"/>
                <w:szCs w:val="16"/>
              </w:rPr>
              <w:t xml:space="preserve">10,537</w:t>
            </w:r>
          </w:p>
        </w:tc>
        <w:tc>
          <w:tcPr/>
          <w:p>
            <w:pPr>
              <w:pStyle w:val="Compact"/>
              <w:keepNext/>
              <w:spacing w:before="10" w:after="10"/>
              <w:ind w:firstLine="0"/>
              <w:jc w:val="right"/>
              <w:rPr>
                <w:sz w:val="16"/>
                <w:szCs w:val="16"/>
              </w:rPr>
            </w:pPr>
            <w:r>
              <w:rPr>
                <w:sz w:val="16"/>
                <w:szCs w:val="16"/>
              </w:rPr>
              <w:t xml:space="preserve">341</w:t>
            </w:r>
          </w:p>
        </w:tc>
        <w:tc>
          <w:tcPr/>
          <w:p>
            <w:pPr>
              <w:pStyle w:val="Compact"/>
              <w:keepNext/>
              <w:spacing w:before="10" w:after="10"/>
              <w:ind w:firstLine="0"/>
              <w:jc w:val="right"/>
              <w:rPr>
                <w:sz w:val="16"/>
                <w:szCs w:val="16"/>
              </w:rPr>
            </w:pPr>
            <w:r>
              <w:rPr>
                <w:sz w:val="16"/>
                <w:szCs w:val="16"/>
              </w:rPr>
              <w:t xml:space="preserve">76,881</w:t>
            </w:r>
          </w:p>
        </w:tc>
      </w:tr>
      <w:tr>
        <w:trPr>
          <w:cantSplit/>
        </w:trPr>
        <w:tc>
          <w:tcPr/>
          <w:p>
            <w:pPr>
              <w:pStyle w:val="Compact"/>
              <w:keepNext/>
              <w:spacing w:before="10" w:after="10"/>
              <w:ind w:firstLine="0"/>
              <w:jc w:val="left"/>
              <w:rPr>
                <w:sz w:val="16"/>
                <w:szCs w:val="16"/>
              </w:rPr>
            </w:pPr>
            <w:r>
              <w:rPr>
                <w:sz w:val="16"/>
                <w:szCs w:val="16"/>
              </w:rPr>
              <w:t xml:space="preserve">Two-geometric mixture</w:t>
            </w:r>
          </w:p>
        </w:tc>
        <w:tc>
          <w:tcPr/>
          <w:p>
            <w:pPr>
              <w:pStyle w:val="Compact"/>
              <w:keepNext/>
              <w:spacing w:before="10" w:after="10"/>
              <w:ind w:firstLine="0"/>
              <w:jc w:val="right"/>
              <w:rPr>
                <w:sz w:val="16"/>
                <w:szCs w:val="16"/>
              </w:rPr>
            </w:pPr>
            <w:r>
              <w:rPr>
                <w:sz w:val="16"/>
                <w:szCs w:val="16"/>
              </w:rPr>
              <w:t xml:space="preserve">7,107</w:t>
            </w:r>
          </w:p>
        </w:tc>
        <w:tc>
          <w:tcPr/>
          <w:p>
            <w:pPr>
              <w:pStyle w:val="Compact"/>
              <w:keepNext/>
              <w:spacing w:before="10" w:after="10"/>
              <w:ind w:firstLine="0"/>
              <w:jc w:val="right"/>
              <w:rPr>
                <w:sz w:val="16"/>
                <w:szCs w:val="16"/>
              </w:rPr>
            </w:pPr>
            <w:r>
              <w:rPr>
                <w:sz w:val="16"/>
                <w:szCs w:val="16"/>
              </w:rPr>
              <w:t xml:space="preserve">236</w:t>
            </w:r>
          </w:p>
        </w:tc>
        <w:tc>
          <w:tcPr/>
          <w:p>
            <w:pPr>
              <w:pStyle w:val="Compact"/>
              <w:keepNext/>
              <w:spacing w:before="10" w:after="10"/>
              <w:ind w:firstLine="0"/>
              <w:jc w:val="right"/>
              <w:rPr>
                <w:sz w:val="16"/>
                <w:szCs w:val="16"/>
              </w:rPr>
            </w:pPr>
            <w:r>
              <w:rPr>
                <w:b/>
                <w:bCs/>
                <w:sz w:val="16"/>
                <w:szCs w:val="16"/>
              </w:rPr>
              <w:t xml:space="preserve">32,966</w:t>
            </w:r>
          </w:p>
        </w:tc>
      </w:tr>
      <w:tr>
        <w:trPr>
          <w:cantSplit/>
        </w:trPr>
        <w:tc>
          <w:tcPr/>
          <w:p>
            <w:pPr>
              <w:pStyle w:val="Compact"/>
              <w:keepNext/>
              <w:spacing w:before="10" w:after="10"/>
              <w:ind w:firstLine="0"/>
              <w:jc w:val="left"/>
              <w:rPr>
                <w:sz w:val="16"/>
                <w:szCs w:val="16"/>
              </w:rPr>
            </w:pPr>
            <w:r>
              <w:rPr>
                <w:sz w:val="16"/>
                <w:szCs w:val="16"/>
              </w:rPr>
              <w:t xml:space="preserve">Discrete lognormal</w:t>
            </w:r>
          </w:p>
        </w:tc>
        <w:tc>
          <w:tcPr/>
          <w:p>
            <w:pPr>
              <w:pStyle w:val="Compact"/>
              <w:keepNext/>
              <w:spacing w:before="10" w:after="10"/>
              <w:ind w:firstLine="0"/>
              <w:jc w:val="right"/>
              <w:rPr>
                <w:sz w:val="16"/>
                <w:szCs w:val="16"/>
              </w:rPr>
            </w:pPr>
            <w:r>
              <w:rPr>
                <w:b/>
                <w:bCs/>
                <w:sz w:val="16"/>
                <w:szCs w:val="16"/>
              </w:rPr>
              <w:t xml:space="preserve">6,859</w:t>
            </w:r>
          </w:p>
        </w:tc>
        <w:tc>
          <w:tcPr/>
          <w:p>
            <w:pPr>
              <w:pStyle w:val="Compact"/>
              <w:keepNext/>
              <w:spacing w:before="10" w:after="10"/>
              <w:ind w:firstLine="0"/>
              <w:jc w:val="right"/>
              <w:rPr>
                <w:sz w:val="16"/>
                <w:szCs w:val="16"/>
              </w:rPr>
            </w:pPr>
            <w:r>
              <w:rPr>
                <w:sz w:val="16"/>
                <w:szCs w:val="16"/>
              </w:rPr>
              <w:t xml:space="preserve">222</w:t>
            </w:r>
          </w:p>
        </w:tc>
        <w:tc>
          <w:tcPr/>
          <w:p>
            <w:pPr>
              <w:pStyle w:val="Compact"/>
              <w:keepNext/>
              <w:spacing w:before="10" w:after="10"/>
              <w:ind w:firstLine="0"/>
              <w:jc w:val="right"/>
              <w:rPr>
                <w:sz w:val="16"/>
                <w:szCs w:val="16"/>
              </w:rPr>
            </w:pPr>
            <w:r>
              <w:rPr>
                <w:sz w:val="16"/>
                <w:szCs w:val="16"/>
              </w:rPr>
              <w:t xml:space="preserve">33,327</w:t>
            </w:r>
          </w:p>
        </w:tc>
      </w:tr>
      <w:tr>
        <w:trPr>
          <w:cantSplit/>
        </w:trPr>
        <w:tc>
          <w:tcPr/>
          <w:p>
            <w:pPr>
              <w:pStyle w:val="Compact"/>
              <w:spacing w:before="10" w:after="10"/>
              <w:ind w:firstLine="0"/>
              <w:jc w:val="left"/>
              <w:rPr>
                <w:sz w:val="16"/>
                <w:szCs w:val="16"/>
              </w:rPr>
            </w:pPr>
            <w:r>
              <w:rPr>
                <w:sz w:val="16"/>
                <w:szCs w:val="16"/>
              </w:rPr>
              <w:t xml:space="preserve">Discrete power law</w:t>
            </w:r>
          </w:p>
        </w:tc>
        <w:tc>
          <w:tcPr/>
          <w:p>
            <w:pPr>
              <w:pStyle w:val="Compact"/>
              <w:spacing w:before="10" w:after="10"/>
              <w:ind w:firstLine="0"/>
              <w:jc w:val="right"/>
              <w:rPr>
                <w:sz w:val="16"/>
                <w:szCs w:val="16"/>
              </w:rPr>
            </w:pPr>
            <w:r>
              <w:rPr>
                <w:sz w:val="16"/>
                <w:szCs w:val="16"/>
              </w:rPr>
              <w:t xml:space="preserve">6,863</w:t>
            </w:r>
          </w:p>
        </w:tc>
        <w:tc>
          <w:tcPr/>
          <w:p>
            <w:pPr>
              <w:pStyle w:val="Compact"/>
              <w:spacing w:before="10" w:after="10"/>
              <w:ind w:firstLine="0"/>
              <w:jc w:val="right"/>
              <w:rPr>
                <w:sz w:val="16"/>
                <w:szCs w:val="16"/>
              </w:rPr>
            </w:pPr>
            <w:r>
              <w:rPr>
                <w:b/>
                <w:bCs/>
                <w:sz w:val="16"/>
                <w:szCs w:val="16"/>
              </w:rPr>
              <w:t xml:space="preserve">221</w:t>
            </w:r>
          </w:p>
        </w:tc>
        <w:tc>
          <w:tcPr/>
          <w:p>
            <w:pPr>
              <w:pStyle w:val="Compact"/>
              <w:spacing w:before="10" w:after="10"/>
              <w:ind w:firstLine="0"/>
              <w:jc w:val="right"/>
              <w:rPr>
                <w:sz w:val="16"/>
                <w:szCs w:val="16"/>
              </w:rPr>
            </w:pPr>
            <w:r>
              <w:rPr>
                <w:sz w:val="16"/>
                <w:szCs w:val="16"/>
              </w:rPr>
              <w:t xml:space="preserve">33,180</w:t>
            </w:r>
          </w:p>
        </w:tc>
      </w:tr>
    </w:tbl>
    <w:bookmarkEnd w:id="23"/>
    <w:p>
      <w:pPr>
        <w:pStyle w:val="BodyText"/>
      </w:pPr>
      <w:r>
        <w:t xml:space="preserve">The LoRaWAN networks showed short radio losses and rare system outages. On LoED, well-heard devices lost 9.6% of their frames to the radio, in short bursts: of 56,276 bursts, 84% were a single frame and 99% were at most five frames, and a loss after a loss had a probability of 0.25. UVA adds 16 months of continuous operation. The system was available 98.72% of the time; of the 58,211 missing frames, 71.6% were radio losses and 28.4% were system losses, and 83% of the system downtime fell in outages of a day or more. One gateway was down for 29.9 days without causing a single gateway loss, because every sensor was also heard by a second gateway, and rain had no detectable effect on link loss (9.18% dry, 9.21% rainy; Wilcoxon </w:t>
      </w:r>
      <w:r>
        <w:t xml:space="preserve">[52]</w:t>
      </w:r>
      <w:r>
        <w:t xml:space="preserve"> </w:t>
      </w:r>
      <m:oMath>
        <m:r>
          <m:t>p</m:t>
        </m:r>
        <m:r>
          <m:rPr>
            <m:sty m:val="p"/>
          </m:rPr>
          <m:t>=</m:t>
        </m:r>
      </m:oMath>
      <w:r>
        <w:t xml:space="preserve"> 0.64).</w:t>
      </w:r>
    </w:p>
    <w:p>
      <w:pPr>
        <w:pStyle w:val="BodyText"/>
      </w:pPr>
      <w:r>
        <w:t xml:space="preserve">In response to RQ1, in the four records, losses fell into short, nearly independent radio losses and rarer long delivery gaps or system outages. In the water-quality deployments, gaps of 6 h or more held most of the missing data (68.5% on InWaterSense, 88.9% on Weija). A geometric gap-length model missed this second regime almost entirely.</w:t>
      </w:r>
    </w:p>
    <w:bookmarkEnd w:id="24"/>
    <w:bookmarkStart w:id="30" w:name="sec:handling"/>
    <w:p>
      <w:pPr>
        <w:pStyle w:val="Heading1"/>
      </w:pPr>
      <w:r>
        <w:t xml:space="preserve">V. Retransmit or Backfill?</w:t>
      </w:r>
    </w:p>
    <w:p>
      <w:pPr>
        <w:pStyle w:val="FirstParagraph"/>
      </w:pPr>
      <w:r>
        <w:t xml:space="preserve">The InWaterSense and Weija records were replayed as the link state for NB-IoT (search times 2.2, 10, 60 s), LoRaWAN SF7, and LoRaWAN SF12, with and without independent radio losses: 20 configurations in all. Table IV shows InWaterSense under the full-slot model; ranges are over all configurations, and further results are given in Supplementary Section S4.</w:t>
      </w:r>
    </w:p>
    <w:bookmarkStart w:id="25" w:name="tab:strategies"/>
    <w:p>
      <w:pPr>
        <w:pStyle w:val="TableCaption"/>
        <w:spacing w:before="200" w:after="0"/>
      </w:pPr>
      <w:r>
        <w:rPr/>
        <w:t xml:space="preserve">Table IV</w:t>
      </w:r>
    </w:p>
    <w:p>
      <w:pPr>
        <w:pStyle w:val="TableCaption"/>
      </w:pPr>
      <w:r>
        <w:t xml:space="preserve">Loss-handling strategies on the InWaterSense record (full-slot model, no added radio loss): transmission energy per day,</w:t>
      </w:r>
      <w:r>
        <w:t xml:space="preserve"> </w:t>
      </w:r>
      <m:oMath>
        <m:sSub>
          <m:e>
            <m:r>
              <m:t>E</m:t>
            </m:r>
          </m:e>
          <m:sub>
            <m:r>
              <m:rPr>
                <m:sty m:val="p"/>
              </m:rPr>
              <m:t>t</m:t>
            </m:r>
            <m:r>
              <m:rPr>
                <m:sty m:val="p"/>
              </m:rPr>
              <m:t>x</m:t>
            </m:r>
          </m:sub>
        </m:sSub>
      </m:oMath>
      <w:r>
        <w:t xml:space="preserve"> </w:t>
      </w:r>
      <w:r>
        <w:t xml:space="preserve">in (4), per radio (NB-IoT:</w:t>
      </w:r>
      <w:r>
        <w:t xml:space="preserve"> </w:t>
      </w:r>
      <m:oMath>
        <m:sSub>
          <m:e>
            <m:r>
              <m:t>T</m:t>
            </m:r>
          </m:e>
          <m:sub>
            <m:r>
              <m:rPr>
                <m:sty m:val="p"/>
              </m:rPr>
              <m:t>s</m:t>
            </m:r>
            <m:r>
              <m:rPr>
                <m:sty m:val="p"/>
              </m:rPr>
              <m:t>e</m:t>
            </m:r>
            <m:r>
              <m:rPr>
                <m:sty m:val="p"/>
              </m:rPr>
              <m:t>a</m:t>
            </m:r>
            <m:r>
              <m:rPr>
                <m:sty m:val="p"/>
              </m:rPr>
              <m:t>r</m:t>
            </m:r>
            <m:r>
              <m:rPr>
                <m:sty m:val="p"/>
              </m:rPr>
              <m:t>c</m:t>
            </m:r>
            <m:r>
              <m:rPr>
                <m:sty m:val="p"/>
              </m:rPr>
              <m:t>h</m:t>
            </m:r>
          </m:sub>
        </m:sSub>
        <m:r>
          <m:rPr>
            <m:sty m:val="p"/>
          </m:rPr>
          <m:t>=</m:t>
        </m:r>
        <m:r>
          <m:t>10</m:t>
        </m:r>
      </m:oMath>
      <w:r>
        <w:t xml:space="preserve"> s), and the share of readings delivered and delivered within 1 h (LoRaWAN SF7; NB-IoT for the NB-IoT-only strategy). ARQ: LoRaWAN 1.0.2 behaviour. Back-off (5) capped at 6 h. –: not applicable.</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0" w:lastRow="0" w:firstColumn="0" w:lastColumn="0" w:noHBand="0" w:noVBand="0" w:val="0000"/>
        <w:tblCaption w:val="@@TAB:IV:W:M@@Loss-handling strategies on the InWaterSense record (full-slot model, no added radio loss): transmission energy per day, E_\mathrm{tx} in (4), per radio (NB-IoT: T_\mathrm{search}=10 s), and the share of readings delivered and delivered within 1 h (LoRaWAN SF7; NB-IoT for the NB-IoT-only strategy). ARQ: LoRaWAN 1.0.2 behaviour. Back-off (5) capped at 6 h. –: not applicable."/>
      </w:tblPr>
      <w:tblGrid>
        <w:gridCol w:w="1320"/>
        <w:gridCol w:w="1320"/>
        <w:gridCol w:w="1320"/>
        <w:gridCol w:w="1320"/>
        <w:gridCol w:w="1320"/>
        <w:gridCol w:w="1320"/>
      </w:tblGrid>
      <w:tr>
        <w:trPr>
          <w:cantSplit/>
        </w:trPr>
        <w:tc>
          <w:tcPr>
            <w:tcBorders>
              <w:bottom w:val="single" w:sz="4" w:space="0" w:color="000000"/>
            </w:tcBorders>
          </w:tcPr>
          <w:p>
            <w:pPr>
              <w:pStyle w:val="Compact"/>
              <w:keepNext/>
              <w:spacing w:before="10" w:after="10"/>
              <w:ind w:firstLine="0"/>
              <w:rPr>
                <w:sz w:val="16"/>
                <w:szCs w:val="16"/>
              </w:rPr>
            </w:pPr>
          </w:p>
        </w:tc>
        <w:tc>
          <w:tcPr>
            <w:gridSpan w:val="3"/>
            <w:tcBorders>
              <w:bottom w:val="single" w:sz="4" w:space="0" w:color="000000"/>
            </w:tcBorders>
          </w:tcPr>
          <w:p>
            <w:pPr>
              <w:pStyle w:val="Compact"/>
              <w:keepNext/>
              <w:spacing w:before="10" w:after="10"/>
              <w:ind w:firstLine="0"/>
              <w:jc w:val="center"/>
              <w:rPr>
                <w:sz w:val="16"/>
                <w:szCs w:val="16"/>
              </w:rPr>
            </w:pPr>
            <w:r>
              <w:rPr>
                <w:sz w:val="16"/>
                <w:szCs w:val="16"/>
              </w:rPr>
              <w:t xml:space="preserve">Energy (J/day)</w:t>
            </w:r>
          </w:p>
        </w:tc>
        <w:tc>
          <w:tcPr>
            <w:gridSpan w:val="2"/>
            <w:tcBorders>
              <w:bottom w:val="single" w:sz="4" w:space="0" w:color="000000"/>
            </w:tcBorders>
          </w:tcPr>
          <w:p>
            <w:pPr>
              <w:pStyle w:val="Compact"/>
              <w:keepNext/>
              <w:spacing w:before="10" w:after="10"/>
              <w:ind w:firstLine="0"/>
              <w:jc w:val="center"/>
              <w:rPr>
                <w:sz w:val="16"/>
                <w:szCs w:val="16"/>
              </w:rPr>
            </w:pPr>
            <w:r>
              <w:rPr>
                <w:sz w:val="16"/>
                <w:szCs w:val="16"/>
              </w:rPr>
              <w:t xml:space="preserve">Readings</w:t>
            </w:r>
          </w:p>
        </w:tc>
      </w:tr>
      <w:tr>
        <w:trPr>
          <w:cantSplit/>
        </w:trPr>
        <w:tc>
          <w:tcPr/>
          <w:p>
            <w:pPr>
              <w:pStyle w:val="Compact"/>
              <w:keepNext/>
              <w:spacing w:before="10" w:after="10"/>
              <w:ind w:firstLine="0"/>
              <w:jc w:val="left"/>
              <w:rPr>
                <w:sz w:val="16"/>
                <w:szCs w:val="16"/>
              </w:rPr>
            </w:pPr>
            <w:r>
              <w:rPr>
                <w:sz w:val="16"/>
                <w:szCs w:val="16"/>
              </w:rPr>
              <w:t xml:space="preserve">Strategy</w:t>
            </w:r>
          </w:p>
        </w:tc>
        <w:tc>
          <w:tcPr/>
          <w:p>
            <w:pPr>
              <w:pStyle w:val="Compact"/>
              <w:keepNext/>
              <w:spacing w:before="10" w:after="10"/>
              <w:ind w:firstLine="0"/>
              <w:jc w:val="right"/>
              <w:rPr>
                <w:sz w:val="16"/>
                <w:szCs w:val="16"/>
              </w:rPr>
            </w:pPr>
            <w:r>
              <w:rPr>
                <w:sz w:val="16"/>
                <w:szCs w:val="16"/>
              </w:rPr>
              <w:t xml:space="preserve">NB-IoT</w:t>
            </w:r>
          </w:p>
        </w:tc>
        <w:tc>
          <w:tcPr/>
          <w:p>
            <w:pPr>
              <w:pStyle w:val="Compact"/>
              <w:keepNext/>
              <w:spacing w:before="10" w:after="10"/>
              <w:ind w:firstLine="0"/>
              <w:jc w:val="right"/>
              <w:rPr>
                <w:sz w:val="16"/>
                <w:szCs w:val="16"/>
              </w:rPr>
            </w:pPr>
            <w:r>
              <w:rPr>
                <w:sz w:val="16"/>
                <w:szCs w:val="16"/>
              </w:rPr>
              <w:t xml:space="preserve">SF7</w:t>
            </w:r>
          </w:p>
        </w:tc>
        <w:tc>
          <w:tcPr/>
          <w:p>
            <w:pPr>
              <w:pStyle w:val="Compact"/>
              <w:keepNext/>
              <w:spacing w:before="10" w:after="10"/>
              <w:ind w:firstLine="0"/>
              <w:jc w:val="right"/>
              <w:rPr>
                <w:sz w:val="16"/>
                <w:szCs w:val="16"/>
              </w:rPr>
            </w:pPr>
            <w:r>
              <w:rPr>
                <w:sz w:val="16"/>
                <w:szCs w:val="16"/>
              </w:rPr>
              <w:t xml:space="preserve">SF12</w:t>
            </w:r>
          </w:p>
        </w:tc>
        <w:tc>
          <w:tcPr/>
          <w:p>
            <w:pPr>
              <w:pStyle w:val="Compact"/>
              <w:keepNext/>
              <w:spacing w:before="10" w:after="10"/>
              <w:ind w:firstLine="0"/>
              <w:jc w:val="right"/>
              <w:rPr>
                <w:sz w:val="16"/>
                <w:szCs w:val="16"/>
              </w:rPr>
            </w:pPr>
            <w:r>
              <w:rPr>
                <w:sz w:val="16"/>
                <w:szCs w:val="16"/>
              </w:rPr>
              <w:t xml:space="preserve">Delivered</w:t>
            </w:r>
          </w:p>
        </w:tc>
        <w:tc>
          <w:tcPr/>
          <w:p>
            <w:pPr>
              <w:pStyle w:val="Compact"/>
              <w:keepNext/>
              <w:spacing w:before="10" w:after="10"/>
              <w:ind w:firstLine="0"/>
              <w:jc w:val="right"/>
              <w:rPr>
                <w:sz w:val="16"/>
                <w:szCs w:val="16"/>
              </w:rPr>
            </w:pPr>
            <w:r>
              <w:rPr>
                <w:sz w:val="16"/>
                <w:szCs w:val="16"/>
              </w:rPr>
              <w:t xml:space="preserve">Within 1 h</w:t>
            </w:r>
          </w:p>
        </w:tc>
      </w:tr>
      <w:tr>
        <w:trPr>
          <w:cantSplit/>
        </w:trPr>
        <w:tc>
          <w:tcPr/>
          <w:p>
            <w:pPr>
              <w:pStyle w:val="Compact"/>
              <w:keepNext/>
              <w:spacing w:before="10" w:after="10"/>
              <w:ind w:firstLine="0"/>
              <w:jc w:val="left"/>
              <w:rPr>
                <w:sz w:val="16"/>
                <w:szCs w:val="16"/>
              </w:rPr>
            </w:pPr>
            <w:r>
              <w:rPr>
                <w:sz w:val="16"/>
                <w:szCs w:val="16"/>
              </w:rPr>
              <w:t xml:space="preserve">Unconfirmed, every reading</w:t>
            </w:r>
          </w:p>
        </w:tc>
        <w:tc>
          <w:tcPr/>
          <w:p>
            <w:pPr>
              <w:pStyle w:val="Compact"/>
              <w:keepNext/>
              <w:spacing w:before="10" w:after="10"/>
              <w:ind w:firstLine="0"/>
              <w:jc w:val="right"/>
              <w:rPr>
                <w:sz w:val="16"/>
                <w:szCs w:val="16"/>
              </w:rPr>
            </w:pPr>
            <w:r>
              <w:rPr>
                <w:sz w:val="16"/>
                <w:szCs w:val="16"/>
              </w:rPr>
              <w:t xml:space="preserve">229.9</w:t>
            </w:r>
          </w:p>
        </w:tc>
        <w:tc>
          <w:tcPr/>
          <w:p>
            <w:pPr>
              <w:pStyle w:val="Compact"/>
              <w:keepNext/>
              <w:spacing w:before="10" w:after="10"/>
              <w:ind w:firstLine="0"/>
              <w:jc w:val="right"/>
              <w:rPr>
                <w:sz w:val="16"/>
                <w:szCs w:val="16"/>
              </w:rPr>
            </w:pPr>
            <w:r>
              <w:rPr>
                <w:sz w:val="16"/>
                <w:szCs w:val="16"/>
              </w:rPr>
              <w:t xml:space="preserve">61.6</w:t>
            </w:r>
          </w:p>
        </w:tc>
        <w:tc>
          <w:tcPr/>
          <w:p>
            <w:pPr>
              <w:pStyle w:val="Compact"/>
              <w:keepNext/>
              <w:spacing w:before="10" w:after="10"/>
              <w:ind w:firstLine="0"/>
              <w:jc w:val="right"/>
              <w:rPr>
                <w:sz w:val="16"/>
                <w:szCs w:val="16"/>
              </w:rPr>
            </w:pPr>
            <w:r>
              <w:rPr>
                <w:sz w:val="16"/>
                <w:szCs w:val="16"/>
              </w:rPr>
              <w:t xml:space="preserve">147.2</w:t>
            </w:r>
          </w:p>
        </w:tc>
        <w:tc>
          <w:tcPr/>
          <w:p>
            <w:pPr>
              <w:pStyle w:val="Compact"/>
              <w:keepNext/>
              <w:spacing w:before="10" w:after="10"/>
              <w:ind w:firstLine="0"/>
              <w:jc w:val="right"/>
              <w:rPr>
                <w:sz w:val="16"/>
                <w:szCs w:val="16"/>
              </w:rPr>
            </w:pPr>
            <w:r>
              <w:rPr>
                <w:sz w:val="16"/>
                <w:szCs w:val="16"/>
              </w:rPr>
              <w:t xml:space="preserve">53.9%</w:t>
            </w:r>
          </w:p>
        </w:tc>
        <w:tc>
          <w:tcPr/>
          <w:p>
            <w:pPr>
              <w:pStyle w:val="Compact"/>
              <w:keepNext/>
              <w:spacing w:before="10" w:after="10"/>
              <w:ind w:firstLine="0"/>
              <w:jc w:val="right"/>
              <w:rPr>
                <w:sz w:val="16"/>
                <w:szCs w:val="16"/>
              </w:rPr>
            </w:pPr>
            <w:r>
              <w:rPr>
                <w:sz w:val="16"/>
                <w:szCs w:val="16"/>
              </w:rPr>
              <w:t xml:space="preserve">53.9%</w:t>
            </w:r>
          </w:p>
        </w:tc>
      </w:tr>
      <w:tr>
        <w:trPr>
          <w:cantSplit/>
        </w:trPr>
        <w:tc>
          <w:tcPr/>
          <w:p>
            <w:pPr>
              <w:pStyle w:val="Compact"/>
              <w:keepNext/>
              <w:spacing w:before="10" w:after="10"/>
              <w:ind w:firstLine="0"/>
              <w:jc w:val="left"/>
              <w:rPr>
                <w:sz w:val="16"/>
                <w:szCs w:val="16"/>
              </w:rPr>
            </w:pPr>
            <w:r>
              <w:rPr>
                <w:sz w:val="16"/>
                <w:szCs w:val="16"/>
              </w:rPr>
              <w:t xml:space="preserve">Unconfirmed + back-off (NB-IoT only)</w:t>
            </w:r>
          </w:p>
        </w:tc>
        <w:tc>
          <w:tcPr/>
          <w:p>
            <w:pPr>
              <w:pStyle w:val="Compact"/>
              <w:keepNext/>
              <w:spacing w:before="10" w:after="10"/>
              <w:ind w:firstLine="0"/>
              <w:jc w:val="right"/>
              <w:rPr>
                <w:sz w:val="16"/>
                <w:szCs w:val="16"/>
              </w:rPr>
            </w:pPr>
            <w:r>
              <w:rPr>
                <w:sz w:val="16"/>
                <w:szCs w:val="16"/>
              </w:rPr>
              <w:t xml:space="preserve">59.5</w:t>
            </w:r>
          </w:p>
        </w:tc>
        <w:tc>
          <w:tcPr/>
          <w:p>
            <w:pPr>
              <w:pStyle w:val="Compact"/>
              <w:keepNext/>
              <w:spacing w:before="10" w:after="10"/>
              <w:ind w:firstLine="0"/>
              <w:jc w:val="right"/>
              <w:rPr>
                <w:sz w:val="16"/>
                <w:szCs w:val="16"/>
              </w:rPr>
            </w:pPr>
            <w:r>
              <w:rPr>
                <w:sz w:val="16"/>
                <w:szCs w:val="16"/>
              </w:rPr>
              <w:t xml:space="preserve">–</w:t>
            </w:r>
          </w:p>
        </w:tc>
        <w:tc>
          <w:tcPr/>
          <w:p>
            <w:pPr>
              <w:pStyle w:val="Compact"/>
              <w:keepNext/>
              <w:spacing w:before="10" w:after="10"/>
              <w:ind w:firstLine="0"/>
              <w:jc w:val="right"/>
              <w:rPr>
                <w:sz w:val="16"/>
                <w:szCs w:val="16"/>
              </w:rPr>
            </w:pPr>
            <w:r>
              <w:rPr>
                <w:sz w:val="16"/>
                <w:szCs w:val="16"/>
              </w:rPr>
              <w:t xml:space="preserve">–</w:t>
            </w:r>
          </w:p>
        </w:tc>
        <w:tc>
          <w:tcPr/>
          <w:p>
            <w:pPr>
              <w:pStyle w:val="Compact"/>
              <w:keepNext/>
              <w:spacing w:before="10" w:after="10"/>
              <w:ind w:firstLine="0"/>
              <w:jc w:val="right"/>
              <w:rPr>
                <w:sz w:val="16"/>
                <w:szCs w:val="16"/>
              </w:rPr>
            </w:pPr>
            <w:r>
              <w:rPr>
                <w:sz w:val="16"/>
                <w:szCs w:val="16"/>
              </w:rPr>
              <w:t xml:space="preserve">47.1%</w:t>
            </w:r>
          </w:p>
        </w:tc>
        <w:tc>
          <w:tcPr/>
          <w:p>
            <w:pPr>
              <w:pStyle w:val="Compact"/>
              <w:keepNext/>
              <w:spacing w:before="10" w:after="10"/>
              <w:ind w:firstLine="0"/>
              <w:jc w:val="right"/>
              <w:rPr>
                <w:sz w:val="16"/>
                <w:szCs w:val="16"/>
              </w:rPr>
            </w:pPr>
            <w:r>
              <w:rPr>
                <w:sz w:val="16"/>
                <w:szCs w:val="16"/>
              </w:rPr>
              <w:t xml:space="preserve">47.1%</w:t>
            </w:r>
          </w:p>
        </w:tc>
      </w:tr>
      <w:tr>
        <w:trPr>
          <w:cantSplit/>
        </w:trPr>
        <w:tc>
          <w:tcPr/>
          <w:p>
            <w:pPr>
              <w:pStyle w:val="Compact"/>
              <w:keepNext/>
              <w:spacing w:before="10" w:after="10"/>
              <w:ind w:firstLine="0"/>
              <w:jc w:val="left"/>
              <w:rPr>
                <w:sz w:val="16"/>
                <w:szCs w:val="16"/>
              </w:rPr>
            </w:pPr>
            <w:r>
              <w:rPr>
                <w:sz w:val="16"/>
                <w:szCs w:val="16"/>
              </w:rPr>
              <w:t xml:space="preserve">ARQ (8 attempts LoRaWAN; 3 NB-IoT)</w:t>
            </w:r>
          </w:p>
        </w:tc>
        <w:tc>
          <w:tcPr/>
          <w:p>
            <w:pPr>
              <w:pStyle w:val="Compact"/>
              <w:keepNext/>
              <w:spacing w:before="10" w:after="10"/>
              <w:ind w:firstLine="0"/>
              <w:jc w:val="right"/>
              <w:rPr>
                <w:sz w:val="16"/>
                <w:szCs w:val="16"/>
              </w:rPr>
            </w:pPr>
            <w:r>
              <w:rPr>
                <w:sz w:val="16"/>
                <w:szCs w:val="16"/>
              </w:rPr>
              <w:t xml:space="preserve">231.5</w:t>
            </w:r>
          </w:p>
        </w:tc>
        <w:tc>
          <w:tcPr/>
          <w:p>
            <w:pPr>
              <w:pStyle w:val="Compact"/>
              <w:keepNext/>
              <w:spacing w:before="10" w:after="10"/>
              <w:ind w:firstLine="0"/>
              <w:jc w:val="right"/>
              <w:rPr>
                <w:sz w:val="16"/>
                <w:szCs w:val="16"/>
              </w:rPr>
            </w:pPr>
            <w:r>
              <w:rPr>
                <w:sz w:val="16"/>
                <w:szCs w:val="16"/>
              </w:rPr>
              <w:t xml:space="preserve">447.1</w:t>
            </w:r>
          </w:p>
        </w:tc>
        <w:tc>
          <w:tcPr/>
          <w:p>
            <w:pPr>
              <w:pStyle w:val="Compact"/>
              <w:keepNext/>
              <w:spacing w:before="10" w:after="10"/>
              <w:ind w:firstLine="0"/>
              <w:jc w:val="right"/>
              <w:rPr>
                <w:sz w:val="16"/>
                <w:szCs w:val="16"/>
              </w:rPr>
            </w:pPr>
            <w:r>
              <w:rPr>
                <w:sz w:val="16"/>
                <w:szCs w:val="16"/>
              </w:rPr>
              <w:t xml:space="preserve">796.1</w:t>
            </w:r>
          </w:p>
        </w:tc>
        <w:tc>
          <w:tcPr/>
          <w:p>
            <w:pPr>
              <w:pStyle w:val="Compact"/>
              <w:keepNext/>
              <w:spacing w:before="10" w:after="10"/>
              <w:ind w:firstLine="0"/>
              <w:jc w:val="right"/>
              <w:rPr>
                <w:sz w:val="16"/>
                <w:szCs w:val="16"/>
              </w:rPr>
            </w:pPr>
            <w:r>
              <w:rPr>
                <w:sz w:val="16"/>
                <w:szCs w:val="16"/>
              </w:rPr>
              <w:t xml:space="preserve">53.9%</w:t>
            </w:r>
          </w:p>
        </w:tc>
        <w:tc>
          <w:tcPr/>
          <w:p>
            <w:pPr>
              <w:pStyle w:val="Compact"/>
              <w:keepNext/>
              <w:spacing w:before="10" w:after="10"/>
              <w:ind w:firstLine="0"/>
              <w:jc w:val="right"/>
              <w:rPr>
                <w:sz w:val="16"/>
                <w:szCs w:val="16"/>
              </w:rPr>
            </w:pPr>
            <w:r>
              <w:rPr>
                <w:sz w:val="16"/>
                <w:szCs w:val="16"/>
              </w:rPr>
              <w:t xml:space="preserve">53.9%</w:t>
            </w:r>
          </w:p>
        </w:tc>
      </w:tr>
      <w:tr>
        <w:trPr>
          <w:cantSplit/>
        </w:trPr>
        <w:tc>
          <w:tcPr/>
          <w:p>
            <w:pPr>
              <w:pStyle w:val="Compact"/>
              <w:keepNext/>
              <w:spacing w:before="10" w:after="10"/>
              <w:ind w:firstLine="0"/>
              <w:jc w:val="left"/>
              <w:rPr>
                <w:sz w:val="16"/>
                <w:szCs w:val="16"/>
              </w:rPr>
            </w:pPr>
            <w:r>
              <w:rPr>
                <w:sz w:val="16"/>
                <w:szCs w:val="16"/>
              </w:rPr>
              <w:t xml:space="preserve">ARQ, 3 attempts (LoRaWAN)</w:t>
            </w:r>
          </w:p>
        </w:tc>
        <w:tc>
          <w:tcPr/>
          <w:p>
            <w:pPr>
              <w:pStyle w:val="Compact"/>
              <w:keepNext/>
              <w:spacing w:before="10" w:after="10"/>
              <w:ind w:firstLine="0"/>
              <w:jc w:val="right"/>
              <w:rPr>
                <w:sz w:val="16"/>
                <w:szCs w:val="16"/>
              </w:rPr>
            </w:pPr>
            <w:r>
              <w:rPr>
                <w:sz w:val="16"/>
                <w:szCs w:val="16"/>
              </w:rPr>
              <w:t xml:space="preserve">–</w:t>
            </w:r>
          </w:p>
        </w:tc>
        <w:tc>
          <w:tcPr/>
          <w:p>
            <w:pPr>
              <w:pStyle w:val="Compact"/>
              <w:keepNext/>
              <w:spacing w:before="10" w:after="10"/>
              <w:ind w:firstLine="0"/>
              <w:jc w:val="right"/>
              <w:rPr>
                <w:sz w:val="16"/>
                <w:szCs w:val="16"/>
              </w:rPr>
            </w:pPr>
            <w:r>
              <w:rPr>
                <w:sz w:val="16"/>
                <w:szCs w:val="16"/>
              </w:rPr>
              <w:t xml:space="preserve">175.5</w:t>
            </w:r>
          </w:p>
        </w:tc>
        <w:tc>
          <w:tcPr/>
          <w:p>
            <w:pPr>
              <w:pStyle w:val="Compact"/>
              <w:keepNext/>
              <w:spacing w:before="10" w:after="10"/>
              <w:ind w:firstLine="0"/>
              <w:jc w:val="right"/>
              <w:rPr>
                <w:sz w:val="16"/>
                <w:szCs w:val="16"/>
              </w:rPr>
            </w:pPr>
            <w:r>
              <w:rPr>
                <w:sz w:val="16"/>
                <w:szCs w:val="16"/>
              </w:rPr>
              <w:t xml:space="preserve">354.3</w:t>
            </w:r>
          </w:p>
        </w:tc>
        <w:tc>
          <w:tcPr/>
          <w:p>
            <w:pPr>
              <w:pStyle w:val="Compact"/>
              <w:keepNext/>
              <w:spacing w:before="10" w:after="10"/>
              <w:ind w:firstLine="0"/>
              <w:jc w:val="right"/>
              <w:rPr>
                <w:sz w:val="16"/>
                <w:szCs w:val="16"/>
              </w:rPr>
            </w:pPr>
            <w:r>
              <w:rPr>
                <w:sz w:val="16"/>
                <w:szCs w:val="16"/>
              </w:rPr>
              <w:t xml:space="preserve">53.9%</w:t>
            </w:r>
          </w:p>
        </w:tc>
        <w:tc>
          <w:tcPr/>
          <w:p>
            <w:pPr>
              <w:pStyle w:val="Compact"/>
              <w:keepNext/>
              <w:spacing w:before="10" w:after="10"/>
              <w:ind w:firstLine="0"/>
              <w:jc w:val="right"/>
              <w:rPr>
                <w:sz w:val="16"/>
                <w:szCs w:val="16"/>
              </w:rPr>
            </w:pPr>
            <w:r>
              <w:rPr>
                <w:sz w:val="16"/>
                <w:szCs w:val="16"/>
              </w:rPr>
              <w:t xml:space="preserve">53.9%</w:t>
            </w:r>
          </w:p>
        </w:tc>
      </w:tr>
      <w:tr>
        <w:trPr>
          <w:cantSplit/>
        </w:trPr>
        <w:tc>
          <w:tcPr/>
          <w:p>
            <w:pPr>
              <w:pStyle w:val="Compact"/>
              <w:keepNext/>
              <w:spacing w:before="10" w:after="10"/>
              <w:ind w:firstLine="0"/>
              <w:jc w:val="left"/>
              <w:rPr>
                <w:sz w:val="16"/>
                <w:szCs w:val="16"/>
              </w:rPr>
            </w:pPr>
            <w:r>
              <w:rPr>
                <w:sz w:val="16"/>
                <w:szCs w:val="16"/>
              </w:rPr>
              <w:t xml:space="preserve">Confirmed + buffer + back-off</w:t>
            </w:r>
          </w:p>
        </w:tc>
        <w:tc>
          <w:tcPr/>
          <w:p>
            <w:pPr>
              <w:pStyle w:val="Compact"/>
              <w:keepNext/>
              <w:spacing w:before="10" w:after="10"/>
              <w:ind w:firstLine="0"/>
              <w:jc w:val="right"/>
              <w:rPr>
                <w:sz w:val="16"/>
                <w:szCs w:val="16"/>
              </w:rPr>
            </w:pPr>
            <w:r>
              <w:rPr>
                <w:sz w:val="16"/>
                <w:szCs w:val="16"/>
              </w:rPr>
              <w:t xml:space="preserve">63.8</w:t>
            </w:r>
          </w:p>
        </w:tc>
        <w:tc>
          <w:tcPr/>
          <w:p>
            <w:pPr>
              <w:pStyle w:val="Compact"/>
              <w:keepNext/>
              <w:spacing w:before="10" w:after="10"/>
              <w:ind w:firstLine="0"/>
              <w:jc w:val="right"/>
              <w:rPr>
                <w:sz w:val="16"/>
                <w:szCs w:val="16"/>
              </w:rPr>
            </w:pPr>
            <w:r>
              <w:rPr>
                <w:sz w:val="16"/>
                <w:szCs w:val="16"/>
              </w:rPr>
              <w:t xml:space="preserve">52.7</w:t>
            </w:r>
          </w:p>
        </w:tc>
        <w:tc>
          <w:tcPr/>
          <w:p>
            <w:pPr>
              <w:pStyle w:val="Compact"/>
              <w:keepNext/>
              <w:spacing w:before="10" w:after="10"/>
              <w:ind w:firstLine="0"/>
              <w:jc w:val="right"/>
              <w:rPr>
                <w:sz w:val="16"/>
                <w:szCs w:val="16"/>
              </w:rPr>
            </w:pPr>
            <w:r>
              <w:rPr>
                <w:sz w:val="16"/>
                <w:szCs w:val="16"/>
              </w:rPr>
              <w:t xml:space="preserve">158.7</w:t>
            </w:r>
          </w:p>
        </w:tc>
        <w:tc>
          <w:tcPr/>
          <w:p>
            <w:pPr>
              <w:pStyle w:val="Compact"/>
              <w:keepNext/>
              <w:spacing w:before="10" w:after="10"/>
              <w:ind w:firstLine="0"/>
              <w:jc w:val="right"/>
              <w:rPr>
                <w:sz w:val="16"/>
                <w:szCs w:val="16"/>
              </w:rPr>
            </w:pPr>
            <w:r>
              <w:rPr>
                <w:sz w:val="16"/>
                <w:szCs w:val="16"/>
              </w:rPr>
              <w:t xml:space="preserve">100.0%</w:t>
            </w:r>
          </w:p>
        </w:tc>
        <w:tc>
          <w:tcPr/>
          <w:p>
            <w:pPr>
              <w:pStyle w:val="Compact"/>
              <w:keepNext/>
              <w:spacing w:before="10" w:after="10"/>
              <w:ind w:firstLine="0"/>
              <w:jc w:val="right"/>
              <w:rPr>
                <w:sz w:val="16"/>
                <w:szCs w:val="16"/>
              </w:rPr>
            </w:pPr>
            <w:r>
              <w:rPr>
                <w:sz w:val="16"/>
                <w:szCs w:val="16"/>
              </w:rPr>
              <w:t xml:space="preserve">52.8%</w:t>
            </w:r>
          </w:p>
        </w:tc>
      </w:tr>
      <w:tr>
        <w:trPr>
          <w:cantSplit/>
        </w:trPr>
        <w:tc>
          <w:tcPr/>
          <w:p>
            <w:pPr>
              <w:pStyle w:val="Compact"/>
              <w:keepNext/>
              <w:spacing w:before="10" w:after="10"/>
              <w:ind w:firstLine="0"/>
              <w:jc w:val="left"/>
              <w:rPr>
                <w:sz w:val="16"/>
                <w:szCs w:val="16"/>
              </w:rPr>
            </w:pPr>
            <w:r>
              <w:rPr>
                <w:sz w:val="16"/>
                <w:szCs w:val="16"/>
              </w:rPr>
              <w:t xml:space="preserve">Hourly batch + buffer + back-off</w:t>
            </w:r>
          </w:p>
        </w:tc>
        <w:tc>
          <w:tcPr/>
          <w:p>
            <w:pPr>
              <w:pStyle w:val="Compact"/>
              <w:keepNext/>
              <w:spacing w:before="10" w:after="10"/>
              <w:ind w:firstLine="0"/>
              <w:jc w:val="right"/>
              <w:rPr>
                <w:sz w:val="16"/>
                <w:szCs w:val="16"/>
              </w:rPr>
            </w:pPr>
            <w:r>
              <w:rPr>
                <w:sz w:val="16"/>
                <w:szCs w:val="16"/>
              </w:rPr>
              <w:t xml:space="preserve">23.6</w:t>
            </w:r>
          </w:p>
        </w:tc>
        <w:tc>
          <w:tcPr/>
          <w:p>
            <w:pPr>
              <w:pStyle w:val="Compact"/>
              <w:keepNext/>
              <w:spacing w:before="10" w:after="10"/>
              <w:ind w:firstLine="0"/>
              <w:jc w:val="right"/>
              <w:rPr>
                <w:sz w:val="16"/>
                <w:szCs w:val="16"/>
              </w:rPr>
            </w:pPr>
            <w:r>
              <w:rPr>
                <w:sz w:val="16"/>
                <w:szCs w:val="16"/>
              </w:rPr>
              <w:t xml:space="preserve">18.9</w:t>
            </w:r>
          </w:p>
        </w:tc>
        <w:tc>
          <w:tcPr/>
          <w:p>
            <w:pPr>
              <w:pStyle w:val="Compact"/>
              <w:keepNext/>
              <w:spacing w:before="10" w:after="10"/>
              <w:ind w:firstLine="0"/>
              <w:jc w:val="right"/>
              <w:rPr>
                <w:sz w:val="16"/>
                <w:szCs w:val="16"/>
              </w:rPr>
            </w:pPr>
            <w:r>
              <w:rPr>
                <w:sz w:val="16"/>
                <w:szCs w:val="16"/>
              </w:rPr>
              <w:t xml:space="preserve">89.5</w:t>
            </w:r>
          </w:p>
        </w:tc>
        <w:tc>
          <w:tcPr/>
          <w:p>
            <w:pPr>
              <w:pStyle w:val="Compact"/>
              <w:keepNext/>
              <w:spacing w:before="10" w:after="10"/>
              <w:ind w:firstLine="0"/>
              <w:jc w:val="right"/>
              <w:rPr>
                <w:sz w:val="16"/>
                <w:szCs w:val="16"/>
              </w:rPr>
            </w:pPr>
            <w:r>
              <w:rPr>
                <w:sz w:val="16"/>
                <w:szCs w:val="16"/>
              </w:rPr>
              <w:t xml:space="preserve">100.0%</w:t>
            </w:r>
          </w:p>
        </w:tc>
        <w:tc>
          <w:tcPr/>
          <w:p>
            <w:pPr>
              <w:pStyle w:val="Compact"/>
              <w:keepNext/>
              <w:spacing w:before="10" w:after="10"/>
              <w:ind w:firstLine="0"/>
              <w:jc w:val="right"/>
              <w:rPr>
                <w:sz w:val="16"/>
                <w:szCs w:val="16"/>
              </w:rPr>
            </w:pPr>
            <w:r>
              <w:rPr>
                <w:sz w:val="16"/>
                <w:szCs w:val="16"/>
              </w:rPr>
              <w:t xml:space="preserve">52.0%</w:t>
            </w:r>
          </w:p>
        </w:tc>
      </w:tr>
      <w:tr>
        <w:trPr>
          <w:cantSplit/>
        </w:trPr>
        <w:tc>
          <w:tcPr/>
          <w:p>
            <w:pPr>
              <w:pStyle w:val="Compact"/>
              <w:spacing w:before="10" w:after="10"/>
              <w:ind w:firstLine="0"/>
              <w:jc w:val="left"/>
              <w:rPr>
                <w:sz w:val="16"/>
                <w:szCs w:val="16"/>
              </w:rPr>
            </w:pPr>
            <w:r>
              <w:rPr>
                <w:sz w:val="16"/>
                <w:szCs w:val="16"/>
              </w:rPr>
              <w:t xml:space="preserve">6-hourly batch + buffer + back-off</w:t>
            </w:r>
          </w:p>
        </w:tc>
        <w:tc>
          <w:tcPr/>
          <w:p>
            <w:pPr>
              <w:pStyle w:val="Compact"/>
              <w:spacing w:before="10" w:after="10"/>
              <w:ind w:firstLine="0"/>
              <w:jc w:val="right"/>
              <w:rPr>
                <w:sz w:val="16"/>
                <w:szCs w:val="16"/>
              </w:rPr>
            </w:pPr>
            <w:r>
              <w:rPr>
                <w:sz w:val="16"/>
                <w:szCs w:val="16"/>
              </w:rPr>
              <w:t xml:space="preserve">13.3</w:t>
            </w:r>
          </w:p>
        </w:tc>
        <w:tc>
          <w:tcPr/>
          <w:p>
            <w:pPr>
              <w:pStyle w:val="Compact"/>
              <w:spacing w:before="10" w:after="10"/>
              <w:ind w:firstLine="0"/>
              <w:jc w:val="right"/>
              <w:rPr>
                <w:sz w:val="16"/>
                <w:szCs w:val="16"/>
              </w:rPr>
            </w:pPr>
            <w:r>
              <w:rPr>
                <w:sz w:val="16"/>
                <w:szCs w:val="16"/>
              </w:rPr>
              <w:t xml:space="preserve">11.3</w:t>
            </w:r>
          </w:p>
        </w:tc>
        <w:tc>
          <w:tcPr/>
          <w:p>
            <w:pPr>
              <w:pStyle w:val="Compact"/>
              <w:spacing w:before="10" w:after="10"/>
              <w:ind w:firstLine="0"/>
              <w:jc w:val="right"/>
              <w:rPr>
                <w:sz w:val="16"/>
                <w:szCs w:val="16"/>
              </w:rPr>
            </w:pPr>
            <w:r>
              <w:rPr>
                <w:sz w:val="16"/>
                <w:szCs w:val="16"/>
              </w:rPr>
              <w:t xml:space="preserve">79.0</w:t>
            </w:r>
          </w:p>
        </w:tc>
        <w:tc>
          <w:tcPr/>
          <w:p>
            <w:pPr>
              <w:pStyle w:val="Compact"/>
              <w:spacing w:before="10" w:after="10"/>
              <w:ind w:firstLine="0"/>
              <w:jc w:val="right"/>
              <w:rPr>
                <w:sz w:val="16"/>
                <w:szCs w:val="16"/>
              </w:rPr>
            </w:pPr>
            <w:r>
              <w:rPr>
                <w:sz w:val="16"/>
                <w:szCs w:val="16"/>
              </w:rPr>
              <w:t xml:space="preserve">100.0%</w:t>
            </w:r>
          </w:p>
        </w:tc>
        <w:tc>
          <w:tcPr/>
          <w:p>
            <w:pPr>
              <w:pStyle w:val="Compact"/>
              <w:spacing w:before="10" w:after="10"/>
              <w:ind w:firstLine="0"/>
              <w:jc w:val="right"/>
              <w:rPr>
                <w:sz w:val="16"/>
                <w:szCs w:val="16"/>
              </w:rPr>
            </w:pPr>
            <w:r>
              <w:rPr>
                <w:sz w:val="16"/>
                <w:szCs w:val="16"/>
              </w:rPr>
              <w:t xml:space="preserve">11.2%</w:t>
            </w:r>
          </w:p>
        </w:tc>
      </w:tr>
    </w:tbl>
    <w:bookmarkEnd w:id="25"/>
    <w:bookmarkStart w:id="26" w:name="sec:hand-arq"/>
    <w:p>
      <w:pPr>
        <w:pStyle w:val="Heading2"/>
      </w:pPr>
      <w:r>
        <w:t xml:space="preserve">A. ARQ pays for losses it can hardly recover</w:t>
      </w:r>
    </w:p>
    <w:p>
      <w:pPr>
        <w:pStyle w:val="FirstParagraph"/>
      </w:pPr>
      <w:r>
        <w:t xml:space="preserve">Under the full-slot model, ARQ delivered exactly what unconfirmed reporting delivered, at 2.59</w:t>
      </w:r>
      <m:oMath>
        <m:r>
          <m:rPr>
            <m:sty m:val="p"/>
          </m:rPr>
          <m:t>×</m:t>
        </m:r>
      </m:oMath>
      <w:r>
        <w:t xml:space="preserve">–7.35</w:t>
      </w:r>
      <m:oMath>
        <m:r>
          <m:rPr>
            <m:sty m:val="p"/>
          </m:rPr>
          <m:t>×</m:t>
        </m:r>
      </m:oMath>
      <w:r>
        <w:t xml:space="preserve"> </w:t>
      </w:r>
      <w:r>
        <w:t xml:space="preserve">its energy on LoRaWAN with eight transmissions. This is the pessimistic end of a bracket. If the link may return during a gap’s last slot, retries recovered 0.1–4.6 percentage points of InWaterSense’s readings on LoRaWAN; if, in addition, gaps of up to an hour are radio-loss bursts, they recovered 6.5–7.7 points. Against the 46 points that unconfirmed reporting lost, ARQ thus recovered under a fifth in every model, at 2.3</w:t>
      </w:r>
      <m:oMath>
        <m:r>
          <m:rPr>
            <m:sty m:val="p"/>
          </m:rPr>
          <m:t>×</m:t>
        </m:r>
      </m:oMath>
      <w:r>
        <w:t xml:space="preserve">–7.3</w:t>
      </w:r>
      <m:oMath>
        <m:r>
          <m:rPr>
            <m:sty m:val="p"/>
          </m:rPr>
          <m:t>×</m:t>
        </m:r>
      </m:oMath>
      <w:r>
        <w:t xml:space="preserve"> </w:t>
      </w:r>
      <w:r>
        <w:t xml:space="preserve">the energy of unconfirmed reporting; on Weija, it recovered at most 0.9 points. NB-IoT ARQ recovered nothing because the modem reports that there is no network. LoRaWAN 1.0.4 (eight transmissions at a fixed rate) changed the price only slightly: 6.8</w:t>
      </w:r>
      <m:oMath>
        <m:r>
          <m:rPr>
            <m:sty m:val="p"/>
          </m:rPr>
          <m:t>×</m:t>
        </m:r>
      </m:oMath>
      <w:r>
        <w:t xml:space="preserve"> </w:t>
      </w:r>
      <w:r>
        <w:t xml:space="preserve">instead of 7.3</w:t>
      </w:r>
      <m:oMath>
        <m:r>
          <m:rPr>
            <m:sty m:val="p"/>
          </m:rPr>
          <m:t>×</m:t>
        </m:r>
      </m:oMath>
      <w:r>
        <w:t xml:space="preserve"> </w:t>
      </w:r>
      <w:r>
        <w:t xml:space="preserve">at SF7. Retransmission suits the radio regime, not the long gaps that hold most of the missing data.</w:t>
      </w:r>
    </w:p>
    <w:bookmarkEnd w:id="26"/>
    <w:bookmarkStart w:id="27" w:name="sec:hand-buffer"/>
    <w:p>
      <w:pPr>
        <w:pStyle w:val="Heading2"/>
      </w:pPr>
      <w:r>
        <w:t xml:space="preserve">B. Buffering buys completeness at a modest energy cost</w:t>
      </w:r>
    </w:p>
    <w:p>
      <w:pPr>
        <w:pStyle w:val="FirstParagraph"/>
      </w:pPr>
      <w:r>
        <w:t xml:space="preserve">On NB-IoT, searching for a cell in every slot of a gap cost 1.20</w:t>
      </w:r>
      <m:oMath>
        <m:r>
          <m:rPr>
            <m:sty m:val="p"/>
          </m:rPr>
          <m:t>×</m:t>
        </m:r>
      </m:oMath>
      <w:r>
        <w:t xml:space="preserve">–6.53</w:t>
      </w:r>
      <m:oMath>
        <m:r>
          <m:rPr>
            <m:sty m:val="p"/>
          </m:rPr>
          <m:t>×</m:t>
        </m:r>
      </m:oMath>
      <w:r>
        <w:t xml:space="preserve"> </w:t>
      </w:r>
      <w:r>
        <w:t xml:space="preserve">the energy of backing off; thus, the fair NB-IoT baseline backs off. Against the fair baseline, confirmed reporting with a buffer and back-off delivered every generated reading at an energy change of</w:t>
      </w:r>
      <w:r>
        <w:t xml:space="preserve"> </w:t>
      </w:r>
      <m:oMath>
        <m:r>
          <m:rPr>
            <m:sty m:val="p"/>
          </m:rPr>
          <m:t>−</m:t>
        </m:r>
        <m:r>
          <m:t>5.5</m:t>
        </m:r>
      </m:oMath>
      <w:r>
        <w:t xml:space="preserve">% to</w:t>
      </w:r>
      <w:r>
        <w:t xml:space="preserve"> </w:t>
      </w:r>
      <m:oMath>
        <m:r>
          <m:rPr>
            <m:sty m:val="p"/>
          </m:rPr>
          <m:t>+</m:t>
        </m:r>
        <m:r>
          <m:t>15.3</m:t>
        </m:r>
      </m:oMath>
      <w:r>
        <w:t xml:space="preserve">% on NB-IoT and</w:t>
      </w:r>
      <w:r>
        <w:t xml:space="preserve"> </w:t>
      </w:r>
      <m:oMath>
        <m:r>
          <m:rPr>
            <m:sty m:val="p"/>
          </m:rPr>
          <m:t>−</m:t>
        </m:r>
        <m:r>
          <m:t>14.6</m:t>
        </m:r>
      </m:oMath>
      <w:r>
        <w:t xml:space="preserve">% to</w:t>
      </w:r>
      <w:r>
        <w:t xml:space="preserve"> </w:t>
      </w:r>
      <m:oMath>
        <m:r>
          <m:rPr>
            <m:sty m:val="p"/>
          </m:rPr>
          <m:t>+</m:t>
        </m:r>
        <m:r>
          <m:t>25.6</m:t>
        </m:r>
      </m:oMath>
      <w:r>
        <w:t xml:space="preserve">% on LoRaWAN. It was cheaper at SF7, where a confirmed success costs less than an unconfirmed report and the node stops transmitting into gaps, and more expensive at SF12. This completeness rests on three assumptions, each of which was tested:</w:t>
      </w:r>
    </w:p>
    <w:p>
      <w:pPr>
        <w:numPr>
          <w:ilvl w:val="0"/>
          <w:numId w:val="1006"/>
        </w:numPr>
      </w:pPr>
      <w:r>
        <w:t xml:space="preserve">The reading must exist: With up to half of the long-gap slots reassigned to a node that was off, buffering still delivered every generated reading, but only 83% of the expected readings on InWaterSense.</w:t>
      </w:r>
    </w:p>
    <w:p>
      <w:pPr>
        <w:numPr>
          <w:ilvl w:val="0"/>
          <w:numId w:val="1006"/>
        </w:numPr>
      </w:pPr>
      <w:r>
        <w:t xml:space="preserve">The buffer must hold the backlog: The longest backlog was 22 KB; 2 KB of RAM lost 24% of the readings and 64 KB none, and writing every reading to flash </w:t>
      </w:r>
      <w:r>
        <w:t xml:space="preserve">[53]</w:t>
      </w:r>
      <w:r>
        <w:t xml:space="preserve"> </w:t>
      </w:r>
      <w:r>
        <w:t xml:space="preserve">cost at most 0.03 J/day.</w:t>
      </w:r>
    </w:p>
    <w:p>
      <w:pPr>
        <w:numPr>
          <w:ilvl w:val="0"/>
          <w:numId w:val="1006"/>
        </w:numPr>
      </w:pPr>
      <w:r>
        <w:t xml:space="preserve">The drain must leave room for live traffic: Limited to what the duty cycle leaves after one live frame per slot, the drain still delivered everything, but at SF12, a backlog persisted for 63 days in InWaterSense’s worst period; therefore, live readings should go ahead of the backlog </w:t>
      </w:r>
      <w:r>
        <w:t xml:space="preserve">[6]</w:t>
      </w:r>
      <w:r>
        <w:t xml:space="preserve">.</w:t>
      </w:r>
    </w:p>
    <w:bookmarkEnd w:id="27"/>
    <w:bookmarkStart w:id="28" w:name="sec:hand-batch"/>
    <w:p>
      <w:pPr>
        <w:pStyle w:val="Heading2"/>
      </w:pPr>
      <w:r>
        <w:t xml:space="preserve">C. Batching is cheaper and costs little timeliness</w:t>
      </w:r>
    </w:p>
    <w:p>
      <w:pPr>
        <w:pStyle w:val="FirstParagraph"/>
      </w:pPr>
      <w:r>
        <w:t xml:space="preserve">Hourly batching with buffer and back-off delivered every reading, while the fair per-reading baseline used 1.33</w:t>
      </w:r>
      <m:oMath>
        <m:r>
          <m:rPr>
            <m:sty m:val="p"/>
          </m:rPr>
          <m:t>×</m:t>
        </m:r>
      </m:oMath>
      <w:r>
        <w:t xml:space="preserve">–3.33</w:t>
      </w:r>
      <m:oMath>
        <m:r>
          <m:rPr>
            <m:sty m:val="p"/>
          </m:rPr>
          <m:t>×</m:t>
        </m:r>
      </m:oMath>
      <w:r>
        <w:t xml:space="preserve"> </w:t>
      </w:r>
      <w:r>
        <w:t xml:space="preserve">as much energy. Its share of readings within 1 h differed from that of unconfirmed reporting by only</w:t>
      </w:r>
      <w:r>
        <w:t xml:space="preserve"> </w:t>
      </w:r>
      <m:oMath>
        <m:r>
          <m:rPr>
            <m:sty m:val="p"/>
          </m:rPr>
          <m:t>−</m:t>
        </m:r>
        <m:r>
          <m:t>3.3</m:t>
        </m:r>
      </m:oMath>
      <w:r>
        <w:t xml:space="preserve"> </w:t>
      </w:r>
      <w:r>
        <w:t xml:space="preserve">to</w:t>
      </w:r>
      <w:r>
        <w:t xml:space="preserve"> </w:t>
      </w:r>
      <m:oMath>
        <m:r>
          <m:rPr>
            <m:sty m:val="p"/>
          </m:rPr>
          <m:t>+</m:t>
        </m:r>
        <m:r>
          <m:t>7.3</m:t>
        </m:r>
      </m:oMath>
      <w:r>
        <w:t xml:space="preserve"> </w:t>
      </w:r>
      <w:r>
        <w:t xml:space="preserve">points: under long gaps, the gaps, not the batch interval, decide how many readings arrive within the hour. The back-off cap trades energy against how long the server waits once the network is back. Probing every slot cost 2.2</w:t>
      </w:r>
      <m:oMath>
        <m:r>
          <m:rPr>
            <m:sty m:val="p"/>
          </m:rPr>
          <m:t>×</m:t>
        </m:r>
      </m:oMath>
      <w:r>
        <w:t xml:space="preserve"> </w:t>
      </w:r>
      <w:r>
        <w:t xml:space="preserve">the energy of</w:t>
      </w:r>
      <w:r>
        <w:t xml:space="preserve"> </w:t>
      </w:r>
      <m:oMath>
        <m:r>
          <m:t>K</m:t>
        </m:r>
        <m:r>
          <m:rPr>
            <m:sty m:val="p"/>
          </m:rPr>
          <m:t>=</m:t>
        </m:r>
        <m:r>
          <m:t>6</m:t>
        </m:r>
      </m:oMath>
      <w:r>
        <w:t xml:space="preserve"> h at SF7, while raising</w:t>
      </w:r>
      <w:r>
        <w:t xml:space="preserve"> </w:t>
      </w:r>
      <m:oMath>
        <m:r>
          <m:t>K</m:t>
        </m:r>
      </m:oMath>
      <w:r>
        <w:t xml:space="preserve"> </w:t>
      </w:r>
      <w:r>
        <w:t xml:space="preserve">to 24 h saved only 12% more and tripled the 90th-percentile wait (20 to 61 h);</w:t>
      </w:r>
      <w:r>
        <w:t xml:space="preserve"> </w:t>
      </w:r>
      <m:oMath>
        <m:r>
          <m:t>K</m:t>
        </m:r>
        <m:r>
          <m:rPr>
            <m:sty m:val="p"/>
          </m:rPr>
          <m:t>=</m:t>
        </m:r>
        <m:r>
          <m:t>6</m:t>
        </m:r>
      </m:oMath>
      <w:r>
        <w:t xml:space="preserve"> h sits at this knee. The price of batching is the timeliness of alarms and of the real-time picture of fast parameters, which Section VII addresses.</w:t>
      </w:r>
    </w:p>
    <w:bookmarkEnd w:id="28"/>
    <w:bookmarkStart w:id="29" w:name="sec:hand-network"/>
    <w:p>
      <w:pPr>
        <w:pStyle w:val="Heading2"/>
      </w:pPr>
      <w:r>
        <w:t xml:space="preserve">D. Many nodes and model uncertainty</w:t>
      </w:r>
    </w:p>
    <w:p>
      <w:pPr>
        <w:pStyle w:val="FirstParagraph"/>
      </w:pPr>
      <w:r>
        <w:t xml:space="preserve">A system outage ends for every node behind the gateway simultaneously. A discrete-event model of one EU868 gateway and up to 500 nodes (collisions with capture, eight demodulators, a half-duplex gateway, and gateway duty cycles; Supplementary Table S2) showed two effects. Without randomisation, the deterministic back-off kept the nodes synchronised: from 50 nodes at SF7, almost none recovered within 72 h. With probes delayed randomly by up to an hour, every SF7 node recovered, the last within 42 h, at up to 12.5</w:t>
      </w:r>
      <m:oMath>
        <m:r>
          <m:rPr>
            <m:sty m:val="p"/>
          </m:rPr>
          <m:t>×</m:t>
        </m:r>
      </m:oMath>
      <w:r>
        <w:t xml:space="preserve"> </w:t>
      </w:r>
      <w:r>
        <w:t xml:space="preserve">the energy of a node alone. At SF12, the gateway’s acknowledgements ran out: its first-window sub-band reached its 1% limit, up to 29% of the received frames went unacknowledged, and after a one-day outage, only 93% of 100 nodes recovered within 72 h. The per-node results hold for cells with tens of nodes.</w:t>
      </w:r>
    </w:p>
    <w:p>
      <w:pPr>
        <w:pStyle w:val="BodyText"/>
      </w:pPr>
      <w:r>
        <w:t xml:space="preserve">With every measured energy component multiplied by an independent factor between 1/2 and 2 (100 draws), ARQ cost more than unconfirmed reporting on LoRaWAN in 100% of the draws. Hourly batching was cheaper than the fair baseline in at least 98% of them at SF7 and on NB-IoT, but only in 85%–93% at SF12. The buffering energy relative to the fair baseline ranged from 0.50</w:t>
      </w:r>
      <m:oMath>
        <m:r>
          <m:rPr>
            <m:sty m:val="p"/>
          </m:rPr>
          <m:t>×</m:t>
        </m:r>
      </m:oMath>
      <w:r>
        <w:t xml:space="preserve"> </w:t>
      </w:r>
      <w:r>
        <w:t xml:space="preserve">to 2.08</w:t>
      </w:r>
      <m:oMath>
        <m:r>
          <m:rPr>
            <m:sty m:val="p"/>
          </m:rPr>
          <m:t>×</m:t>
        </m:r>
      </m:oMath>
      <w:r>
        <w:t xml:space="preserve">, and its sign is set by the ratio of confirmed to unconfirmed energy, which can only be settled by measuring the target hardware.</w:t>
      </w:r>
    </w:p>
    <w:p>
      <w:pPr>
        <w:pStyle w:val="BodyText"/>
      </w:pPr>
      <w:r>
        <w:t xml:space="preserve">In response to RQ2, ARQ recovers only the short radio losses under any timing model, and on LoRaWAN, it multiplies energy. Buffering with back-off recovers every generated reading, given tens of kilobytes of storage, at an energy close to that of recovering nothing in the model, and hourly batching is the energy-efficient way to do it at SF7 and on NB-IoT. Many nodes recovering simultaneously need randomised probes, and large SF12 cells are limited by the gateway’s acknowledgements.</w:t>
      </w:r>
    </w:p>
    <w:bookmarkEnd w:id="29"/>
    <w:bookmarkEnd w:id="30"/>
    <w:bookmarkStart w:id="33" w:name="sec:reconstruct"/>
    <w:p>
      <w:pPr>
        <w:pStyle w:val="Heading1"/>
      </w:pPr>
      <w:r>
        <w:t xml:space="preserve">VI. Can Reconstruction Replace Delivery?</w:t>
      </w:r>
    </w:p>
    <w:p>
      <w:pPr>
        <w:pStyle w:val="FirstParagraph"/>
      </w:pPr>
      <w:r>
        <w:t xml:space="preserve">If a server could estimate missing readings sufficiently well, it would not need them delivered. This was tested on nine river chains, i.e., sets of USGS sites along the same river (27 sites), with each pair of sites serving as target and neighbour in both orders. On a 1-h grid, gaps of 1, 3, 6, 12, 24, 48, 72 h were simulated at the target in the last 80% of 2023. Two families of estimators were compared:</w:t>
      </w:r>
    </w:p>
    <w:p>
      <w:pPr>
        <w:numPr>
          <w:ilvl w:val="0"/>
          <w:numId w:val="1007"/>
        </w:numPr>
      </w:pPr>
      <w:r>
        <w:t xml:space="preserve">Real-time estimators use data up to the gap and the neighbour during it: persistence; the own-diel estimator of (6); the neighbour’s scaled change (lag and slope fitted on the first 20% of the year); and own diel plus the part of the neighbour’s change that its own diel pattern does not explain.</w:t>
      </w:r>
    </w:p>
    <w:p>
      <w:pPr>
        <w:numPr>
          <w:ilvl w:val="0"/>
          <w:numId w:val="1007"/>
        </w:numPr>
      </w:pPr>
      <w:r>
        <w:t xml:space="preserve">Bridging estimators also know the value after the gap, as after a backfill: linear interpolation, and interpolation plus the neighbour’s departure from its own line.</w:t>
      </w:r>
    </w:p>
    <w:p>
      <w:pPr>
        <w:pStyle w:val="FirstParagraph"/>
      </w:pPr>
      <w:r>
        <w:t xml:space="preserve">The equations are given in Supplementary Section S5. The error on a gap is its maximum absolute error; confidence intervals resample whole chains, and pairs within them.</w:t>
      </w:r>
    </w:p>
    <w:bookmarkStart w:id="31" w:name="tab:chains"/>
    <w:p>
      <w:pPr>
        <w:pStyle w:val="TableCaption"/>
        <w:spacing w:before="200" w:after="0"/>
      </w:pPr>
      <w:r>
        <w:rPr/>
        <w:t xml:space="preserve">Table V</w:t>
      </w:r>
    </w:p>
    <w:p>
      <w:pPr>
        <w:pStyle w:val="TableCaption"/>
      </w:pPr>
      <w:r>
        <w:t xml:space="preserve">Reconstruction on nine river chains: median over ordered site pairs of the median maximum absolute error over a gap (T in</w:t>
      </w:r>
      <w:r>
        <w:t xml:space="preserve"> </w:t>
      </w:r>
      <m:oMath>
        <m:sSup>
          <m:e>
            <m:r>
              <m:t>​</m:t>
            </m:r>
          </m:e>
          <m:sup>
            <m:r>
              <m:rPr>
                <m:sty m:val="p"/>
              </m:rPr>
              <m:t>∘</m:t>
            </m:r>
          </m:sup>
        </m:sSup>
      </m:oMath>
      <w:r>
        <w:t xml:space="preserve">C, DO in %sat, pH in pH units, EC in</w:t>
      </w:r>
      <w:r>
        <w:t xml:space="preserve"> </w:t>
      </w:r>
      <m:oMath>
        <m:r>
          <m:t>μ</m:t>
        </m:r>
      </m:oMath>
      <w:r>
        <w:t xml:space="preserve">S/cm), and the share of pairs in which the neighbour improves on the target’s own data. Real time: best neighbour method vs the better of persistence and own diel. Bridging: interpolation + neighbour vs interpolation.</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0" w:lastRow="0" w:firstColumn="0" w:lastColumn="0" w:noHBand="0" w:noVBand="0" w:val="0000"/>
        <w:tblCaption w:val="@@TAB:V:W:M@@Reconstruction on nine river chains: median over ordered site pairs of the median maximum absolute error over a gap (T in ^\circC, DO in %sat, pH in pH units, EC in \muS/cm), and the share of pairs in which the neighbour improves on the target’s own data. Real time: best neighbour method vs the better of persistence and own diel. Bridging: interpolation + neighbour vs interpolation."/>
      </w:tblPr>
      <w:tblGrid>
        <w:gridCol w:w="880"/>
        <w:gridCol w:w="880"/>
        <w:gridCol w:w="880"/>
        <w:gridCol w:w="880"/>
        <w:gridCol w:w="880"/>
        <w:gridCol w:w="880"/>
        <w:gridCol w:w="880"/>
        <w:gridCol w:w="880"/>
        <w:gridCol w:w="880"/>
      </w:tblGrid>
      <w:tr>
        <w:trPr>
          <w:cantSplit/>
        </w:trPr>
        <w:tc>
          <w:tcPr>
            <w:tcBorders>
              <w:bottom w:val="single" w:sz="4" w:space="0" w:color="000000"/>
            </w:tcBorders>
          </w:tcPr>
          <w:p>
            <w:pPr>
              <w:pStyle w:val="Compact"/>
              <w:keepNext/>
              <w:spacing w:before="10" w:after="10"/>
              <w:ind w:firstLine="0"/>
              <w:rPr>
                <w:sz w:val="16"/>
                <w:szCs w:val="16"/>
              </w:rPr>
            </w:pPr>
          </w:p>
        </w:tc>
        <w:tc>
          <w:tcPr>
            <w:tcBorders>
              <w:bottom w:val="single" w:sz="4" w:space="0" w:color="000000"/>
            </w:tcBorders>
          </w:tcPr>
          <w:p>
            <w:pPr>
              <w:pStyle w:val="Compact"/>
              <w:keepNext/>
              <w:spacing w:before="10" w:after="10"/>
              <w:ind w:firstLine="0"/>
              <w:rPr>
                <w:sz w:val="16"/>
                <w:szCs w:val="16"/>
              </w:rPr>
            </w:pPr>
          </w:p>
        </w:tc>
        <w:tc>
          <w:tcPr>
            <w:gridSpan w:val="4"/>
            <w:tcBorders>
              <w:bottom w:val="single" w:sz="4" w:space="0" w:color="000000"/>
            </w:tcBorders>
          </w:tcPr>
          <w:p>
            <w:pPr>
              <w:pStyle w:val="Compact"/>
              <w:keepNext/>
              <w:spacing w:before="10" w:after="10"/>
              <w:ind w:firstLine="0"/>
              <w:jc w:val="center"/>
              <w:rPr>
                <w:sz w:val="16"/>
                <w:szCs w:val="16"/>
              </w:rPr>
            </w:pPr>
            <w:r>
              <w:rPr>
                <w:sz w:val="16"/>
                <w:szCs w:val="16"/>
              </w:rPr>
              <w:t xml:space="preserve">Real time</w:t>
            </w:r>
          </w:p>
        </w:tc>
        <w:tc>
          <w:tcPr>
            <w:gridSpan w:val="3"/>
            <w:tcBorders>
              <w:bottom w:val="single" w:sz="4" w:space="0" w:color="000000"/>
            </w:tcBorders>
          </w:tcPr>
          <w:p>
            <w:pPr>
              <w:pStyle w:val="Compact"/>
              <w:keepNext/>
              <w:spacing w:before="10" w:after="10"/>
              <w:ind w:firstLine="0"/>
              <w:jc w:val="center"/>
              <w:rPr>
                <w:sz w:val="16"/>
                <w:szCs w:val="16"/>
              </w:rPr>
            </w:pPr>
            <w:r>
              <w:rPr>
                <w:sz w:val="16"/>
                <w:szCs w:val="16"/>
              </w:rPr>
              <w:t xml:space="preserve">Bridging</w:t>
            </w:r>
          </w:p>
        </w:tc>
      </w:tr>
      <w:tr>
        <w:trPr>
          <w:cantSplit/>
        </w:trPr>
        <w:tc>
          <w:tcPr/>
          <w:p>
            <w:pPr>
              <w:pStyle w:val="Compact"/>
              <w:keepNext/>
              <w:spacing w:before="10" w:after="10"/>
              <w:ind w:firstLine="0"/>
              <w:jc w:val="left"/>
              <w:rPr>
                <w:sz w:val="16"/>
                <w:szCs w:val="16"/>
              </w:rPr>
            </w:pPr>
            <w:r>
              <w:rPr>
                <w:sz w:val="16"/>
                <w:szCs w:val="16"/>
              </w:rPr>
              <w:t xml:space="preserve">Param.</w:t>
            </w:r>
          </w:p>
        </w:tc>
        <w:tc>
          <w:tcPr/>
          <w:p>
            <w:pPr>
              <w:pStyle w:val="Compact"/>
              <w:keepNext/>
              <w:spacing w:before="10" w:after="10"/>
              <w:ind w:firstLine="0"/>
              <w:jc w:val="right"/>
              <w:rPr>
                <w:sz w:val="16"/>
                <w:szCs w:val="16"/>
              </w:rPr>
            </w:pPr>
            <w:r>
              <w:rPr>
                <w:sz w:val="16"/>
                <w:szCs w:val="16"/>
              </w:rPr>
              <w:t xml:space="preserve">Gap (h)</w:t>
            </w: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r>
      <w:tr>
        <w:trPr>
          <w:cantSplit/>
        </w:trPr>
        <w:tc>
          <w:tcPr/>
          <w:p>
            <w:pPr>
              <w:pStyle w:val="Compact"/>
              <w:keepNext/>
              <w:spacing w:before="10" w:after="10"/>
              <w:ind w:firstLine="0"/>
              <w:jc w:val="left"/>
              <w:rPr>
                <w:sz w:val="16"/>
                <w:szCs w:val="16"/>
              </w:rPr>
            </w:pPr>
            <w:r>
              <w:rPr>
                <w:sz w:val="16"/>
                <w:szCs w:val="16"/>
              </w:rPr>
              <w:t xml:space="preserve">tence</w:t>
            </w: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r>
      <w:tr>
        <w:trPr>
          <w:cantSplit/>
        </w:trPr>
        <w:tc>
          <w:tcPr/>
          <w:p>
            <w:pPr>
              <w:pStyle w:val="Compact"/>
              <w:keepNext/>
              <w:spacing w:before="10" w:after="10"/>
              <w:ind w:firstLine="0"/>
              <w:jc w:val="left"/>
              <w:rPr>
                <w:sz w:val="16"/>
                <w:szCs w:val="16"/>
              </w:rPr>
            </w:pPr>
            <w:r>
              <w:rPr>
                <w:sz w:val="16"/>
                <w:szCs w:val="16"/>
              </w:rPr>
              <w:t xml:space="preserve">diel</w:t>
            </w: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r>
      <w:tr>
        <w:trPr>
          <w:cantSplit/>
        </w:trPr>
        <w:tc>
          <w:tcPr/>
          <w:p>
            <w:pPr>
              <w:pStyle w:val="Compact"/>
              <w:keepNext/>
              <w:spacing w:before="10" w:after="10"/>
              <w:ind w:firstLine="0"/>
              <w:jc w:val="left"/>
              <w:rPr>
                <w:sz w:val="16"/>
                <w:szCs w:val="16"/>
              </w:rPr>
            </w:pPr>
            <w:r>
              <w:rPr>
                <w:sz w:val="16"/>
                <w:szCs w:val="16"/>
              </w:rPr>
              <w:t xml:space="preserve">neighbour</w:t>
            </w: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r>
      <w:tr>
        <w:trPr>
          <w:cantSplit/>
        </w:trPr>
        <w:tc>
          <w:tcPr/>
          <w:p>
            <w:pPr>
              <w:pStyle w:val="Compact"/>
              <w:keepNext/>
              <w:spacing w:before="10" w:after="10"/>
              <w:ind w:firstLine="0"/>
              <w:jc w:val="left"/>
              <w:rPr>
                <w:sz w:val="16"/>
                <w:szCs w:val="16"/>
              </w:rPr>
            </w:pPr>
            <w:r>
              <w:rPr>
                <w:sz w:val="16"/>
                <w:szCs w:val="16"/>
              </w:rPr>
              <w:t xml:space="preserve">wins</w:t>
            </w:r>
          </w:p>
        </w:tc>
        <w:tc>
          <w:tcPr/>
          <w:p>
            <w:pPr>
              <w:pStyle w:val="Compact"/>
              <w:keepNext/>
              <w:spacing w:before="10" w:after="10"/>
              <w:ind w:firstLine="0"/>
              <w:jc w:val="right"/>
              <w:rPr>
                <w:sz w:val="16"/>
                <w:szCs w:val="16"/>
              </w:rPr>
            </w:pPr>
            <w:r>
              <w:rPr>
                <w:sz w:val="16"/>
                <w:szCs w:val="16"/>
              </w:rPr>
              <w:t xml:space="preserve">Interpolation</w:t>
            </w: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r>
      <w:tr>
        <w:trPr>
          <w:cantSplit/>
        </w:trPr>
        <w:tc>
          <w:tcPr/>
          <w:p>
            <w:pPr>
              <w:pStyle w:val="Compact"/>
              <w:keepNext/>
              <w:spacing w:before="10" w:after="10"/>
              <w:ind w:firstLine="0"/>
              <w:jc w:val="left"/>
              <w:rPr>
                <w:sz w:val="16"/>
                <w:szCs w:val="16"/>
              </w:rPr>
            </w:pPr>
            <w:r>
              <w:rPr>
                <w:sz w:val="16"/>
                <w:szCs w:val="16"/>
              </w:rPr>
              <w:t xml:space="preserve">neighbour</w:t>
            </w: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r>
      <w:tr>
        <w:trPr>
          <w:cantSplit/>
        </w:trPr>
        <w:tc>
          <w:tcPr/>
          <w:p>
            <w:pPr>
              <w:pStyle w:val="Compact"/>
              <w:keepNext/>
              <w:spacing w:before="10" w:after="10"/>
              <w:ind w:firstLine="0"/>
              <w:jc w:val="left"/>
              <w:rPr>
                <w:sz w:val="16"/>
                <w:szCs w:val="16"/>
              </w:rPr>
            </w:pPr>
            <w:r>
              <w:rPr>
                <w:sz w:val="16"/>
                <w:szCs w:val="16"/>
              </w:rPr>
              <w:t xml:space="preserve">wins</w:t>
            </w: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r>
      <w:tr>
        <w:trPr>
          <w:cantSplit/>
        </w:trPr>
        <w:tc>
          <w:tcPr/>
          <w:p>
            <w:pPr>
              <w:pStyle w:val="Compact"/>
              <w:keepNext/>
              <w:spacing w:before="10" w:after="10"/>
              <w:ind w:firstLine="0"/>
              <w:jc w:val="left"/>
              <w:rPr>
                <w:sz w:val="16"/>
                <w:szCs w:val="16"/>
              </w:rPr>
            </w:pPr>
            <w:r>
              <w:rPr>
                <w:sz w:val="16"/>
                <w:szCs w:val="16"/>
              </w:rPr>
              <w:t xml:space="preserve">T</w:t>
            </w:r>
          </w:p>
        </w:tc>
        <w:tc>
          <w:tcPr/>
          <w:p>
            <w:pPr>
              <w:pStyle w:val="Compact"/>
              <w:keepNext/>
              <w:spacing w:before="10" w:after="10"/>
              <w:ind w:firstLine="0"/>
              <w:jc w:val="right"/>
              <w:rPr>
                <w:sz w:val="16"/>
                <w:szCs w:val="16"/>
              </w:rPr>
            </w:pPr>
            <w:r>
              <w:rPr>
                <w:sz w:val="16"/>
                <w:szCs w:val="16"/>
              </w:rPr>
              <w:t xml:space="preserve">1</w:t>
            </w:r>
          </w:p>
        </w:tc>
        <w:tc>
          <w:tcPr/>
          <w:p>
            <w:pPr>
              <w:pStyle w:val="Compact"/>
              <w:keepNext/>
              <w:spacing w:before="10" w:after="10"/>
              <w:ind w:firstLine="0"/>
              <w:jc w:val="right"/>
              <w:rPr>
                <w:sz w:val="16"/>
                <w:szCs w:val="16"/>
              </w:rPr>
            </w:pPr>
            <w:r>
              <w:rPr>
                <w:sz w:val="16"/>
                <w:szCs w:val="16"/>
              </w:rPr>
              <w:t xml:space="preserve">0.07</w:t>
            </w:r>
          </w:p>
        </w:tc>
        <w:tc>
          <w:tcPr/>
          <w:p>
            <w:pPr>
              <w:pStyle w:val="Compact"/>
              <w:keepNext/>
              <w:spacing w:before="10" w:after="10"/>
              <w:ind w:firstLine="0"/>
              <w:jc w:val="right"/>
              <w:rPr>
                <w:sz w:val="16"/>
                <w:szCs w:val="16"/>
              </w:rPr>
            </w:pPr>
            <w:r>
              <w:rPr>
                <w:sz w:val="16"/>
                <w:szCs w:val="16"/>
              </w:rPr>
              <w:t xml:space="preserve">0.05</w:t>
            </w:r>
          </w:p>
        </w:tc>
        <w:tc>
          <w:tcPr/>
          <w:p>
            <w:pPr>
              <w:pStyle w:val="Compact"/>
              <w:keepNext/>
              <w:spacing w:before="10" w:after="10"/>
              <w:ind w:firstLine="0"/>
              <w:jc w:val="right"/>
              <w:rPr>
                <w:sz w:val="16"/>
                <w:szCs w:val="16"/>
              </w:rPr>
            </w:pPr>
            <w:r>
              <w:rPr>
                <w:sz w:val="16"/>
                <w:szCs w:val="16"/>
              </w:rPr>
              <w:t xml:space="preserve">0.05</w:t>
            </w:r>
          </w:p>
        </w:tc>
        <w:tc>
          <w:tcPr/>
          <w:p>
            <w:pPr>
              <w:pStyle w:val="Compact"/>
              <w:keepNext/>
              <w:spacing w:before="10" w:after="10"/>
              <w:ind w:firstLine="0"/>
              <w:jc w:val="right"/>
              <w:rPr>
                <w:sz w:val="16"/>
                <w:szCs w:val="16"/>
              </w:rPr>
            </w:pPr>
            <w:r>
              <w:rPr>
                <w:sz w:val="16"/>
                <w:szCs w:val="16"/>
              </w:rPr>
              <w:t xml:space="preserve">23%</w:t>
            </w:r>
          </w:p>
        </w:tc>
        <w:tc>
          <w:tcPr/>
          <w:p>
            <w:pPr>
              <w:pStyle w:val="Compact"/>
              <w:keepNext/>
              <w:spacing w:before="10" w:after="10"/>
              <w:ind w:firstLine="0"/>
              <w:jc w:val="right"/>
              <w:rPr>
                <w:sz w:val="16"/>
                <w:szCs w:val="16"/>
              </w:rPr>
            </w:pPr>
            <w:r>
              <w:rPr>
                <w:sz w:val="16"/>
                <w:szCs w:val="16"/>
              </w:rPr>
              <w:t xml:space="preserve">0.03</w:t>
            </w:r>
          </w:p>
        </w:tc>
        <w:tc>
          <w:tcPr/>
          <w:p>
            <w:pPr>
              <w:pStyle w:val="Compact"/>
              <w:keepNext/>
              <w:spacing w:before="10" w:after="10"/>
              <w:ind w:firstLine="0"/>
              <w:jc w:val="right"/>
              <w:rPr>
                <w:sz w:val="16"/>
                <w:szCs w:val="16"/>
              </w:rPr>
            </w:pPr>
            <w:r>
              <w:rPr>
                <w:sz w:val="16"/>
                <w:szCs w:val="16"/>
              </w:rPr>
              <w:t xml:space="preserve">0.03</w:t>
            </w:r>
          </w:p>
        </w:tc>
        <w:tc>
          <w:tcPr/>
          <w:p>
            <w:pPr>
              <w:pStyle w:val="Compact"/>
              <w:keepNext/>
              <w:spacing w:before="10" w:after="10"/>
              <w:ind w:firstLine="0"/>
              <w:jc w:val="right"/>
              <w:rPr>
                <w:sz w:val="16"/>
                <w:szCs w:val="16"/>
              </w:rPr>
            </w:pPr>
            <w:r>
              <w:rPr>
                <w:sz w:val="16"/>
                <w:szCs w:val="16"/>
              </w:rPr>
              <w:t xml:space="preserve">19%</w:t>
            </w:r>
          </w:p>
        </w:tc>
      </w:tr>
      <w:tr>
        <w:trPr>
          <w:cantSplit/>
        </w:trPr>
        <w:tc>
          <w:tcPr/>
          <w:p>
            <w:pPr>
              <w:pStyle w:val="Compact"/>
              <w:keepNext/>
              <w:spacing w:before="10" w:after="10"/>
              <w:ind w:firstLine="0"/>
              <w:jc w:val="left"/>
              <w:rPr>
                <w:sz w:val="16"/>
                <w:szCs w:val="16"/>
              </w:rPr>
            </w:pPr>
            <w:r>
              <w:rPr>
                <w:sz w:val="16"/>
                <w:szCs w:val="16"/>
              </w:rPr>
              <w:t xml:space="preserve">T</w:t>
            </w:r>
          </w:p>
        </w:tc>
        <w:tc>
          <w:tcPr/>
          <w:p>
            <w:pPr>
              <w:pStyle w:val="Compact"/>
              <w:keepNext/>
              <w:spacing w:before="10" w:after="10"/>
              <w:ind w:firstLine="0"/>
              <w:jc w:val="right"/>
              <w:rPr>
                <w:sz w:val="16"/>
                <w:szCs w:val="16"/>
              </w:rPr>
            </w:pPr>
            <w:r>
              <w:rPr>
                <w:sz w:val="16"/>
                <w:szCs w:val="16"/>
              </w:rPr>
              <w:t xml:space="preserve">24</w:t>
            </w:r>
          </w:p>
        </w:tc>
        <w:tc>
          <w:tcPr/>
          <w:p>
            <w:pPr>
              <w:pStyle w:val="Compact"/>
              <w:keepNext/>
              <w:spacing w:before="10" w:after="10"/>
              <w:ind w:firstLine="0"/>
              <w:jc w:val="right"/>
              <w:rPr>
                <w:sz w:val="16"/>
                <w:szCs w:val="16"/>
              </w:rPr>
            </w:pPr>
            <w:r>
              <w:rPr>
                <w:sz w:val="16"/>
                <w:szCs w:val="16"/>
              </w:rPr>
              <w:t xml:space="preserve">0.97</w:t>
            </w:r>
          </w:p>
        </w:tc>
        <w:tc>
          <w:tcPr/>
          <w:p>
            <w:pPr>
              <w:pStyle w:val="Compact"/>
              <w:keepNext/>
              <w:spacing w:before="10" w:after="10"/>
              <w:ind w:firstLine="0"/>
              <w:jc w:val="right"/>
              <w:rPr>
                <w:sz w:val="16"/>
                <w:szCs w:val="16"/>
              </w:rPr>
            </w:pPr>
            <w:r>
              <w:rPr>
                <w:sz w:val="16"/>
                <w:szCs w:val="16"/>
              </w:rPr>
              <w:t xml:space="preserve">0.70</w:t>
            </w:r>
          </w:p>
        </w:tc>
        <w:tc>
          <w:tcPr/>
          <w:p>
            <w:pPr>
              <w:pStyle w:val="Compact"/>
              <w:keepNext/>
              <w:spacing w:before="10" w:after="10"/>
              <w:ind w:firstLine="0"/>
              <w:jc w:val="right"/>
              <w:rPr>
                <w:sz w:val="16"/>
                <w:szCs w:val="16"/>
              </w:rPr>
            </w:pPr>
            <w:r>
              <w:rPr>
                <w:sz w:val="16"/>
                <w:szCs w:val="16"/>
              </w:rPr>
              <w:t xml:space="preserve">0.65</w:t>
            </w:r>
          </w:p>
        </w:tc>
        <w:tc>
          <w:tcPr/>
          <w:p>
            <w:pPr>
              <w:pStyle w:val="Compact"/>
              <w:keepNext/>
              <w:spacing w:before="10" w:after="10"/>
              <w:ind w:firstLine="0"/>
              <w:jc w:val="right"/>
              <w:rPr>
                <w:sz w:val="16"/>
                <w:szCs w:val="16"/>
              </w:rPr>
            </w:pPr>
            <w:r>
              <w:rPr>
                <w:sz w:val="16"/>
                <w:szCs w:val="16"/>
              </w:rPr>
              <w:t xml:space="preserve">72%</w:t>
            </w:r>
          </w:p>
        </w:tc>
        <w:tc>
          <w:tcPr/>
          <w:p>
            <w:pPr>
              <w:pStyle w:val="Compact"/>
              <w:keepNext/>
              <w:spacing w:before="10" w:after="10"/>
              <w:ind w:firstLine="0"/>
              <w:jc w:val="right"/>
              <w:rPr>
                <w:sz w:val="16"/>
                <w:szCs w:val="16"/>
              </w:rPr>
            </w:pPr>
            <w:r>
              <w:rPr>
                <w:sz w:val="16"/>
                <w:szCs w:val="16"/>
              </w:rPr>
              <w:t xml:space="preserve">0.80</w:t>
            </w:r>
          </w:p>
        </w:tc>
        <w:tc>
          <w:tcPr/>
          <w:p>
            <w:pPr>
              <w:pStyle w:val="Compact"/>
              <w:keepNext/>
              <w:spacing w:before="10" w:after="10"/>
              <w:ind w:firstLine="0"/>
              <w:jc w:val="right"/>
              <w:rPr>
                <w:sz w:val="16"/>
                <w:szCs w:val="16"/>
              </w:rPr>
            </w:pPr>
            <w:r>
              <w:rPr>
                <w:sz w:val="16"/>
                <w:szCs w:val="16"/>
              </w:rPr>
              <w:t xml:space="preserve">0.56</w:t>
            </w:r>
          </w:p>
        </w:tc>
        <w:tc>
          <w:tcPr/>
          <w:p>
            <w:pPr>
              <w:pStyle w:val="Compact"/>
              <w:keepNext/>
              <w:spacing w:before="10" w:after="10"/>
              <w:ind w:firstLine="0"/>
              <w:jc w:val="right"/>
              <w:rPr>
                <w:sz w:val="16"/>
                <w:szCs w:val="16"/>
              </w:rPr>
            </w:pPr>
            <w:r>
              <w:rPr>
                <w:sz w:val="16"/>
                <w:szCs w:val="16"/>
              </w:rPr>
              <w:t xml:space="preserve">93%</w:t>
            </w:r>
          </w:p>
        </w:tc>
      </w:tr>
      <w:tr>
        <w:trPr>
          <w:cantSplit/>
        </w:trPr>
        <w:tc>
          <w:tcPr/>
          <w:p>
            <w:pPr>
              <w:pStyle w:val="Compact"/>
              <w:keepNext/>
              <w:spacing w:before="10" w:after="10"/>
              <w:ind w:firstLine="0"/>
              <w:jc w:val="left"/>
              <w:rPr>
                <w:sz w:val="16"/>
                <w:szCs w:val="16"/>
              </w:rPr>
            </w:pPr>
            <w:r>
              <w:rPr>
                <w:sz w:val="16"/>
                <w:szCs w:val="16"/>
              </w:rPr>
              <w:t xml:space="preserve">DO</w:t>
            </w:r>
          </w:p>
        </w:tc>
        <w:tc>
          <w:tcPr/>
          <w:p>
            <w:pPr>
              <w:pStyle w:val="Compact"/>
              <w:keepNext/>
              <w:spacing w:before="10" w:after="10"/>
              <w:ind w:firstLine="0"/>
              <w:jc w:val="right"/>
              <w:rPr>
                <w:sz w:val="16"/>
                <w:szCs w:val="16"/>
              </w:rPr>
            </w:pPr>
            <w:r>
              <w:rPr>
                <w:sz w:val="16"/>
                <w:szCs w:val="16"/>
              </w:rPr>
              <w:t xml:space="preserve">1</w:t>
            </w:r>
          </w:p>
        </w:tc>
        <w:tc>
          <w:tcPr/>
          <w:p>
            <w:pPr>
              <w:pStyle w:val="Compact"/>
              <w:keepNext/>
              <w:spacing w:before="10" w:after="10"/>
              <w:ind w:firstLine="0"/>
              <w:jc w:val="right"/>
              <w:rPr>
                <w:sz w:val="16"/>
                <w:szCs w:val="16"/>
              </w:rPr>
            </w:pPr>
            <w:r>
              <w:rPr>
                <w:sz w:val="16"/>
                <w:szCs w:val="16"/>
              </w:rPr>
              <w:t xml:space="preserve">0.67</w:t>
            </w:r>
          </w:p>
        </w:tc>
        <w:tc>
          <w:tcPr/>
          <w:p>
            <w:pPr>
              <w:pStyle w:val="Compact"/>
              <w:keepNext/>
              <w:spacing w:before="10" w:after="10"/>
              <w:ind w:firstLine="0"/>
              <w:jc w:val="right"/>
              <w:rPr>
                <w:sz w:val="16"/>
                <w:szCs w:val="16"/>
              </w:rPr>
            </w:pPr>
            <w:r>
              <w:rPr>
                <w:sz w:val="16"/>
                <w:szCs w:val="16"/>
              </w:rPr>
              <w:t xml:space="preserve">0.49</w:t>
            </w:r>
          </w:p>
        </w:tc>
        <w:tc>
          <w:tcPr/>
          <w:p>
            <w:pPr>
              <w:pStyle w:val="Compact"/>
              <w:keepNext/>
              <w:spacing w:before="10" w:after="10"/>
              <w:ind w:firstLine="0"/>
              <w:jc w:val="right"/>
              <w:rPr>
                <w:sz w:val="16"/>
                <w:szCs w:val="16"/>
              </w:rPr>
            </w:pPr>
            <w:r>
              <w:rPr>
                <w:sz w:val="16"/>
                <w:szCs w:val="16"/>
              </w:rPr>
              <w:t xml:space="preserve">0.58</w:t>
            </w:r>
          </w:p>
        </w:tc>
        <w:tc>
          <w:tcPr/>
          <w:p>
            <w:pPr>
              <w:pStyle w:val="Compact"/>
              <w:keepNext/>
              <w:spacing w:before="10" w:after="10"/>
              <w:ind w:firstLine="0"/>
              <w:jc w:val="right"/>
              <w:rPr>
                <w:sz w:val="16"/>
                <w:szCs w:val="16"/>
              </w:rPr>
            </w:pPr>
            <w:r>
              <w:rPr>
                <w:sz w:val="16"/>
                <w:szCs w:val="16"/>
              </w:rPr>
              <w:t xml:space="preserve">19%</w:t>
            </w:r>
          </w:p>
        </w:tc>
        <w:tc>
          <w:tcPr/>
          <w:p>
            <w:pPr>
              <w:pStyle w:val="Compact"/>
              <w:keepNext/>
              <w:spacing w:before="10" w:after="10"/>
              <w:ind w:firstLine="0"/>
              <w:jc w:val="right"/>
              <w:rPr>
                <w:sz w:val="16"/>
                <w:szCs w:val="16"/>
              </w:rPr>
            </w:pPr>
            <w:r>
              <w:rPr>
                <w:sz w:val="16"/>
                <w:szCs w:val="16"/>
              </w:rPr>
              <w:t xml:space="preserve">0.26</w:t>
            </w:r>
          </w:p>
        </w:tc>
        <w:tc>
          <w:tcPr/>
          <w:p>
            <w:pPr>
              <w:pStyle w:val="Compact"/>
              <w:keepNext/>
              <w:spacing w:before="10" w:after="10"/>
              <w:ind w:firstLine="0"/>
              <w:jc w:val="right"/>
              <w:rPr>
                <w:sz w:val="16"/>
                <w:szCs w:val="16"/>
              </w:rPr>
            </w:pPr>
            <w:r>
              <w:rPr>
                <w:sz w:val="16"/>
                <w:szCs w:val="16"/>
              </w:rPr>
              <w:t xml:space="preserve">0.34</w:t>
            </w:r>
          </w:p>
        </w:tc>
        <w:tc>
          <w:tcPr/>
          <w:p>
            <w:pPr>
              <w:pStyle w:val="Compact"/>
              <w:keepNext/>
              <w:spacing w:before="10" w:after="10"/>
              <w:ind w:firstLine="0"/>
              <w:jc w:val="right"/>
              <w:rPr>
                <w:sz w:val="16"/>
                <w:szCs w:val="16"/>
              </w:rPr>
            </w:pPr>
            <w:r>
              <w:rPr>
                <w:sz w:val="16"/>
                <w:szCs w:val="16"/>
              </w:rPr>
              <w:t xml:space="preserve">13%</w:t>
            </w:r>
          </w:p>
        </w:tc>
      </w:tr>
      <w:tr>
        <w:trPr>
          <w:cantSplit/>
        </w:trPr>
        <w:tc>
          <w:tcPr/>
          <w:p>
            <w:pPr>
              <w:pStyle w:val="Compact"/>
              <w:keepNext/>
              <w:spacing w:before="10" w:after="10"/>
              <w:ind w:firstLine="0"/>
              <w:jc w:val="left"/>
              <w:rPr>
                <w:sz w:val="16"/>
                <w:szCs w:val="16"/>
              </w:rPr>
            </w:pPr>
            <w:r>
              <w:rPr>
                <w:sz w:val="16"/>
                <w:szCs w:val="16"/>
              </w:rPr>
              <w:t xml:space="preserve">DO</w:t>
            </w:r>
          </w:p>
        </w:tc>
        <w:tc>
          <w:tcPr/>
          <w:p>
            <w:pPr>
              <w:pStyle w:val="Compact"/>
              <w:keepNext/>
              <w:spacing w:before="10" w:after="10"/>
              <w:ind w:firstLine="0"/>
              <w:jc w:val="right"/>
              <w:rPr>
                <w:sz w:val="16"/>
                <w:szCs w:val="16"/>
              </w:rPr>
            </w:pPr>
            <w:r>
              <w:rPr>
                <w:sz w:val="16"/>
                <w:szCs w:val="16"/>
              </w:rPr>
              <w:t xml:space="preserve">24</w:t>
            </w:r>
          </w:p>
        </w:tc>
        <w:tc>
          <w:tcPr/>
          <w:p>
            <w:pPr>
              <w:pStyle w:val="Compact"/>
              <w:keepNext/>
              <w:spacing w:before="10" w:after="10"/>
              <w:ind w:firstLine="0"/>
              <w:jc w:val="right"/>
              <w:rPr>
                <w:sz w:val="16"/>
                <w:szCs w:val="16"/>
              </w:rPr>
            </w:pPr>
            <w:r>
              <w:rPr>
                <w:sz w:val="16"/>
                <w:szCs w:val="16"/>
              </w:rPr>
              <w:t xml:space="preserve">9.07</w:t>
            </w:r>
          </w:p>
        </w:tc>
        <w:tc>
          <w:tcPr/>
          <w:p>
            <w:pPr>
              <w:pStyle w:val="Compact"/>
              <w:keepNext/>
              <w:spacing w:before="10" w:after="10"/>
              <w:ind w:firstLine="0"/>
              <w:jc w:val="right"/>
              <w:rPr>
                <w:sz w:val="16"/>
                <w:szCs w:val="16"/>
              </w:rPr>
            </w:pPr>
            <w:r>
              <w:rPr>
                <w:sz w:val="16"/>
                <w:szCs w:val="16"/>
              </w:rPr>
              <w:t xml:space="preserve">4.33</w:t>
            </w:r>
          </w:p>
        </w:tc>
        <w:tc>
          <w:tcPr/>
          <w:p>
            <w:pPr>
              <w:pStyle w:val="Compact"/>
              <w:keepNext/>
              <w:spacing w:before="10" w:after="10"/>
              <w:ind w:firstLine="0"/>
              <w:jc w:val="right"/>
              <w:rPr>
                <w:sz w:val="16"/>
                <w:szCs w:val="16"/>
              </w:rPr>
            </w:pPr>
            <w:r>
              <w:rPr>
                <w:sz w:val="16"/>
                <w:szCs w:val="16"/>
              </w:rPr>
              <w:t xml:space="preserve">5.13</w:t>
            </w:r>
          </w:p>
        </w:tc>
        <w:tc>
          <w:tcPr/>
          <w:p>
            <w:pPr>
              <w:pStyle w:val="Compact"/>
              <w:keepNext/>
              <w:spacing w:before="10" w:after="10"/>
              <w:ind w:firstLine="0"/>
              <w:jc w:val="right"/>
              <w:rPr>
                <w:sz w:val="16"/>
                <w:szCs w:val="16"/>
              </w:rPr>
            </w:pPr>
            <w:r>
              <w:rPr>
                <w:sz w:val="16"/>
                <w:szCs w:val="16"/>
              </w:rPr>
              <w:t xml:space="preserve">30%</w:t>
            </w:r>
          </w:p>
        </w:tc>
        <w:tc>
          <w:tcPr/>
          <w:p>
            <w:pPr>
              <w:pStyle w:val="Compact"/>
              <w:keepNext/>
              <w:spacing w:before="10" w:after="10"/>
              <w:ind w:firstLine="0"/>
              <w:jc w:val="right"/>
              <w:rPr>
                <w:sz w:val="16"/>
                <w:szCs w:val="16"/>
              </w:rPr>
            </w:pPr>
            <w:r>
              <w:rPr>
                <w:sz w:val="16"/>
                <w:szCs w:val="16"/>
              </w:rPr>
              <w:t xml:space="preserve">7.75</w:t>
            </w:r>
          </w:p>
        </w:tc>
        <w:tc>
          <w:tcPr/>
          <w:p>
            <w:pPr>
              <w:pStyle w:val="Compact"/>
              <w:keepNext/>
              <w:spacing w:before="10" w:after="10"/>
              <w:ind w:firstLine="0"/>
              <w:jc w:val="right"/>
              <w:rPr>
                <w:sz w:val="16"/>
                <w:szCs w:val="16"/>
              </w:rPr>
            </w:pPr>
            <w:r>
              <w:rPr>
                <w:sz w:val="16"/>
                <w:szCs w:val="16"/>
              </w:rPr>
              <w:t xml:space="preserve">6.27</w:t>
            </w:r>
          </w:p>
        </w:tc>
        <w:tc>
          <w:tcPr/>
          <w:p>
            <w:pPr>
              <w:pStyle w:val="Compact"/>
              <w:keepNext/>
              <w:spacing w:before="10" w:after="10"/>
              <w:ind w:firstLine="0"/>
              <w:jc w:val="right"/>
              <w:rPr>
                <w:sz w:val="16"/>
                <w:szCs w:val="16"/>
              </w:rPr>
            </w:pPr>
            <w:r>
              <w:rPr>
                <w:sz w:val="16"/>
                <w:szCs w:val="16"/>
              </w:rPr>
              <w:t xml:space="preserve">70%</w:t>
            </w:r>
          </w:p>
        </w:tc>
      </w:tr>
      <w:tr>
        <w:trPr>
          <w:cantSplit/>
        </w:trPr>
        <w:tc>
          <w:tcPr/>
          <w:p>
            <w:pPr>
              <w:pStyle w:val="Compact"/>
              <w:keepNext/>
              <w:spacing w:before="10" w:after="10"/>
              <w:ind w:firstLine="0"/>
              <w:jc w:val="left"/>
              <w:rPr>
                <w:sz w:val="16"/>
                <w:szCs w:val="16"/>
              </w:rPr>
            </w:pPr>
            <w:r>
              <w:rPr>
                <w:sz w:val="16"/>
                <w:szCs w:val="16"/>
              </w:rPr>
              <w:t xml:space="preserve">pH</w:t>
            </w:r>
          </w:p>
        </w:tc>
        <w:tc>
          <w:tcPr/>
          <w:p>
            <w:pPr>
              <w:pStyle w:val="Compact"/>
              <w:keepNext/>
              <w:spacing w:before="10" w:after="10"/>
              <w:ind w:firstLine="0"/>
              <w:jc w:val="right"/>
              <w:rPr>
                <w:sz w:val="16"/>
                <w:szCs w:val="16"/>
              </w:rPr>
            </w:pPr>
            <w:r>
              <w:rPr>
                <w:sz w:val="16"/>
                <w:szCs w:val="16"/>
              </w:rPr>
              <w:t xml:space="preserve">1</w:t>
            </w:r>
          </w:p>
        </w:tc>
        <w:tc>
          <w:tcPr/>
          <w:p>
            <w:pPr>
              <w:pStyle w:val="Compact"/>
              <w:keepNext/>
              <w:spacing w:before="10" w:after="10"/>
              <w:ind w:firstLine="0"/>
              <w:jc w:val="right"/>
              <w:rPr>
                <w:sz w:val="16"/>
                <w:szCs w:val="16"/>
              </w:rPr>
            </w:pPr>
            <w:r>
              <w:rPr>
                <w:sz w:val="16"/>
                <w:szCs w:val="16"/>
              </w:rPr>
              <w:t xml:space="preserve">0.000</w:t>
            </w:r>
          </w:p>
        </w:tc>
        <w:tc>
          <w:tcPr/>
          <w:p>
            <w:pPr>
              <w:pStyle w:val="Compact"/>
              <w:keepNext/>
              <w:spacing w:before="10" w:after="10"/>
              <w:ind w:firstLine="0"/>
              <w:jc w:val="right"/>
              <w:rPr>
                <w:sz w:val="16"/>
                <w:szCs w:val="16"/>
              </w:rPr>
            </w:pPr>
            <w:r>
              <w:rPr>
                <w:sz w:val="16"/>
                <w:szCs w:val="16"/>
              </w:rPr>
              <w:t xml:space="preserve">0.025</w:t>
            </w:r>
          </w:p>
        </w:tc>
        <w:tc>
          <w:tcPr/>
          <w:p>
            <w:pPr>
              <w:pStyle w:val="Compact"/>
              <w:keepNext/>
              <w:spacing w:before="10" w:after="10"/>
              <w:ind w:firstLine="0"/>
              <w:jc w:val="right"/>
              <w:rPr>
                <w:sz w:val="16"/>
                <w:szCs w:val="16"/>
              </w:rPr>
            </w:pPr>
            <w:r>
              <w:rPr>
                <w:sz w:val="16"/>
                <w:szCs w:val="16"/>
              </w:rPr>
              <w:t xml:space="preserve">0.018</w:t>
            </w:r>
          </w:p>
        </w:tc>
        <w:tc>
          <w:tcPr/>
          <w:p>
            <w:pPr>
              <w:pStyle w:val="Compact"/>
              <w:keepNext/>
              <w:spacing w:before="10" w:after="10"/>
              <w:ind w:firstLine="0"/>
              <w:jc w:val="right"/>
              <w:rPr>
                <w:sz w:val="16"/>
                <w:szCs w:val="16"/>
              </w:rPr>
            </w:pPr>
            <w:r>
              <w:rPr>
                <w:sz w:val="16"/>
                <w:szCs w:val="16"/>
              </w:rPr>
              <w:t xml:space="preserve">7%</w:t>
            </w:r>
          </w:p>
        </w:tc>
        <w:tc>
          <w:tcPr/>
          <w:p>
            <w:pPr>
              <w:pStyle w:val="Compact"/>
              <w:keepNext/>
              <w:spacing w:before="10" w:after="10"/>
              <w:ind w:firstLine="0"/>
              <w:jc w:val="right"/>
              <w:rPr>
                <w:sz w:val="16"/>
                <w:szCs w:val="16"/>
              </w:rPr>
            </w:pPr>
            <w:r>
              <w:rPr>
                <w:sz w:val="16"/>
                <w:szCs w:val="16"/>
              </w:rPr>
              <w:t xml:space="preserve">0.013</w:t>
            </w:r>
          </w:p>
        </w:tc>
        <w:tc>
          <w:tcPr/>
          <w:p>
            <w:pPr>
              <w:pStyle w:val="Compact"/>
              <w:keepNext/>
              <w:spacing w:before="10" w:after="10"/>
              <w:ind w:firstLine="0"/>
              <w:jc w:val="right"/>
              <w:rPr>
                <w:sz w:val="16"/>
                <w:szCs w:val="16"/>
              </w:rPr>
            </w:pPr>
            <w:r>
              <w:rPr>
                <w:sz w:val="16"/>
                <w:szCs w:val="16"/>
              </w:rPr>
              <w:t xml:space="preserve">0.013</w:t>
            </w:r>
          </w:p>
        </w:tc>
        <w:tc>
          <w:tcPr/>
          <w:p>
            <w:pPr>
              <w:pStyle w:val="Compact"/>
              <w:keepNext/>
              <w:spacing w:before="10" w:after="10"/>
              <w:ind w:firstLine="0"/>
              <w:jc w:val="right"/>
              <w:rPr>
                <w:sz w:val="16"/>
                <w:szCs w:val="16"/>
              </w:rPr>
            </w:pPr>
            <w:r>
              <w:rPr>
                <w:sz w:val="16"/>
                <w:szCs w:val="16"/>
              </w:rPr>
              <w:t xml:space="preserve">9%</w:t>
            </w:r>
          </w:p>
        </w:tc>
      </w:tr>
      <w:tr>
        <w:trPr>
          <w:cantSplit/>
        </w:trPr>
        <w:tc>
          <w:tcPr/>
          <w:p>
            <w:pPr>
              <w:pStyle w:val="Compact"/>
              <w:keepNext/>
              <w:spacing w:before="10" w:after="10"/>
              <w:ind w:firstLine="0"/>
              <w:jc w:val="left"/>
              <w:rPr>
                <w:sz w:val="16"/>
                <w:szCs w:val="16"/>
              </w:rPr>
            </w:pPr>
            <w:r>
              <w:rPr>
                <w:sz w:val="16"/>
                <w:szCs w:val="16"/>
              </w:rPr>
              <w:t xml:space="preserve">pH</w:t>
            </w:r>
          </w:p>
        </w:tc>
        <w:tc>
          <w:tcPr/>
          <w:p>
            <w:pPr>
              <w:pStyle w:val="Compact"/>
              <w:keepNext/>
              <w:spacing w:before="10" w:after="10"/>
              <w:ind w:firstLine="0"/>
              <w:jc w:val="right"/>
              <w:rPr>
                <w:sz w:val="16"/>
                <w:szCs w:val="16"/>
              </w:rPr>
            </w:pPr>
            <w:r>
              <w:rPr>
                <w:sz w:val="16"/>
                <w:szCs w:val="16"/>
              </w:rPr>
              <w:t xml:space="preserve">24</w:t>
            </w:r>
          </w:p>
        </w:tc>
        <w:tc>
          <w:tcPr/>
          <w:p>
            <w:pPr>
              <w:pStyle w:val="Compact"/>
              <w:keepNext/>
              <w:spacing w:before="10" w:after="10"/>
              <w:ind w:firstLine="0"/>
              <w:jc w:val="right"/>
              <w:rPr>
                <w:sz w:val="16"/>
                <w:szCs w:val="16"/>
              </w:rPr>
            </w:pPr>
            <w:r>
              <w:rPr>
                <w:sz w:val="16"/>
                <w:szCs w:val="16"/>
              </w:rPr>
              <w:t xml:space="preserve">0.175</w:t>
            </w:r>
          </w:p>
        </w:tc>
        <w:tc>
          <w:tcPr/>
          <w:p>
            <w:pPr>
              <w:pStyle w:val="Compact"/>
              <w:keepNext/>
              <w:spacing w:before="10" w:after="10"/>
              <w:ind w:firstLine="0"/>
              <w:jc w:val="right"/>
              <w:rPr>
                <w:sz w:val="16"/>
                <w:szCs w:val="16"/>
              </w:rPr>
            </w:pPr>
            <w:r>
              <w:rPr>
                <w:sz w:val="16"/>
                <w:szCs w:val="16"/>
              </w:rPr>
              <w:t xml:space="preserve">0.125</w:t>
            </w:r>
          </w:p>
        </w:tc>
        <w:tc>
          <w:tcPr/>
          <w:p>
            <w:pPr>
              <w:pStyle w:val="Compact"/>
              <w:keepNext/>
              <w:spacing w:before="10" w:after="10"/>
              <w:ind w:firstLine="0"/>
              <w:jc w:val="right"/>
              <w:rPr>
                <w:sz w:val="16"/>
                <w:szCs w:val="16"/>
              </w:rPr>
            </w:pPr>
            <w:r>
              <w:rPr>
                <w:sz w:val="16"/>
                <w:szCs w:val="16"/>
              </w:rPr>
              <w:t xml:space="preserve">0.149</w:t>
            </w:r>
          </w:p>
        </w:tc>
        <w:tc>
          <w:tcPr/>
          <w:p>
            <w:pPr>
              <w:pStyle w:val="Compact"/>
              <w:keepNext/>
              <w:spacing w:before="10" w:after="10"/>
              <w:ind w:firstLine="0"/>
              <w:jc w:val="right"/>
              <w:rPr>
                <w:sz w:val="16"/>
                <w:szCs w:val="16"/>
              </w:rPr>
            </w:pPr>
            <w:r>
              <w:rPr>
                <w:sz w:val="16"/>
                <w:szCs w:val="16"/>
              </w:rPr>
              <w:t xml:space="preserve">9%</w:t>
            </w:r>
          </w:p>
        </w:tc>
        <w:tc>
          <w:tcPr/>
          <w:p>
            <w:pPr>
              <w:pStyle w:val="Compact"/>
              <w:keepNext/>
              <w:spacing w:before="10" w:after="10"/>
              <w:ind w:firstLine="0"/>
              <w:jc w:val="right"/>
              <w:rPr>
                <w:sz w:val="16"/>
                <w:szCs w:val="16"/>
              </w:rPr>
            </w:pPr>
            <w:r>
              <w:rPr>
                <w:sz w:val="16"/>
                <w:szCs w:val="16"/>
              </w:rPr>
              <w:t xml:space="preserve">0.172</w:t>
            </w:r>
          </w:p>
        </w:tc>
        <w:tc>
          <w:tcPr/>
          <w:p>
            <w:pPr>
              <w:pStyle w:val="Compact"/>
              <w:keepNext/>
              <w:spacing w:before="10" w:after="10"/>
              <w:ind w:firstLine="0"/>
              <w:jc w:val="right"/>
              <w:rPr>
                <w:sz w:val="16"/>
                <w:szCs w:val="16"/>
              </w:rPr>
            </w:pPr>
            <w:r>
              <w:rPr>
                <w:sz w:val="16"/>
                <w:szCs w:val="16"/>
              </w:rPr>
              <w:t xml:space="preserve">0.172</w:t>
            </w:r>
          </w:p>
        </w:tc>
        <w:tc>
          <w:tcPr/>
          <w:p>
            <w:pPr>
              <w:pStyle w:val="Compact"/>
              <w:keepNext/>
              <w:spacing w:before="10" w:after="10"/>
              <w:ind w:firstLine="0"/>
              <w:jc w:val="right"/>
              <w:rPr>
                <w:sz w:val="16"/>
                <w:szCs w:val="16"/>
              </w:rPr>
            </w:pPr>
            <w:r>
              <w:rPr>
                <w:sz w:val="16"/>
                <w:szCs w:val="16"/>
              </w:rPr>
              <w:t xml:space="preserve">38%</w:t>
            </w:r>
          </w:p>
        </w:tc>
      </w:tr>
      <w:tr>
        <w:trPr>
          <w:cantSplit/>
        </w:trPr>
        <w:tc>
          <w:tcPr/>
          <w:p>
            <w:pPr>
              <w:pStyle w:val="Compact"/>
              <w:keepNext/>
              <w:spacing w:before="10" w:after="10"/>
              <w:ind w:firstLine="0"/>
              <w:jc w:val="left"/>
              <w:rPr>
                <w:sz w:val="16"/>
                <w:szCs w:val="16"/>
              </w:rPr>
            </w:pPr>
            <w:r>
              <w:rPr>
                <w:sz w:val="16"/>
                <w:szCs w:val="16"/>
              </w:rPr>
              <w:t xml:space="preserve">EC</w:t>
            </w:r>
          </w:p>
        </w:tc>
        <w:tc>
          <w:tcPr/>
          <w:p>
            <w:pPr>
              <w:pStyle w:val="Compact"/>
              <w:keepNext/>
              <w:spacing w:before="10" w:after="10"/>
              <w:ind w:firstLine="0"/>
              <w:jc w:val="right"/>
              <w:rPr>
                <w:sz w:val="16"/>
                <w:szCs w:val="16"/>
              </w:rPr>
            </w:pPr>
            <w:r>
              <w:rPr>
                <w:sz w:val="16"/>
                <w:szCs w:val="16"/>
              </w:rPr>
              <w:t xml:space="preserve">1</w:t>
            </w:r>
          </w:p>
        </w:tc>
        <w:tc>
          <w:tcPr/>
          <w:p>
            <w:pPr>
              <w:pStyle w:val="Compact"/>
              <w:keepNext/>
              <w:spacing w:before="10" w:after="10"/>
              <w:ind w:firstLine="0"/>
              <w:jc w:val="right"/>
              <w:rPr>
                <w:sz w:val="16"/>
                <w:szCs w:val="16"/>
              </w:rPr>
            </w:pPr>
            <w:r>
              <w:rPr>
                <w:sz w:val="16"/>
                <w:szCs w:val="16"/>
              </w:rPr>
              <w:t xml:space="preserve">0.50</w:t>
            </w:r>
          </w:p>
        </w:tc>
        <w:tc>
          <w:tcPr/>
          <w:p>
            <w:pPr>
              <w:pStyle w:val="Compact"/>
              <w:keepNext/>
              <w:spacing w:before="10" w:after="10"/>
              <w:ind w:firstLine="0"/>
              <w:jc w:val="right"/>
              <w:rPr>
                <w:sz w:val="16"/>
                <w:szCs w:val="16"/>
              </w:rPr>
            </w:pPr>
            <w:r>
              <w:rPr>
                <w:sz w:val="16"/>
                <w:szCs w:val="16"/>
              </w:rPr>
              <w:t xml:space="preserve">0.50</w:t>
            </w:r>
          </w:p>
        </w:tc>
        <w:tc>
          <w:tcPr/>
          <w:p>
            <w:pPr>
              <w:pStyle w:val="Compact"/>
              <w:keepNext/>
              <w:spacing w:before="10" w:after="10"/>
              <w:ind w:firstLine="0"/>
              <w:jc w:val="right"/>
              <w:rPr>
                <w:sz w:val="16"/>
                <w:szCs w:val="16"/>
              </w:rPr>
            </w:pPr>
            <w:r>
              <w:rPr>
                <w:sz w:val="16"/>
                <w:szCs w:val="16"/>
              </w:rPr>
              <w:t xml:space="preserve">0.66</w:t>
            </w:r>
          </w:p>
        </w:tc>
        <w:tc>
          <w:tcPr/>
          <w:p>
            <w:pPr>
              <w:pStyle w:val="Compact"/>
              <w:keepNext/>
              <w:spacing w:before="10" w:after="10"/>
              <w:ind w:firstLine="0"/>
              <w:jc w:val="right"/>
              <w:rPr>
                <w:sz w:val="16"/>
                <w:szCs w:val="16"/>
              </w:rPr>
            </w:pPr>
            <w:r>
              <w:rPr>
                <w:sz w:val="16"/>
                <w:szCs w:val="16"/>
              </w:rPr>
              <w:t xml:space="preserve">16%</w:t>
            </w:r>
          </w:p>
        </w:tc>
        <w:tc>
          <w:tcPr/>
          <w:p>
            <w:pPr>
              <w:pStyle w:val="Compact"/>
              <w:keepNext/>
              <w:spacing w:before="10" w:after="10"/>
              <w:ind w:firstLine="0"/>
              <w:jc w:val="right"/>
              <w:rPr>
                <w:sz w:val="16"/>
                <w:szCs w:val="16"/>
              </w:rPr>
            </w:pPr>
            <w:r>
              <w:rPr>
                <w:sz w:val="16"/>
                <w:szCs w:val="16"/>
              </w:rPr>
              <w:t xml:space="preserve">0.25</w:t>
            </w:r>
          </w:p>
        </w:tc>
        <w:tc>
          <w:tcPr/>
          <w:p>
            <w:pPr>
              <w:pStyle w:val="Compact"/>
              <w:keepNext/>
              <w:spacing w:before="10" w:after="10"/>
              <w:ind w:firstLine="0"/>
              <w:jc w:val="right"/>
              <w:rPr>
                <w:sz w:val="16"/>
                <w:szCs w:val="16"/>
              </w:rPr>
            </w:pPr>
            <w:r>
              <w:rPr>
                <w:sz w:val="16"/>
                <w:szCs w:val="16"/>
              </w:rPr>
              <w:t xml:space="preserve">0.27</w:t>
            </w:r>
          </w:p>
        </w:tc>
        <w:tc>
          <w:tcPr/>
          <w:p>
            <w:pPr>
              <w:pStyle w:val="Compact"/>
              <w:keepNext/>
              <w:spacing w:before="10" w:after="10"/>
              <w:ind w:firstLine="0"/>
              <w:jc w:val="right"/>
              <w:rPr>
                <w:sz w:val="16"/>
                <w:szCs w:val="16"/>
              </w:rPr>
            </w:pPr>
            <w:r>
              <w:rPr>
                <w:sz w:val="16"/>
                <w:szCs w:val="16"/>
              </w:rPr>
              <w:t xml:space="preserve">16%</w:t>
            </w:r>
          </w:p>
        </w:tc>
      </w:tr>
      <w:tr>
        <w:trPr>
          <w:cantSplit/>
        </w:trPr>
        <w:tc>
          <w:tcPr/>
          <w:p>
            <w:pPr>
              <w:pStyle w:val="Compact"/>
              <w:spacing w:before="10" w:after="10"/>
              <w:ind w:firstLine="0"/>
              <w:jc w:val="left"/>
              <w:rPr>
                <w:sz w:val="16"/>
                <w:szCs w:val="16"/>
              </w:rPr>
            </w:pPr>
            <w:r>
              <w:rPr>
                <w:sz w:val="16"/>
                <w:szCs w:val="16"/>
              </w:rPr>
              <w:t xml:space="preserve">EC</w:t>
            </w:r>
          </w:p>
        </w:tc>
        <w:tc>
          <w:tcPr/>
          <w:p>
            <w:pPr>
              <w:pStyle w:val="Compact"/>
              <w:spacing w:before="10" w:after="10"/>
              <w:ind w:firstLine="0"/>
              <w:jc w:val="right"/>
              <w:rPr>
                <w:sz w:val="16"/>
                <w:szCs w:val="16"/>
              </w:rPr>
            </w:pPr>
            <w:r>
              <w:rPr>
                <w:sz w:val="16"/>
                <w:szCs w:val="16"/>
              </w:rPr>
              <w:t xml:space="preserve">24</w:t>
            </w:r>
          </w:p>
        </w:tc>
        <w:tc>
          <w:tcPr/>
          <w:p>
            <w:pPr>
              <w:pStyle w:val="Compact"/>
              <w:spacing w:before="10" w:after="10"/>
              <w:ind w:firstLine="0"/>
              <w:jc w:val="right"/>
              <w:rPr>
                <w:sz w:val="16"/>
                <w:szCs w:val="16"/>
              </w:rPr>
            </w:pPr>
            <w:r>
              <w:rPr>
                <w:sz w:val="16"/>
                <w:szCs w:val="16"/>
              </w:rPr>
              <w:t xml:space="preserve">7.50</w:t>
            </w:r>
          </w:p>
        </w:tc>
        <w:tc>
          <w:tcPr/>
          <w:p>
            <w:pPr>
              <w:pStyle w:val="Compact"/>
              <w:spacing w:before="10" w:after="10"/>
              <w:ind w:firstLine="0"/>
              <w:jc w:val="right"/>
              <w:rPr>
                <w:sz w:val="16"/>
                <w:szCs w:val="16"/>
              </w:rPr>
            </w:pPr>
            <w:r>
              <w:rPr>
                <w:sz w:val="16"/>
                <w:szCs w:val="16"/>
              </w:rPr>
              <w:t xml:space="preserve">8.25</w:t>
            </w:r>
          </w:p>
        </w:tc>
        <w:tc>
          <w:tcPr/>
          <w:p>
            <w:pPr>
              <w:pStyle w:val="Compact"/>
              <w:spacing w:before="10" w:after="10"/>
              <w:ind w:firstLine="0"/>
              <w:jc w:val="right"/>
              <w:rPr>
                <w:sz w:val="16"/>
                <w:szCs w:val="16"/>
              </w:rPr>
            </w:pPr>
            <w:r>
              <w:rPr>
                <w:sz w:val="16"/>
                <w:szCs w:val="16"/>
              </w:rPr>
              <w:t xml:space="preserve">7.50</w:t>
            </w:r>
          </w:p>
        </w:tc>
        <w:tc>
          <w:tcPr/>
          <w:p>
            <w:pPr>
              <w:pStyle w:val="Compact"/>
              <w:spacing w:before="10" w:after="10"/>
              <w:ind w:firstLine="0"/>
              <w:jc w:val="right"/>
              <w:rPr>
                <w:sz w:val="16"/>
                <w:szCs w:val="16"/>
              </w:rPr>
            </w:pPr>
            <w:r>
              <w:rPr>
                <w:sz w:val="16"/>
                <w:szCs w:val="16"/>
              </w:rPr>
              <w:t xml:space="preserve">23%</w:t>
            </w:r>
          </w:p>
        </w:tc>
        <w:tc>
          <w:tcPr/>
          <w:p>
            <w:pPr>
              <w:pStyle w:val="Compact"/>
              <w:spacing w:before="10" w:after="10"/>
              <w:ind w:firstLine="0"/>
              <w:jc w:val="right"/>
              <w:rPr>
                <w:sz w:val="16"/>
                <w:szCs w:val="16"/>
              </w:rPr>
            </w:pPr>
            <w:r>
              <w:rPr>
                <w:sz w:val="16"/>
                <w:szCs w:val="16"/>
              </w:rPr>
              <w:t xml:space="preserve">4.44</w:t>
            </w:r>
          </w:p>
        </w:tc>
        <w:tc>
          <w:tcPr/>
          <w:p>
            <w:pPr>
              <w:pStyle w:val="Compact"/>
              <w:spacing w:before="10" w:after="10"/>
              <w:ind w:firstLine="0"/>
              <w:jc w:val="right"/>
              <w:rPr>
                <w:sz w:val="16"/>
                <w:szCs w:val="16"/>
              </w:rPr>
            </w:pPr>
            <w:r>
              <w:rPr>
                <w:sz w:val="16"/>
                <w:szCs w:val="16"/>
              </w:rPr>
              <w:t xml:space="preserve">4.42</w:t>
            </w:r>
          </w:p>
        </w:tc>
        <w:tc>
          <w:tcPr/>
          <w:p>
            <w:pPr>
              <w:pStyle w:val="Compact"/>
              <w:spacing w:before="10" w:after="10"/>
              <w:ind w:firstLine="0"/>
              <w:jc w:val="right"/>
              <w:rPr>
                <w:sz w:val="16"/>
                <w:szCs w:val="16"/>
              </w:rPr>
            </w:pPr>
            <w:r>
              <w:rPr>
                <w:sz w:val="16"/>
                <w:szCs w:val="16"/>
              </w:rPr>
              <w:t xml:space="preserve">25%</w:t>
            </w:r>
          </w:p>
        </w:tc>
      </w:tr>
    </w:tbl>
    <w:bookmarkEnd w:id="31"/>
    <w:p>
      <w:pPr>
        <w:pStyle w:val="BodyText"/>
      </w:pPr>
      <w:r>
        <w:t xml:space="preserve">In real time, a site’s own diel pattern was the estimator to beat (Table V). For day-long gaps, it beat persistence in 77% of pairs for DO, and a neighbour improved on the better own-data estimator in only 30% of pairs for DO, 9% for pH, and 23% for EC; temperature, with its shared weather driver, was the exception (72%). When bridging, the neighbour helped T (93% of pairs) and DO (70%), but not pH or EC.</w:t>
      </w:r>
    </w:p>
    <w:p>
      <w:pPr>
        <w:pStyle w:val="BodyText"/>
      </w:pPr>
      <w:r>
        <w:t xml:space="preserve">A naive baseline overestimates the value of neighbours. Against persistence alone, a neighbour won in 77% of DO pairs, cutting the median error from 9.07 to 5.13 %sat; however, the own-diel estimator already reached 4.33 %sat. Much of what a naive test credits to spatial correlation is the shared day–night cycle. The fitted relation also did not follow the flow: a downstream neighbour got a positive lag approximately as often as an upstream one (64% vs 68% for DO); therefore, the lag tracks shared timing rather than travel time. Evaluations of spatio-temporal reconstruction on rivers therefore need a per-site diel baseline and spatial structure from the river network </w:t>
      </w:r>
      <w:r>
        <w:t xml:space="preserve">[27], [30]</w:t>
      </w:r>
      <w:r>
        <w:t xml:space="preserve">.</w:t>
      </w:r>
    </w:p>
    <w:p>
      <w:pPr>
        <w:pStyle w:val="BodyText"/>
      </w:pPr>
      <w:r>
        <w:t xml:space="preserve">No estimator kept day-long gaps reliably within tolerance. For 1-h gaps, the better own-data estimator kept 97% of gaps within the L2 tolerance; for 24-h gaps, the best of all six kept 31% (95% CI 18%–49%), from 9% for T to 49% for pH.</w:t>
      </w:r>
    </w:p>
    <w:bookmarkStart w:id="32" w:name="sec:rec-deep"/>
    <w:p>
      <w:pPr>
        <w:pStyle w:val="Heading2"/>
      </w:pPr>
      <w:r>
        <w:t xml:space="preserve">A. Contemporary deep imputers</w:t>
      </w:r>
    </w:p>
    <w:p>
      <w:pPr>
        <w:pStyle w:val="FirstParagraph"/>
      </w:pPr>
      <w:r>
        <w:t xml:space="preserve">To test whether this is a limit of reconstruction or of simple estimators, SAITS, a self-attention imputer </w:t>
      </w:r>
      <w:r>
        <w:t xml:space="preserve">[28]</w:t>
      </w:r>
      <w:r>
        <w:t xml:space="preserve">, and StemGNN, a graph neural network </w:t>
      </w:r>
      <w:r>
        <w:t xml:space="preserve">[26]</w:t>
      </w:r>
      <w:r>
        <w:t xml:space="preserve">, were trained per chain on the first half of 2023, with whole-site gaps of 1–72 h among their training masks. They were tested on whole-site gaps in the second half, on the same 48,455 cases as the simple estimators (protocol in Supplementary Section S5). They kept fewer gaps within tolerance: 65% (SAITS) and 62% (StemGNN) of 1-h gaps when bridging, against 97% for interpolation, and 25% and 23% of day-long gaps, against 31%. In real time, they kept 18% and 16% of day-long gaps, against 29% for own diel. They helped in one place: when bridging a day-long gap, the median error of SAITS was 4.3 %sat for DO and 0.126 for pH, against 6.7 and 0.148 for interpolation. No estimator, simple or deep, kept more than 55% of the day-long gaps of any parameter within tolerance.</w:t>
      </w:r>
    </w:p>
    <w:p>
      <w:pPr>
        <w:pStyle w:val="BodyText"/>
      </w:pPr>
      <w:r>
        <w:t xml:space="preserve">In response to RQ3, the evaluated estimators, simple or deep, cannot replace delivery for the day-long gaps that hold most of the missing data. Reconstruction plays the role of the interim estimate between deliveries, which is the role it plays in the design of Section VII.</w:t>
      </w:r>
    </w:p>
    <w:bookmarkEnd w:id="32"/>
    <w:bookmarkEnd w:id="33"/>
    <w:bookmarkStart w:id="43" w:name="sec:design"/>
    <w:p>
      <w:pPr>
        <w:pStyle w:val="Heading1"/>
      </w:pPr>
      <w:r>
        <w:t xml:space="preserve">VII. A Reporting Design and its Evaluation</w:t>
      </w:r>
    </w:p>
    <w:p>
      <w:pPr>
        <w:pStyle w:val="FirstParagraph"/>
      </w:pPr>
      <w:r>
        <w:t xml:space="preserve">Sections IV–VI point to a design: buffer and back off through gaps, batch routine data, and show the site’s own diel estimate between deliveries. Batching leaves two weaknesses: alarms and the real-time picture of fast parameters. The design closes them with two triggers that send a batch early.</w:t>
      </w:r>
    </w:p>
    <w:bookmarkStart w:id="34" w:name="sec:des-design"/>
    <w:p>
      <w:pPr>
        <w:pStyle w:val="Heading2"/>
      </w:pPr>
      <w:r>
        <w:t xml:space="preserve">A. The design</w:t>
      </w:r>
    </w:p>
    <w:p>
      <w:pPr>
        <w:pStyle w:val="FirstParagraph"/>
      </w:pPr>
      <w:r>
        <w:t xml:space="preserve">Event-driven batching buffers every reading and uploads the buffer once per hour in confirmed bulk frames. When the node’s event detector raises an alarm, the buffer is uploaded immediately. A failed upload puts the node into an outage mode, in which an alarm triggers an immediate probe outside the back-off schedule (5) (Supplementary Fig. S2 illustrates the behaviour).</w:t>
      </w:r>
    </w:p>
    <w:p>
      <w:pPr>
        <w:pStyle w:val="BodyText"/>
      </w:pPr>
      <w:r>
        <w:t xml:space="preserve">Bounded event-driven batching adds a bounded-error trigger (Algorithm 1). Because every upload is confirmed, the node knows which readings have reached the server and when; therefore, it can compute the value</w:t>
      </w:r>
      <w:r>
        <w:t xml:space="preserve"> </w:t>
      </w:r>
      <m:oMath>
        <m:sSub>
          <m:e>
            <m:acc>
              <m:accPr>
                <m:chr m:val="̂"/>
              </m:accPr>
              <m:e>
                <m:r>
                  <m:t>x</m:t>
                </m:r>
              </m:e>
            </m:acc>
          </m:e>
          <m:sub>
            <m:r>
              <m:t>j</m:t>
            </m:r>
          </m:sub>
        </m:sSub>
        <m:r>
          <m:rPr>
            <m:sty m:val="p"/>
          </m:rPr>
          <m:t>(</m:t>
        </m:r>
        <m:r>
          <m:t>t</m:t>
        </m:r>
        <m:r>
          <m:rPr>
            <m:sty m:val="p"/>
          </m:rPr>
          <m:t>)</m:t>
        </m:r>
      </m:oMath>
      <w:r>
        <w:t xml:space="preserve"> </w:t>
      </w:r>
      <w:r>
        <w:t xml:space="preserve">that the server shows for each parameter</w:t>
      </w:r>
      <w:r>
        <w:t xml:space="preserve"> </w:t>
      </w:r>
      <m:oMath>
        <m:r>
          <m:t>j</m:t>
        </m:r>
      </m:oMath>
      <w:r>
        <w:t xml:space="preserve"> </w:t>
      </w:r>
      <w:r>
        <w:t xml:space="preserve">by evaluating (6) on those readings. It uploads immediately if</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limLow>
                  <m:e>
                    <m:r>
                      <m:rPr>
                        <m:sty m:val="p"/>
                      </m:rPr>
                      <m:t>max</m:t>
                    </m:r>
                  </m:e>
                  <m:lim>
                    <m:r>
                      <m:t>j</m:t>
                    </m:r>
                  </m:lim>
                </m:limLow>
                <m:r>
                  <m:t> </m:t>
                </m:r>
                <m:f>
                  <m:fPr>
                    <m:type m:val="bar"/>
                  </m:fPr>
                  <m:num>
                    <m:r>
                      <m:rPr>
                        <m:sty m:val="p"/>
                      </m:rPr>
                      <m:t>|</m:t>
                    </m:r>
                    <m:sSub>
                      <m:e>
                        <m:r>
                          <m:t>x</m:t>
                        </m:r>
                      </m:e>
                      <m:sub>
                        <m:r>
                          <m:t>j</m:t>
                        </m:r>
                      </m:sub>
                    </m:sSub>
                    <m:r>
                      <m:rPr>
                        <m:sty m:val="p"/>
                      </m:rPr>
                      <m:t>(</m:t>
                    </m:r>
                    <m:r>
                      <m:t>t</m:t>
                    </m:r>
                    <m:r>
                      <m:rPr>
                        <m:sty m:val="p"/>
                      </m:rPr>
                      <m:t>)</m:t>
                    </m:r>
                    <m:r>
                      <m:rPr>
                        <m:sty m:val="p"/>
                      </m:rPr>
                      <m:t>−</m:t>
                    </m:r>
                    <m:sSub>
                      <m:e>
                        <m:acc>
                          <m:accPr>
                            <m:chr m:val="̂"/>
                          </m:accPr>
                          <m:e>
                            <m:r>
                              <m:t>x</m:t>
                            </m:r>
                          </m:e>
                        </m:acc>
                      </m:e>
                      <m:sub>
                        <m:r>
                          <m:t>j</m:t>
                        </m:r>
                      </m:sub>
                    </m:sSub>
                    <m:r>
                      <m:rPr>
                        <m:sty m:val="p"/>
                      </m:rPr>
                      <m:t>(</m:t>
                    </m:r>
                    <m:r>
                      <m:t>t</m:t>
                    </m:r>
                    <m:r>
                      <m:rPr>
                        <m:sty m:val="p"/>
                      </m:rPr>
                      <m:t>)</m:t>
                    </m:r>
                    <m:r>
                      <m:rPr>
                        <m:sty m:val="p"/>
                      </m:rPr>
                      <m:t>|</m:t>
                    </m:r>
                  </m:num>
                  <m:den>
                    <m:sSub>
                      <m:e>
                        <m:r>
                          <m:t>δ</m:t>
                        </m:r>
                      </m:e>
                      <m:sub>
                        <m:r>
                          <m:t>j</m:t>
                        </m:r>
                      </m:sub>
                    </m:sSub>
                  </m:den>
                </m:f>
                <m:r>
                  <m:rPr>
                    <m:sty m:val="p"/>
                  </m:rPr>
                  <m:t>&gt;</m:t>
                </m:r>
                <m:r>
                  <m:t>1</m:t>
                </m:r>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(7)</w:t>
            </w:r>
          </w:p>
        </w:tc>
      </w:tr>
    </w:tbl>
    <w:p>
      <w:pPr>
        <w:pStyle w:val="FirstParagraph"/>
        <w:ind w:firstLine="0"/>
      </w:pPr>
      <w:r>
        <w:t xml:space="preserve">that is, if any parameter’s true reading differs from what the server shows by more than its tolerance</w:t>
      </w:r>
      <w:r>
        <w:t xml:space="preserve"> </w:t>
      </w:r>
      <m:oMath>
        <m:sSub>
          <m:e>
            <m:r>
              <m:t>δ</m:t>
            </m:r>
          </m:e>
          <m:sub>
            <m:r>
              <m:t>j</m:t>
            </m:r>
          </m:sub>
        </m:sSub>
      </m:oMath>
      <w:r>
        <w:t xml:space="preserve">. This is the dual-prediction mechanism </w:t>
      </w:r>
      <w:r>
        <w:t xml:space="preserve">[38], [39]</w:t>
      </w:r>
      <w:r>
        <w:t xml:space="preserve">, used to bound the error between batches rather than to suppress reports. Three details matter:</w:t>
      </w:r>
    </w:p>
    <w:p>
      <w:pPr>
        <w:numPr>
          <w:ilvl w:val="0"/>
          <w:numId w:val="1008"/>
        </w:numPr>
      </w:pPr>
      <w:r>
        <w:t xml:space="preserve">The trigger is not consulted in outage mode, where the estimate may drift far and probing would waste energy on a dead link; only alarms probe.</w:t>
      </w:r>
    </w:p>
    <w:p>
      <w:pPr>
        <w:numPr>
          <w:ilvl w:val="0"/>
          <w:numId w:val="1008"/>
        </w:numPr>
      </w:pPr>
      <w:r>
        <w:t xml:space="preserve">The node’s copy of the server must model when readings arrive. The duty cycle spaces the frames of a long upload; therefore, a reading counts only after its frame’s arrival, and the newest valid reading goes in the first frame.</w:t>
      </w:r>
    </w:p>
    <w:p>
      <w:pPr>
        <w:numPr>
          <w:ilvl w:val="0"/>
          <w:numId w:val="1008"/>
        </w:numPr>
      </w:pPr>
      <w:r>
        <w:t xml:space="preserve">The node’s knowledge is only as good as its acknowledgements. On NB-IoT, the confirmation is the application’s reply; on LoRaWAN, it comes from the network server, and forwarding to the application server, which UVA shows can fail, is not covered. A variant closes this gap by keeping the bound for both possible server states until an application acknowledgement returns in a later downlink (Section VII-C).</w:t>
      </w:r>
    </w:p>
    <w:p>
      <w:pPr>
        <w:pStyle w:val="FirstParagraph"/>
        <w:keepNext/>
        <w:pBdr>
          <w:top w:val="single" w:sz="6" w:space="1" w:color="000000"/>
          <w:bottom w:val="single" w:sz="4" w:space="1" w:color="000000"/>
        </w:pBdr>
        <w:spacing w:before="120" w:after="40"/>
        <w:ind w:firstLine="0"/>
      </w:pPr>
      <w:r>
        <w:t xml:space="preserve"/>
      </w:r>
      <w:r>
        <w:rPr>
          <w:b/>
          <w:bCs/>
        </w:rPr>
        <w:t xml:space="preserve">Algorithm 1</w:t>
      </w:r>
      <w:r>
        <w:t xml:space="preserve"> </w:t>
      </w:r>
      <w:r>
        <w:t xml:space="preserve">Bounded event-driven batching: node, one slot</w:t>
      </w:r>
    </w:p>
    <w:p>
      <w:pPr>
        <w:keepNext/>
        <w:numPr>
          <w:ilvl w:val="0"/>
          <w:numId w:val="1009"/>
        </w:numPr>
      </w:pPr>
      <w:r>
        <w:rPr>
          <w:sz w:val="18"/>
          <w:szCs w:val="18"/>
        </w:rPr>
        <w:t xml:space="preserve">append the slot’s reading</w:t>
      </w:r>
      <w:r>
        <w:rPr>
          <w:sz w:val="18"/>
          <w:szCs w:val="18"/>
        </w:rPr>
        <w:t xml:space="preserve"> </w:t>
      </w:r>
      <m:oMath>
        <m:sSub>
          <m:e>
            <m:r>
              <m:t>x</m:t>
            </m:r>
          </m:e>
          <m:sub>
            <m:r>
              <m:t>t</m:t>
            </m:r>
          </m:sub>
        </m:sSub>
      </m:oMath>
      <w:r>
        <w:rPr>
          <w:sz w:val="18"/>
          <w:szCs w:val="18"/>
        </w:rPr>
        <w:t xml:space="preserve"> </w:t>
      </w:r>
      <w:r>
        <w:rPr>
          <w:sz w:val="18"/>
          <w:szCs w:val="18"/>
        </w:rPr>
        <w:t xml:space="preserve">to the buffer</w:t>
      </w:r>
    </w:p>
    <w:p>
      <w:pPr>
        <w:keepNext/>
        <w:numPr>
          <w:ilvl w:val="0"/>
          <w:numId w:val="1009"/>
        </w:numPr>
      </w:pPr>
      <w:r>
        <w:rPr>
          <w:b/>
          <w:bCs/>
          <w:sz w:val="18"/>
          <w:szCs w:val="18"/>
        </w:rPr>
        <w:t xml:space="preserve">if</w:t>
      </w:r>
      <w:r>
        <w:rPr>
          <w:sz w:val="18"/>
          <w:szCs w:val="18"/>
        </w:rPr>
        <w:t xml:space="preserve"> </w:t>
      </w:r>
      <w:r>
        <w:rPr>
          <w:sz w:val="18"/>
          <w:szCs w:val="18"/>
        </w:rPr>
        <w:t xml:space="preserve">in outage mode</w:t>
      </w:r>
      <w:r>
        <w:rPr>
          <w:sz w:val="18"/>
          <w:szCs w:val="18"/>
        </w:rPr>
        <w:t xml:space="preserve"> </w:t>
      </w:r>
      <w:r>
        <w:rPr>
          <w:b/>
          <w:bCs/>
          <w:sz w:val="18"/>
          <w:szCs w:val="18"/>
        </w:rPr>
        <w:t xml:space="preserve">then</w:t>
      </w:r>
    </w:p>
    <w:p>
      <w:pPr>
        <w:keepNext/>
        <w:numPr>
          <w:ilvl w:val="0"/>
          <w:numId w:val="1009"/>
        </w:numPr>
      </w:pPr>
      <w:r>
        <w:rPr>
          <w:b/>
          <w:bCs/>
          <w:sz w:val="18"/>
          <w:szCs w:val="18"/>
        </w:rPr>
        <w:t xml:space="preserve">if</w:t>
      </w:r>
      <w:r>
        <w:rPr>
          <w:sz w:val="18"/>
          <w:szCs w:val="18"/>
        </w:rPr>
        <w:t xml:space="preserve"> </w:t>
      </w:r>
      <w:r>
        <w:rPr>
          <w:sz w:val="18"/>
          <w:szCs w:val="18"/>
        </w:rPr>
        <w:t xml:space="preserve">alarm at</w:t>
      </w:r>
      <w:r>
        <w:rPr>
          <w:sz w:val="18"/>
          <w:szCs w:val="18"/>
        </w:rPr>
        <w:t xml:space="preserve"> </w:t>
      </w:r>
      <m:oMath>
        <m:r>
          <m:t>t</m:t>
        </m:r>
      </m:oMath>
      <w:r>
        <w:rPr>
          <w:sz w:val="18"/>
          <w:szCs w:val="18"/>
        </w:rPr>
        <w:t xml:space="preserve"> </w:t>
      </w:r>
      <w:r>
        <w:rPr>
          <w:b/>
          <w:bCs/>
          <w:sz w:val="18"/>
          <w:szCs w:val="18"/>
        </w:rPr>
        <w:t xml:space="preserve">or</w:t>
      </w:r>
      <w:r>
        <w:rPr>
          <w:sz w:val="18"/>
          <w:szCs w:val="18"/>
        </w:rPr>
        <w:t xml:space="preserve"> </w:t>
      </w:r>
      <w:r>
        <w:rPr>
          <w:sz w:val="18"/>
          <w:szCs w:val="18"/>
        </w:rPr>
        <w:t xml:space="preserve">back-off timer expired</w:t>
      </w:r>
      <w:r>
        <w:rPr>
          <w:sz w:val="18"/>
          <w:szCs w:val="18"/>
        </w:rPr>
        <w:t xml:space="preserve"> </w:t>
      </w:r>
      <w:r>
        <w:rPr>
          <w:b/>
          <w:bCs/>
          <w:sz w:val="18"/>
          <w:szCs w:val="18"/>
        </w:rPr>
        <w:t xml:space="preserve">then</w:t>
      </w:r>
      <w:r>
        <w:rPr>
          <w:sz w:val="18"/>
          <w:szCs w:val="18"/>
        </w:rPr>
        <w:t xml:space="preserve"> </w:t>
      </w:r>
      <w:r>
        <w:rPr>
          <w:sz w:val="18"/>
          <w:szCs w:val="18"/>
        </w:rPr>
        <w:t xml:space="preserve">probe; on success leave outage mode and upload the buffer;</w:t>
      </w:r>
      <w:r>
        <w:rPr>
          <w:sz w:val="18"/>
          <w:szCs w:val="18"/>
        </w:rPr>
        <w:t xml:space="preserve"> </w:t>
      </w:r>
      <w:r>
        <w:rPr>
          <w:b/>
          <w:bCs/>
          <w:sz w:val="18"/>
          <w:szCs w:val="18"/>
        </w:rPr>
        <w:t xml:space="preserve">end if</w:t>
      </w:r>
    </w:p>
    <w:p>
      <w:pPr>
        <w:keepNext/>
        <w:numPr>
          <w:ilvl w:val="0"/>
          <w:numId w:val="1009"/>
        </w:numPr>
      </w:pPr>
      <w:r>
        <w:rPr>
          <w:b/>
          <w:bCs/>
          <w:sz w:val="18"/>
          <w:szCs w:val="18"/>
        </w:rPr>
        <w:t xml:space="preserve">return</w:t>
      </w:r>
    </w:p>
    <w:p>
      <w:pPr>
        <w:keepNext/>
        <w:numPr>
          <w:ilvl w:val="0"/>
          <w:numId w:val="1009"/>
        </w:numPr>
      </w:pPr>
      <w:r>
        <w:rPr>
          <w:b/>
          <w:bCs/>
          <w:sz w:val="18"/>
          <w:szCs w:val="18"/>
        </w:rPr>
        <w:t xml:space="preserve">end if</w:t>
      </w:r>
    </w:p>
    <w:p>
      <w:pPr>
        <w:keepNext/>
        <w:numPr>
          <w:ilvl w:val="0"/>
          <w:numId w:val="1009"/>
        </w:numPr>
      </w:pPr>
      <m:oMath>
        <m:acc>
          <m:accPr>
            <m:chr m:val="̂"/>
          </m:accPr>
          <m:e>
            <m:r>
              <m:t>x</m:t>
            </m:r>
          </m:e>
        </m:acc>
        <m:r>
          <m:rPr>
            <m:sty m:val="p"/>
          </m:rPr>
          <m:t>(</m:t>
        </m:r>
        <m:r>
          <m:t>t</m:t>
        </m:r>
        <m:r>
          <m:rPr>
            <m:sty m:val="p"/>
          </m:rPr>
          <m:t>)</m:t>
        </m:r>
        <m:r>
          <m:rPr>
            <m:sty m:val="p"/>
          </m:rPr>
          <m:t>←</m:t>
        </m:r>
      </m:oMath>
      <w:r>
        <w:rPr>
          <w:sz w:val="18"/>
          <w:szCs w:val="18"/>
        </w:rPr>
        <w:t xml:space="preserve"> </w:t>
      </w:r>
      <w:r>
        <w:rPr>
          <w:sz w:val="18"/>
          <w:szCs w:val="18"/>
        </w:rPr>
        <w:t xml:space="preserve">server’s estimate (6), from readings whose arrival time is</w:t>
      </w:r>
      <w:r>
        <w:rPr>
          <w:sz w:val="18"/>
          <w:szCs w:val="18"/>
        </w:rPr>
        <w:t xml:space="preserve"> </w:t>
      </w:r>
      <m:oMath>
        <m:r>
          <m:rPr>
            <m:sty m:val="p"/>
          </m:rPr>
          <m:t>≤</m:t>
        </m:r>
        <m:r>
          <m:t>t</m:t>
        </m:r>
      </m:oMath>
    </w:p>
    <w:p>
      <w:pPr>
        <w:keepNext/>
        <w:numPr>
          <w:ilvl w:val="0"/>
          <w:numId w:val="1009"/>
        </w:numPr>
      </w:pPr>
      <w:r>
        <w:rPr>
          <w:b/>
          <w:bCs/>
          <w:sz w:val="18"/>
          <w:szCs w:val="18"/>
        </w:rPr>
        <w:t xml:space="preserve">if</w:t>
      </w:r>
      <w:r>
        <w:rPr>
          <w:sz w:val="18"/>
          <w:szCs w:val="18"/>
        </w:rPr>
        <w:t xml:space="preserve"> </w:t>
      </w:r>
      <w:r>
        <w:rPr>
          <w:sz w:val="18"/>
          <w:szCs w:val="18"/>
        </w:rPr>
        <w:t xml:space="preserve">alarm at</w:t>
      </w:r>
      <w:r>
        <w:rPr>
          <w:sz w:val="18"/>
          <w:szCs w:val="18"/>
        </w:rPr>
        <w:t xml:space="preserve"> </w:t>
      </w:r>
      <m:oMath>
        <m:r>
          <m:t>t</m:t>
        </m:r>
      </m:oMath>
      <w:r>
        <w:rPr>
          <w:sz w:val="18"/>
          <w:szCs w:val="18"/>
        </w:rPr>
        <w:t xml:space="preserve"> </w:t>
      </w:r>
      <w:r>
        <w:rPr>
          <w:b/>
          <w:bCs/>
          <w:sz w:val="18"/>
          <w:szCs w:val="18"/>
        </w:rPr>
        <w:t xml:space="preserve">or</w:t>
      </w:r>
      <w:r>
        <w:rPr>
          <w:sz w:val="18"/>
          <w:szCs w:val="18"/>
        </w:rPr>
        <w:t xml:space="preserve"> </w:t>
      </w:r>
      <w:r>
        <w:rPr>
          <w:sz w:val="18"/>
          <w:szCs w:val="18"/>
        </w:rPr>
        <w:t xml:space="preserve">trigger (7)</w:t>
      </w:r>
      <w:r>
        <w:rPr>
          <w:sz w:val="18"/>
          <w:szCs w:val="18"/>
        </w:rPr>
        <w:t xml:space="preserve"> </w:t>
      </w:r>
      <w:r>
        <w:rPr>
          <w:b/>
          <w:bCs/>
          <w:sz w:val="18"/>
          <w:szCs w:val="18"/>
        </w:rPr>
        <w:t xml:space="preserve">or</w:t>
      </w:r>
      <w:r>
        <w:rPr>
          <w:sz w:val="18"/>
          <w:szCs w:val="18"/>
        </w:rPr>
        <w:t xml:space="preserve"> </w:t>
      </w:r>
      <w:r>
        <w:rPr>
          <w:sz w:val="18"/>
          <w:szCs w:val="18"/>
        </w:rPr>
        <w:t xml:space="preserve">hour boundary</w:t>
      </w:r>
      <w:r>
        <w:rPr>
          <w:sz w:val="18"/>
          <w:szCs w:val="18"/>
        </w:rPr>
        <w:t xml:space="preserve"> </w:t>
      </w:r>
      <w:r>
        <w:rPr>
          <w:b/>
          <w:bCs/>
          <w:sz w:val="18"/>
          <w:szCs w:val="18"/>
        </w:rPr>
        <w:t xml:space="preserve">then</w:t>
      </w:r>
    </w:p>
    <w:p>
      <w:pPr>
        <w:keepNext/>
        <w:numPr>
          <w:ilvl w:val="0"/>
          <w:numId w:val="1009"/>
        </w:numPr>
      </w:pPr>
      <w:r>
        <w:rPr>
          <w:sz w:val="18"/>
          <w:szCs w:val="18"/>
        </w:rPr>
        <w:t xml:space="preserve">upload the buffer (newest valid reading first), confirmed bulk frames</w:t>
      </w:r>
    </w:p>
    <w:p>
      <w:pPr>
        <w:keepNext/>
        <w:numPr>
          <w:ilvl w:val="0"/>
          <w:numId w:val="1009"/>
        </w:numPr>
      </w:pPr>
      <w:r>
        <w:rPr>
          <w:sz w:val="18"/>
          <w:szCs w:val="18"/>
        </w:rPr>
        <w:t xml:space="preserve">on failure enter outage mode, back-off (5)</w:t>
      </w:r>
    </w:p>
    <w:p>
      <w:pPr>
        <w:numPr>
          <w:ilvl w:val="0"/>
          <w:numId w:val="1009"/>
        </w:numPr>
        <w:pBdr>
          <w:bottom w:val="single" w:sz="6" w:space="4" w:color="000000"/>
        </w:pBdr>
        <w:spacing w:after="200"/>
      </w:pPr>
      <w:r>
        <w:rPr>
          <w:b/>
          <w:bCs/>
          <w:sz w:val="18"/>
          <w:szCs w:val="18"/>
        </w:rPr>
        <w:t xml:space="preserve">end if</w:t>
      </w:r>
    </w:p>
    <w:bookmarkEnd w:id="34"/>
    <w:bookmarkStart w:id="36" w:name="sec:des-protocol"/>
    <w:p>
      <w:pPr>
        <w:pStyle w:val="Heading2"/>
      </w:pPr>
      <w:r>
        <w:t xml:space="preserve">B. Evaluation protocol</w:t>
      </w:r>
    </w:p>
    <w:p>
      <w:pPr>
        <w:pStyle w:val="FirstParagraph"/>
      </w:pPr>
      <w:r>
        <w:t xml:space="preserve">Two phases: The design was developed on 2023 data and tested on held-out 2024 data. In development, hypotheses H1–H4 and their decision rules were written before their runs; after H4 failed, H5–H10 were written for the bounded-error trigger before it was implemented or run. Five deviations were recorded when made (D1–D5, Supplementary Section S6). The last, found during this revision, was a floating-point tie at the tolerance, and all development results are from a rerun with it fixed. For the held-out phase, the final design, the analysis code, its decision rules, and the site-eligibility rule were frozen, and the code was identified by cryptographic hashes before any 2024 data were downloaded. The plans were kept with the code; they were not registered with a third party.</w:t>
      </w:r>
    </w:p>
    <w:p>
      <w:pPr>
        <w:pStyle w:val="BodyText"/>
      </w:pPr>
      <w:r>
        <w:t xml:space="preserve">Setting: The evaluation used 30 sites in 2023 and 33 in 2024 (29 in both), sampled every 5–60 min.</w:t>
      </w:r>
    </w:p>
    <w:p>
      <w:pPr>
        <w:numPr>
          <w:ilvl w:val="0"/>
          <w:numId w:val="1010"/>
        </w:numPr>
      </w:pPr>
      <w:r>
        <w:t xml:space="preserve">Links: no outage, and the InWaterSense, Weija, and UVA records, mapped onto each site’s time grid with a random offset per site (UVA as system outages plus independent radio losses).</w:t>
      </w:r>
    </w:p>
    <w:p>
      <w:pPr>
        <w:numPr>
          <w:ilvl w:val="0"/>
          <w:numId w:val="1010"/>
        </w:numPr>
      </w:pPr>
      <w:r>
        <w:t xml:space="preserve">Radios: NB-IoT, LoRaWAN SF7, and LoRaWAN SF12.</w:t>
      </w:r>
    </w:p>
    <w:p>
      <w:pPr>
        <w:numPr>
          <w:ilvl w:val="0"/>
          <w:numId w:val="1010"/>
        </w:numPr>
      </w:pPr>
      <w:r>
        <w:t xml:space="preserve">Strategies: unconfirmed, ARQ + buffer, hourly batching, event-driven batching, and bounded event-driven batching (L2, unless stated otherwise).</w:t>
      </w:r>
    </w:p>
    <w:p>
      <w:pPr>
        <w:numPr>
          <w:ilvl w:val="0"/>
          <w:numId w:val="1010"/>
        </w:numPr>
      </w:pPr>
      <w:r>
        <w:t xml:space="preserve">Events: steps and ramps of 5 and 8 robust standard deviations, lasting 3 h, injected one at a time into the real series (7,548 in 2024). Of these, 99.7% stay within physically plausible ranges, and real 3-h excursions of their size occur at most sites for T, DO, and EC, and less often for pH. All strategies use the same causal CUSUM detector, fixed before any evaluation, which detected 58.2% of the events with a median of 0.8 false alarms per parameter per 30 days (Supplementary Section S6).</w:t>
      </w:r>
    </w:p>
    <w:p>
      <w:pPr>
        <w:pStyle w:val="FirstParagraph"/>
      </w:pPr>
      <w:r>
        <w:t xml:space="preserve">The strategies were compared on three metrics:</w:t>
      </w:r>
    </w:p>
    <w:p>
      <w:pPr>
        <w:numPr>
          <w:ilvl w:val="0"/>
          <w:numId w:val="1011"/>
        </w:numPr>
      </w:pPr>
      <w:r>
        <w:t xml:space="preserve">Alarm latency, from event onset to arrival at the server (detected events, link up at onset).</w:t>
      </w:r>
    </w:p>
    <w:p>
      <w:pPr>
        <w:numPr>
          <w:ilvl w:val="0"/>
          <w:numId w:val="1011"/>
        </w:numPr>
      </w:pPr>
      <w:r>
        <w:t xml:space="preserve">Transmission energy (4), including alarm and false-alarm uploads.</w:t>
      </w:r>
    </w:p>
    <w:p>
      <w:pPr>
        <w:numPr>
          <w:ilvl w:val="0"/>
          <w:numId w:val="1011"/>
        </w:numPr>
      </w:pPr>
      <w:r>
        <w:t xml:space="preserve">The picture, i.e., the share of slots within tolerance on the series without events.</w:t>
      </w:r>
    </w:p>
    <w:p>
      <w:pPr>
        <w:pStyle w:val="FirstParagraph"/>
      </w:pPr>
      <w:r>
        <w:t xml:space="preserve">Each is the median over sites per link and radio (12 combinations; 48 with the four parameters), with 95% confidence intervals from resampling sites. Table VI lists the hypotheses and verdicts.</w:t>
      </w:r>
    </w:p>
    <w:bookmarkStart w:id="35" w:name="tab:hyp"/>
    <w:p>
      <w:pPr>
        <w:pStyle w:val="TableCaption"/>
        <w:spacing w:before="200" w:after="0"/>
      </w:pPr>
      <w:r>
        <w:rPr/>
        <w:t xml:space="preserve">Table VI</w:t>
      </w:r>
    </w:p>
    <w:p>
      <w:pPr>
        <w:pStyle w:val="TableCaption"/>
      </w:pPr>
      <w:r>
        <w:t xml:space="preserve">Hypotheses, decision rules, and verdicts. Each rule applies to the median site of every link–radio (12) or link–radio–parameter (48) combination and passes only if it holds in all. Written: P, before the development runs; A, after H4 failed, before the runs concerned. 2023: development rerun with all deviations fixed; 2024: held out, judged by the frozen code. Event: event-driven batching; Bounded: bounded event-driven batching.</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VI:W:M@@Hypotheses, decision rules, and verdicts. Each rule applies to the median site of every link–radio (12) or link–radio–parameter (48) combination and passes only if it holds in all. Written: P, before the development runs; A, after H4 failed, before the runs concerned. 2023: development rerun with all deviations fixed; 2024: held out, judged by the frozen code. Event: event-driven batching; Bounded: bounded event-driven batching."/>
      </w:tblPr>
      <w:tblGrid>
        <w:gridCol w:w="1320"/>
        <w:gridCol w:w="1320"/>
        <w:gridCol w:w="1320"/>
        <w:gridCol w:w="1320"/>
        <w:gridCol w:w="1320"/>
        <w:gridCol w:w="1320"/>
      </w:tblGrid>
      <w:tr>
        <w:trPr>
          <w:cantSplit/>
          <w:tblHeader w:val="on"/>
        </w:trPr>
        <w:tc>
          <w:tcPr>
            <w:tcBorders>
              <w:bottom w:val="single" w:sz="4" w:space="0" w:color="000000"/>
            </w:tcBorders>
          </w:tcPr>
          <w:p>
            <w:pPr>
              <w:pStyle w:val="Compact"/>
              <w:keepNext/>
              <w:spacing w:before="10" w:after="10"/>
              <w:ind w:firstLine="0"/>
              <w:rPr>
                <w:sz w:val="16"/>
                <w:szCs w:val="16"/>
              </w:rPr>
            </w:pPr>
          </w:p>
        </w:tc>
        <w:tc>
          <w:tcPr>
            <w:tcBorders>
              <w:bottom w:val="single" w:sz="4" w:space="0" w:color="000000"/>
            </w:tcBorders>
          </w:tcPr>
          <w:p>
            <w:pPr>
              <w:pStyle w:val="Compact"/>
              <w:keepNext/>
              <w:spacing w:before="10" w:after="10"/>
              <w:ind w:firstLine="0"/>
              <w:rPr>
                <w:sz w:val="16"/>
                <w:szCs w:val="16"/>
              </w:rPr>
            </w:pPr>
          </w:p>
        </w:tc>
        <w:tc>
          <w:tcPr>
            <w:tcBorders>
              <w:bottom w:val="single" w:sz="4" w:space="0" w:color="000000"/>
            </w:tcBorders>
          </w:tcPr>
          <w:p>
            <w:pPr>
              <w:pStyle w:val="Compact"/>
              <w:keepNext/>
              <w:spacing w:before="10" w:after="10"/>
              <w:ind w:firstLine="0"/>
              <w:jc w:val="left"/>
              <w:rPr>
                <w:sz w:val="16"/>
                <w:szCs w:val="16"/>
              </w:rPr>
            </w:pPr>
            <w:r>
              <w:rPr>
                <w:sz w:val="16"/>
                <w:szCs w:val="16"/>
              </w:rPr>
              <w:t xml:space="preserve">Claim</w:t>
            </w:r>
          </w:p>
        </w:tc>
        <w:tc>
          <w:tcPr>
            <w:tcBorders>
              <w:bottom w:val="single" w:sz="4" w:space="0" w:color="000000"/>
            </w:tcBorders>
          </w:tcPr>
          <w:p>
            <w:pPr>
              <w:pStyle w:val="Compact"/>
              <w:keepNext/>
              <w:spacing w:before="10" w:after="10"/>
              <w:ind w:firstLine="0"/>
              <w:jc w:val="left"/>
              <w:rPr>
                <w:sz w:val="16"/>
                <w:szCs w:val="16"/>
              </w:rPr>
            </w:pPr>
            <w:r>
              <w:rPr>
                <w:sz w:val="16"/>
                <w:szCs w:val="16"/>
              </w:rPr>
              <w:t xml:space="preserve">Rule</w:t>
            </w:r>
          </w:p>
        </w:tc>
        <w:tc>
          <w:tcPr>
            <w:tcBorders>
              <w:bottom w:val="single" w:sz="4" w:space="0" w:color="000000"/>
            </w:tcBorders>
          </w:tcPr>
          <w:p>
            <w:pPr>
              <w:pStyle w:val="Compact"/>
              <w:keepNext/>
              <w:spacing w:before="10" w:after="10"/>
              <w:ind w:firstLine="0"/>
              <w:jc w:val="left"/>
              <w:rPr>
                <w:sz w:val="16"/>
                <w:szCs w:val="16"/>
              </w:rPr>
            </w:pPr>
            <w:r>
              <w:rPr>
                <w:sz w:val="16"/>
                <w:szCs w:val="16"/>
              </w:rPr>
              <w:t xml:space="preserve">2023 (development)</w:t>
            </w:r>
          </w:p>
        </w:tc>
        <w:tc>
          <w:tcPr>
            <w:tcBorders>
              <w:bottom w:val="single" w:sz="4" w:space="0" w:color="000000"/>
            </w:tcBorders>
          </w:tcPr>
          <w:p>
            <w:pPr>
              <w:pStyle w:val="Compact"/>
              <w:keepNext/>
              <w:spacing w:before="10" w:after="10"/>
              <w:ind w:firstLine="0"/>
              <w:jc w:val="left"/>
              <w:rPr>
                <w:sz w:val="16"/>
                <w:szCs w:val="16"/>
              </w:rPr>
            </w:pPr>
            <w:r>
              <w:rPr>
                <w:sz w:val="16"/>
                <w:szCs w:val="16"/>
              </w:rPr>
              <w:t xml:space="preserve">2024 (held out)</w:t>
            </w:r>
          </w:p>
        </w:tc>
      </w:tr>
      <w:tr>
        <w:trPr>
          <w:cantSplit/>
        </w:trPr>
        <w:tc>
          <w:tcPr/>
          <w:p>
            <w:pPr>
              <w:pStyle w:val="Compact"/>
              <w:keepNext/>
              <w:spacing w:before="10" w:after="10"/>
              <w:ind w:firstLine="0"/>
              <w:jc w:val="left"/>
              <w:rPr>
                <w:sz w:val="16"/>
                <w:szCs w:val="16"/>
              </w:rPr>
            </w:pPr>
            <w:r>
              <w:rPr>
                <w:sz w:val="16"/>
                <w:szCs w:val="16"/>
              </w:rPr>
              <w:t xml:space="preserve">H1</w:t>
            </w:r>
          </w:p>
        </w:tc>
        <w:tc>
          <w:tcPr/>
          <w:p>
            <w:pPr>
              <w:pStyle w:val="Compact"/>
              <w:keepNext/>
              <w:spacing w:before="10" w:after="10"/>
              <w:ind w:firstLine="0"/>
              <w:jc w:val="left"/>
              <w:rPr>
                <w:sz w:val="16"/>
                <w:szCs w:val="16"/>
              </w:rPr>
            </w:pPr>
            <w:r>
              <w:rPr>
                <w:sz w:val="16"/>
                <w:szCs w:val="16"/>
              </w:rPr>
              <w:t xml:space="preserve">P</w:t>
            </w:r>
          </w:p>
        </w:tc>
        <w:tc>
          <w:tcPr/>
          <w:p>
            <w:pPr>
              <w:pStyle w:val="Compact"/>
              <w:keepNext/>
              <w:spacing w:before="10" w:after="10"/>
              <w:ind w:firstLine="0"/>
              <w:jc w:val="left"/>
              <w:rPr>
                <w:sz w:val="16"/>
                <w:szCs w:val="16"/>
              </w:rPr>
            </w:pPr>
            <w:r>
              <w:rPr>
                <w:sz w:val="16"/>
                <w:szCs w:val="16"/>
              </w:rPr>
              <w:t xml:space="preserve">Link up: Event raises alarms as fast as per-reading reporting</w:t>
            </w:r>
          </w:p>
        </w:tc>
        <w:tc>
          <w:tcPr/>
          <w:p>
            <w:pPr>
              <w:pStyle w:val="Compact"/>
              <w:keepNext/>
              <w:spacing w:before="10" w:after="10"/>
              <w:ind w:firstLine="0"/>
              <w:jc w:val="left"/>
              <w:rPr>
                <w:sz w:val="16"/>
                <w:szCs w:val="16"/>
              </w:rPr>
            </w:pPr>
            <w:r>
              <w:rPr>
                <w:sz w:val="16"/>
                <w:szCs w:val="16"/>
              </w:rPr>
              <w:t xml:space="preserve">Event</w:t>
            </w:r>
            <w:r>
              <w:rPr>
                <w:sz w:val="16"/>
                <w:szCs w:val="16"/>
              </w:rPr>
              <w:t xml:space="preserve"> </w:t>
            </w:r>
            <m:oMath>
              <m:r>
                <m:rPr>
                  <m:sty m:val="p"/>
                </m:rPr>
                <w:rPr>
                  <w:sz w:val="16"/>
                  <w:szCs w:val="16"/>
                </w:rPr>
                <m:t>−</m:t>
              </m:r>
            </m:oMath>
            <w:r>
              <w:rPr>
                <w:sz w:val="16"/>
                <w:szCs w:val="16"/>
              </w:rPr>
              <w:t xml:space="preserve"> </w:t>
            </w:r>
            <w:r>
              <w:rPr>
                <w:sz w:val="16"/>
                <w:szCs w:val="16"/>
              </w:rPr>
              <w:t xml:space="preserve">ARQ+buffer alarm latency</w:t>
            </w:r>
            <w:r>
              <w:rPr>
                <w:sz w:val="16"/>
                <w:szCs w:val="16"/>
              </w:rPr>
              <w:t xml:space="preserve"> </w:t>
            </w:r>
            <m:oMath>
              <m:r>
                <m:rPr>
                  <m:sty m:val="p"/>
                </m:rPr>
                <w:rPr>
                  <w:sz w:val="16"/>
                  <w:szCs w:val="16"/>
                </w:rPr>
                <m:t>≤</m:t>
              </m:r>
            </m:oMath>
            <w:r>
              <w:rPr>
                <w:sz w:val="16"/>
                <w:szCs w:val="16"/>
              </w:rPr>
              <w:t xml:space="preserve"> </w:t>
            </w:r>
            <w:r>
              <w:rPr>
                <w:sz w:val="16"/>
                <w:szCs w:val="16"/>
              </w:rPr>
              <w:t xml:space="preserve">1 slot</w:t>
            </w:r>
          </w:p>
        </w:tc>
        <w:tc>
          <w:tcPr/>
          <w:p>
            <w:pPr>
              <w:pStyle w:val="Compact"/>
              <w:keepNext/>
              <w:spacing w:before="10" w:after="10"/>
              <w:ind w:firstLine="0"/>
              <w:jc w:val="left"/>
              <w:rPr>
                <w:sz w:val="16"/>
                <w:szCs w:val="16"/>
              </w:rPr>
            </w:pPr>
            <w:r>
              <w:rPr>
                <w:sz w:val="16"/>
                <w:szCs w:val="16"/>
              </w:rPr>
              <w:t xml:space="preserve">Pass, 12/12</w:t>
            </w:r>
          </w:p>
        </w:tc>
        <w:tc>
          <w:tcPr/>
          <w:p>
            <w:pPr>
              <w:pStyle w:val="Compact"/>
              <w:keepNext/>
              <w:spacing w:before="10" w:after="10"/>
              <w:ind w:firstLine="0"/>
              <w:jc w:val="left"/>
              <w:rPr>
                <w:sz w:val="16"/>
                <w:szCs w:val="16"/>
              </w:rPr>
            </w:pPr>
            <w:r>
              <w:rPr>
                <w:sz w:val="16"/>
                <w:szCs w:val="16"/>
              </w:rPr>
              <w:t xml:space="preserve">Pass, 12/12</w:t>
            </w:r>
          </w:p>
        </w:tc>
      </w:tr>
      <w:tr>
        <w:trPr>
          <w:cantSplit/>
        </w:trPr>
        <w:tc>
          <w:tcPr/>
          <w:p>
            <w:pPr>
              <w:pStyle w:val="Compact"/>
              <w:keepNext/>
              <w:spacing w:before="10" w:after="10"/>
              <w:ind w:firstLine="0"/>
              <w:jc w:val="left"/>
              <w:rPr>
                <w:sz w:val="16"/>
                <w:szCs w:val="16"/>
              </w:rPr>
            </w:pPr>
            <w:r>
              <w:rPr>
                <w:sz w:val="16"/>
                <w:szCs w:val="16"/>
              </w:rPr>
              <w:t xml:space="preserve">H2</w:t>
            </w:r>
          </w:p>
        </w:tc>
        <w:tc>
          <w:tcPr/>
          <w:p>
            <w:pPr>
              <w:pStyle w:val="Compact"/>
              <w:keepNext/>
              <w:spacing w:before="10" w:after="10"/>
              <w:ind w:firstLine="0"/>
              <w:jc w:val="left"/>
              <w:rPr>
                <w:sz w:val="16"/>
                <w:szCs w:val="16"/>
              </w:rPr>
            </w:pPr>
            <w:r>
              <w:rPr>
                <w:sz w:val="16"/>
                <w:szCs w:val="16"/>
              </w:rPr>
              <w:t xml:space="preserve">P</w:t>
            </w:r>
          </w:p>
        </w:tc>
        <w:tc>
          <w:tcPr/>
          <w:p>
            <w:pPr>
              <w:pStyle w:val="Compact"/>
              <w:keepNext/>
              <w:spacing w:before="10" w:after="10"/>
              <w:ind w:firstLine="0"/>
              <w:jc w:val="left"/>
              <w:rPr>
                <w:sz w:val="16"/>
                <w:szCs w:val="16"/>
              </w:rPr>
            </w:pPr>
            <w:r>
              <w:rPr>
                <w:sz w:val="16"/>
                <w:szCs w:val="16"/>
              </w:rPr>
              <w:t xml:space="preserve">Event costs approximately as much as batching, much less than per-reading ARQ</w:t>
            </w:r>
          </w:p>
        </w:tc>
        <w:tc>
          <w:tcPr/>
          <w:p>
            <w:pPr>
              <w:pStyle w:val="Compact"/>
              <w:keepNext/>
              <w:spacing w:before="10" w:after="10"/>
              <w:ind w:firstLine="0"/>
              <w:jc w:val="left"/>
              <w:rPr>
                <w:sz w:val="16"/>
                <w:szCs w:val="16"/>
              </w:rPr>
            </w:pPr>
            <w:r>
              <w:rPr>
                <w:sz w:val="16"/>
                <w:szCs w:val="16"/>
              </w:rPr>
              <w:t xml:space="preserve">Event / batch</w:t>
            </w:r>
            <w:r>
              <w:rPr>
                <w:sz w:val="16"/>
                <w:szCs w:val="16"/>
              </w:rPr>
              <w:t xml:space="preserve"> </w:t>
            </w:r>
            <m:oMath>
              <m:r>
                <m:rPr>
                  <m:sty m:val="p"/>
                </m:rPr>
                <w:rPr>
                  <w:sz w:val="16"/>
                  <w:szCs w:val="16"/>
                </w:rPr>
                <m:t>≤</m:t>
              </m:r>
              <m:r>
                <w:rPr>
                  <w:sz w:val="16"/>
                  <w:szCs w:val="16"/>
                </w:rPr>
                <m:t>1.10</m:t>
              </m:r>
            </m:oMath>
            <w:r>
              <w:rPr>
                <w:sz w:val="16"/>
                <w:szCs w:val="16"/>
              </w:rPr>
              <w:t xml:space="preserve"> </w:t>
            </w:r>
            <w:r>
              <w:rPr>
                <w:sz w:val="16"/>
                <w:szCs w:val="16"/>
              </w:rPr>
              <w:t xml:space="preserve">and ARQ+buffer / Event</w:t>
            </w:r>
            <w:r>
              <w:rPr>
                <w:sz w:val="16"/>
                <w:szCs w:val="16"/>
              </w:rPr>
              <w:t xml:space="preserve"> </w:t>
            </w:r>
            <m:oMath>
              <m:r>
                <m:rPr>
                  <m:sty m:val="p"/>
                </m:rPr>
                <w:rPr>
                  <w:sz w:val="16"/>
                  <w:szCs w:val="16"/>
                </w:rPr>
                <m:t>≥</m:t>
              </m:r>
              <m:r>
                <w:rPr>
                  <w:sz w:val="16"/>
                  <w:szCs w:val="16"/>
                </w:rPr>
                <m:t>1.3</m:t>
              </m:r>
            </m:oMath>
          </w:p>
        </w:tc>
        <w:tc>
          <w:tcPr/>
          <w:p>
            <w:pPr>
              <w:pStyle w:val="Compact"/>
              <w:keepNext/>
              <w:spacing w:before="10" w:after="10"/>
              <w:ind w:firstLine="0"/>
              <w:jc w:val="left"/>
              <w:rPr>
                <w:sz w:val="16"/>
                <w:szCs w:val="16"/>
              </w:rPr>
            </w:pPr>
            <w:r>
              <w:rPr>
                <w:sz w:val="16"/>
                <w:szCs w:val="16"/>
              </w:rPr>
              <w:t xml:space="preserve">Pass, 12/12</w:t>
            </w:r>
          </w:p>
        </w:tc>
        <w:tc>
          <w:tcPr/>
          <w:p>
            <w:pPr>
              <w:pStyle w:val="Compact"/>
              <w:keepNext/>
              <w:spacing w:before="10" w:after="10"/>
              <w:ind w:firstLine="0"/>
              <w:jc w:val="left"/>
              <w:rPr>
                <w:sz w:val="16"/>
                <w:szCs w:val="16"/>
              </w:rPr>
            </w:pPr>
            <w:r>
              <w:rPr>
                <w:sz w:val="16"/>
                <w:szCs w:val="16"/>
              </w:rPr>
              <w:t xml:space="preserve">Pass, 12/12</w:t>
            </w:r>
          </w:p>
        </w:tc>
      </w:tr>
      <w:tr>
        <w:trPr>
          <w:cantSplit/>
        </w:trPr>
        <w:tc>
          <w:tcPr/>
          <w:p>
            <w:pPr>
              <w:pStyle w:val="Compact"/>
              <w:keepNext/>
              <w:spacing w:before="10" w:after="10"/>
              <w:ind w:firstLine="0"/>
              <w:jc w:val="left"/>
              <w:rPr>
                <w:sz w:val="16"/>
                <w:szCs w:val="16"/>
              </w:rPr>
            </w:pPr>
            <w:r>
              <w:rPr>
                <w:sz w:val="16"/>
                <w:szCs w:val="16"/>
              </w:rPr>
              <w:t xml:space="preserve">H3</w:t>
            </w:r>
          </w:p>
        </w:tc>
        <w:tc>
          <w:tcPr/>
          <w:p>
            <w:pPr>
              <w:pStyle w:val="Compact"/>
              <w:keepNext/>
              <w:spacing w:before="10" w:after="10"/>
              <w:ind w:firstLine="0"/>
              <w:jc w:val="left"/>
              <w:rPr>
                <w:sz w:val="16"/>
                <w:szCs w:val="16"/>
              </w:rPr>
            </w:pPr>
            <w:r>
              <w:rPr>
                <w:sz w:val="16"/>
                <w:szCs w:val="16"/>
              </w:rPr>
              <w:t xml:space="preserve">P</w:t>
            </w:r>
          </w:p>
        </w:tc>
        <w:tc>
          <w:tcPr/>
          <w:p>
            <w:pPr>
              <w:pStyle w:val="Compact"/>
              <w:keepNext/>
              <w:spacing w:before="10" w:after="10"/>
              <w:ind w:firstLine="0"/>
              <w:jc w:val="left"/>
              <w:rPr>
                <w:sz w:val="16"/>
                <w:szCs w:val="16"/>
              </w:rPr>
            </w:pPr>
            <w:r>
              <w:rPr>
                <w:sz w:val="16"/>
                <w:szCs w:val="16"/>
              </w:rPr>
              <w:t xml:space="preserve">Onset in a gap: buffering delivers late, unconfirmed loses</w:t>
            </w:r>
          </w:p>
        </w:tc>
        <w:tc>
          <w:tcPr/>
          <w:p>
            <w:pPr>
              <w:pStyle w:val="Compact"/>
              <w:keepNext/>
              <w:spacing w:before="10" w:after="10"/>
              <w:ind w:firstLine="0"/>
              <w:jc w:val="left"/>
              <w:rPr>
                <w:sz w:val="16"/>
                <w:szCs w:val="16"/>
              </w:rPr>
            </w:pPr>
            <w:r>
              <w:rPr>
                <w:sz w:val="16"/>
                <w:szCs w:val="16"/>
              </w:rPr>
              <w:t xml:space="preserve">Descriptive</w:t>
            </w:r>
          </w:p>
        </w:tc>
        <w:tc>
          <w:tcPr/>
          <w:p>
            <w:pPr>
              <w:pStyle w:val="Compact"/>
              <w:keepNext/>
              <w:spacing w:before="10" w:after="10"/>
              <w:ind w:firstLine="0"/>
              <w:jc w:val="left"/>
              <w:rPr>
                <w:sz w:val="16"/>
                <w:szCs w:val="16"/>
              </w:rPr>
            </w:pPr>
            <w:r>
              <w:rPr>
                <w:sz w:val="16"/>
                <w:szCs w:val="16"/>
              </w:rPr>
              <w:t xml:space="preserve">As expected</w:t>
            </w:r>
          </w:p>
        </w:tc>
        <w:tc>
          <w:tcPr/>
          <w:p>
            <w:pPr>
              <w:pStyle w:val="Compact"/>
              <w:keepNext/>
              <w:spacing w:before="10" w:after="10"/>
              <w:ind w:firstLine="0"/>
              <w:jc w:val="left"/>
              <w:rPr>
                <w:sz w:val="16"/>
                <w:szCs w:val="16"/>
              </w:rPr>
            </w:pPr>
            <w:r>
              <w:rPr>
                <w:sz w:val="16"/>
                <w:szCs w:val="16"/>
              </w:rPr>
              <w:t xml:space="preserve">As expected</w:t>
            </w:r>
          </w:p>
        </w:tc>
      </w:tr>
      <w:tr>
        <w:trPr>
          <w:cantSplit/>
        </w:trPr>
        <w:tc>
          <w:tcPr/>
          <w:p>
            <w:pPr>
              <w:pStyle w:val="Compact"/>
              <w:keepNext/>
              <w:spacing w:before="10" w:after="10"/>
              <w:ind w:firstLine="0"/>
              <w:jc w:val="left"/>
              <w:rPr>
                <w:sz w:val="16"/>
                <w:szCs w:val="16"/>
              </w:rPr>
            </w:pPr>
            <w:r>
              <w:rPr>
                <w:sz w:val="16"/>
                <w:szCs w:val="16"/>
              </w:rPr>
              <w:t xml:space="preserve">H4</w:t>
            </w:r>
          </w:p>
        </w:tc>
        <w:tc>
          <w:tcPr/>
          <w:p>
            <w:pPr>
              <w:pStyle w:val="Compact"/>
              <w:keepNext/>
              <w:spacing w:before="10" w:after="10"/>
              <w:ind w:firstLine="0"/>
              <w:jc w:val="left"/>
              <w:rPr>
                <w:sz w:val="16"/>
                <w:szCs w:val="16"/>
              </w:rPr>
            </w:pPr>
            <w:r>
              <w:rPr>
                <w:sz w:val="16"/>
                <w:szCs w:val="16"/>
              </w:rPr>
              <w:t xml:space="preserve">P</w:t>
            </w:r>
          </w:p>
        </w:tc>
        <w:tc>
          <w:tcPr/>
          <w:p>
            <w:pPr>
              <w:pStyle w:val="Compact"/>
              <w:keepNext/>
              <w:spacing w:before="10" w:after="10"/>
              <w:ind w:firstLine="0"/>
              <w:jc w:val="left"/>
              <w:rPr>
                <w:sz w:val="16"/>
                <w:szCs w:val="16"/>
              </w:rPr>
            </w:pPr>
            <w:r>
              <w:rPr>
                <w:sz w:val="16"/>
                <w:szCs w:val="16"/>
              </w:rPr>
              <w:t xml:space="preserve">Event’s picture is as good as per-reading reporting’s</w:t>
            </w:r>
          </w:p>
        </w:tc>
        <w:tc>
          <w:tcPr/>
          <w:p>
            <w:pPr>
              <w:pStyle w:val="Compact"/>
              <w:keepNext/>
              <w:spacing w:before="10" w:after="10"/>
              <w:ind w:firstLine="0"/>
              <w:jc w:val="left"/>
              <w:rPr>
                <w:sz w:val="16"/>
                <w:szCs w:val="16"/>
              </w:rPr>
            </w:pPr>
            <w:r>
              <w:rPr>
                <w:sz w:val="16"/>
                <w:szCs w:val="16"/>
              </w:rPr>
              <w:t xml:space="preserve">Event</w:t>
            </w:r>
            <w:r>
              <w:rPr>
                <w:sz w:val="16"/>
                <w:szCs w:val="16"/>
              </w:rPr>
              <w:t xml:space="preserve"> </w:t>
            </w:r>
            <m:oMath>
              <m:r>
                <m:rPr>
                  <m:sty m:val="p"/>
                </m:rPr>
                <w:rPr>
                  <w:sz w:val="16"/>
                  <w:szCs w:val="16"/>
                </w:rPr>
                <m:t>≥</m:t>
              </m:r>
            </m:oMath>
            <w:r>
              <w:rPr>
                <w:sz w:val="16"/>
                <w:szCs w:val="16"/>
              </w:rPr>
              <w:t xml:space="preserve"> </w:t>
            </w:r>
            <w:r>
              <w:rPr>
                <w:sz w:val="16"/>
                <w:szCs w:val="16"/>
              </w:rPr>
              <w:t xml:space="preserve">ARQ+buffer</w:t>
            </w:r>
            <w:r>
              <w:rPr>
                <w:sz w:val="16"/>
                <w:szCs w:val="16"/>
              </w:rPr>
              <w:t xml:space="preserve"> </w:t>
            </w:r>
            <m:oMath>
              <m:r>
                <m:rPr>
                  <m:sty m:val="p"/>
                </m:rPr>
                <w:rPr>
                  <w:sz w:val="16"/>
                  <w:szCs w:val="16"/>
                </w:rPr>
                <m:t>−</m:t>
              </m:r>
            </m:oMath>
            <w:r>
              <w:rPr>
                <w:sz w:val="16"/>
                <w:szCs w:val="16"/>
              </w:rPr>
              <w:t xml:space="preserve"> </w:t>
            </w:r>
            <w:r>
              <w:rPr>
                <w:sz w:val="16"/>
                <w:szCs w:val="16"/>
              </w:rPr>
              <w:t xml:space="preserve">5 pp</w:t>
            </w:r>
          </w:p>
        </w:tc>
        <w:tc>
          <w:tcPr/>
          <w:p>
            <w:pPr>
              <w:pStyle w:val="Compact"/>
              <w:keepNext/>
              <w:spacing w:before="10" w:after="10"/>
              <w:ind w:firstLine="0"/>
              <w:jc w:val="left"/>
              <w:rPr>
                <w:sz w:val="16"/>
                <w:szCs w:val="16"/>
              </w:rPr>
            </w:pPr>
            <w:r>
              <w:rPr>
                <w:sz w:val="16"/>
                <w:szCs w:val="16"/>
              </w:rPr>
              <w:t xml:space="preserve">Fail, 38/48</w:t>
            </w:r>
          </w:p>
        </w:tc>
        <w:tc>
          <w:tcPr/>
          <w:p>
            <w:pPr>
              <w:pStyle w:val="Compact"/>
              <w:keepNext/>
              <w:spacing w:before="10" w:after="10"/>
              <w:ind w:firstLine="0"/>
              <w:jc w:val="left"/>
              <w:rPr>
                <w:sz w:val="16"/>
                <w:szCs w:val="16"/>
              </w:rPr>
            </w:pPr>
            <w:r>
              <w:rPr>
                <w:sz w:val="16"/>
                <w:szCs w:val="16"/>
              </w:rPr>
              <w:t xml:space="preserve">Fail, 39/48</w:t>
            </w:r>
          </w:p>
        </w:tc>
      </w:tr>
      <w:tr>
        <w:trPr>
          <w:cantSplit/>
        </w:trPr>
        <w:tc>
          <w:tcPr/>
          <w:p>
            <w:pPr>
              <w:pStyle w:val="Compact"/>
              <w:keepNext/>
              <w:spacing w:before="10" w:after="10"/>
              <w:ind w:firstLine="0"/>
              <w:jc w:val="left"/>
              <w:rPr>
                <w:sz w:val="16"/>
                <w:szCs w:val="16"/>
              </w:rPr>
            </w:pPr>
            <w:r>
              <w:rPr>
                <w:sz w:val="16"/>
                <w:szCs w:val="16"/>
              </w:rPr>
              <w:t xml:space="preserve">H5</w:t>
            </w:r>
          </w:p>
        </w:tc>
        <w:tc>
          <w:tcPr/>
          <w:p>
            <w:pPr>
              <w:pStyle w:val="Compact"/>
              <w:keepNext/>
              <w:spacing w:before="10" w:after="10"/>
              <w:ind w:firstLine="0"/>
              <w:jc w:val="left"/>
              <w:rPr>
                <w:sz w:val="16"/>
                <w:szCs w:val="16"/>
              </w:rPr>
            </w:pPr>
            <w:r>
              <w:rPr>
                <w:sz w:val="16"/>
                <w:szCs w:val="16"/>
              </w:rPr>
              <w:t xml:space="preserve">A</w:t>
            </w:r>
          </w:p>
        </w:tc>
        <w:tc>
          <w:tcPr/>
          <w:p>
            <w:pPr>
              <w:pStyle w:val="Compact"/>
              <w:keepNext/>
              <w:spacing w:before="10" w:after="10"/>
              <w:ind w:firstLine="0"/>
              <w:jc w:val="left"/>
              <w:rPr>
                <w:sz w:val="16"/>
                <w:szCs w:val="16"/>
              </w:rPr>
            </w:pPr>
            <w:r>
              <w:rPr>
                <w:sz w:val="16"/>
                <w:szCs w:val="16"/>
              </w:rPr>
              <w:t xml:space="preserve">Bounded’s picture is as good as per-reading reporting’s</w:t>
            </w:r>
          </w:p>
        </w:tc>
        <w:tc>
          <w:tcPr/>
          <w:p>
            <w:pPr>
              <w:pStyle w:val="Compact"/>
              <w:keepNext/>
              <w:spacing w:before="10" w:after="10"/>
              <w:ind w:firstLine="0"/>
              <w:jc w:val="left"/>
              <w:rPr>
                <w:sz w:val="16"/>
                <w:szCs w:val="16"/>
              </w:rPr>
            </w:pPr>
            <w:r>
              <w:rPr>
                <w:sz w:val="16"/>
                <w:szCs w:val="16"/>
              </w:rPr>
              <w:t xml:space="preserve">Bounded</w:t>
            </w:r>
            <w:r>
              <w:rPr>
                <w:sz w:val="16"/>
                <w:szCs w:val="16"/>
              </w:rPr>
              <w:t xml:space="preserve"> </w:t>
            </w:r>
            <m:oMath>
              <m:r>
                <m:rPr>
                  <m:sty m:val="p"/>
                </m:rPr>
                <w:rPr>
                  <w:sz w:val="16"/>
                  <w:szCs w:val="16"/>
                </w:rPr>
                <m:t>≥</m:t>
              </m:r>
            </m:oMath>
            <w:r>
              <w:rPr>
                <w:sz w:val="16"/>
                <w:szCs w:val="16"/>
              </w:rPr>
              <w:t xml:space="preserve"> </w:t>
            </w:r>
            <w:r>
              <w:rPr>
                <w:sz w:val="16"/>
                <w:szCs w:val="16"/>
              </w:rPr>
              <w:t xml:space="preserve">ARQ+buffer</w:t>
            </w:r>
            <w:r>
              <w:rPr>
                <w:sz w:val="16"/>
                <w:szCs w:val="16"/>
              </w:rPr>
              <w:t xml:space="preserve"> </w:t>
            </w:r>
            <m:oMath>
              <m:r>
                <m:rPr>
                  <m:sty m:val="p"/>
                </m:rPr>
                <w:rPr>
                  <w:sz w:val="16"/>
                  <w:szCs w:val="16"/>
                </w:rPr>
                <m:t>−</m:t>
              </m:r>
            </m:oMath>
            <w:r>
              <w:rPr>
                <w:sz w:val="16"/>
                <w:szCs w:val="16"/>
              </w:rPr>
              <w:t xml:space="preserve"> </w:t>
            </w:r>
            <w:r>
              <w:rPr>
                <w:sz w:val="16"/>
                <w:szCs w:val="16"/>
              </w:rPr>
              <w:t xml:space="preserve">1 pp</w:t>
            </w:r>
          </w:p>
        </w:tc>
        <w:tc>
          <w:tcPr/>
          <w:p>
            <w:pPr>
              <w:pStyle w:val="Compact"/>
              <w:keepNext/>
              <w:spacing w:before="10" w:after="10"/>
              <w:ind w:firstLine="0"/>
              <w:jc w:val="left"/>
              <w:rPr>
                <w:sz w:val="16"/>
                <w:szCs w:val="16"/>
              </w:rPr>
            </w:pPr>
            <w:r>
              <w:rPr>
                <w:sz w:val="16"/>
                <w:szCs w:val="16"/>
              </w:rPr>
              <w:t xml:space="preserve">Pass, 48/48</w:t>
            </w:r>
          </w:p>
        </w:tc>
        <w:tc>
          <w:tcPr/>
          <w:p>
            <w:pPr>
              <w:pStyle w:val="Compact"/>
              <w:keepNext/>
              <w:spacing w:before="10" w:after="10"/>
              <w:ind w:firstLine="0"/>
              <w:jc w:val="left"/>
              <w:rPr>
                <w:sz w:val="16"/>
                <w:szCs w:val="16"/>
              </w:rPr>
            </w:pPr>
            <w:r>
              <w:rPr>
                <w:sz w:val="16"/>
                <w:szCs w:val="16"/>
              </w:rPr>
              <w:t xml:space="preserve">Pass, 48/48</w:t>
            </w:r>
          </w:p>
        </w:tc>
      </w:tr>
      <w:tr>
        <w:trPr>
          <w:cantSplit/>
        </w:trPr>
        <w:tc>
          <w:tcPr/>
          <w:p>
            <w:pPr>
              <w:pStyle w:val="Compact"/>
              <w:keepNext/>
              <w:spacing w:before="10" w:after="10"/>
              <w:ind w:firstLine="0"/>
              <w:jc w:val="left"/>
              <w:rPr>
                <w:sz w:val="16"/>
                <w:szCs w:val="16"/>
              </w:rPr>
            </w:pPr>
            <w:r>
              <w:rPr>
                <w:sz w:val="16"/>
                <w:szCs w:val="16"/>
              </w:rPr>
              <w:t xml:space="preserve">H6</w:t>
            </w:r>
          </w:p>
        </w:tc>
        <w:tc>
          <w:tcPr/>
          <w:p>
            <w:pPr>
              <w:pStyle w:val="Compact"/>
              <w:keepNext/>
              <w:spacing w:before="10" w:after="10"/>
              <w:ind w:firstLine="0"/>
              <w:jc w:val="left"/>
              <w:rPr>
                <w:sz w:val="16"/>
                <w:szCs w:val="16"/>
              </w:rPr>
            </w:pPr>
            <w:r>
              <w:rPr>
                <w:sz w:val="16"/>
                <w:szCs w:val="16"/>
              </w:rPr>
              <w:t xml:space="preserve">A</w:t>
            </w:r>
          </w:p>
        </w:tc>
        <w:tc>
          <w:tcPr/>
          <w:p>
            <w:pPr>
              <w:pStyle w:val="Compact"/>
              <w:keepNext/>
              <w:spacing w:before="10" w:after="10"/>
              <w:ind w:firstLine="0"/>
              <w:jc w:val="left"/>
              <w:rPr>
                <w:sz w:val="16"/>
                <w:szCs w:val="16"/>
              </w:rPr>
            </w:pPr>
            <w:r>
              <w:rPr>
                <w:sz w:val="16"/>
                <w:szCs w:val="16"/>
              </w:rPr>
              <w:t xml:space="preserve">Bounded costs no more than per-reading ARQ</w:t>
            </w:r>
          </w:p>
        </w:tc>
        <w:tc>
          <w:tcPr/>
          <w:p>
            <w:pPr>
              <w:pStyle w:val="Compact"/>
              <w:keepNext/>
              <w:spacing w:before="10" w:after="10"/>
              <w:ind w:firstLine="0"/>
              <w:jc w:val="left"/>
              <w:rPr>
                <w:sz w:val="16"/>
                <w:szCs w:val="16"/>
              </w:rPr>
            </w:pPr>
            <w:r>
              <w:rPr>
                <w:sz w:val="16"/>
                <w:szCs w:val="16"/>
              </w:rPr>
              <w:t xml:space="preserve">Bounded</w:t>
            </w:r>
            <w:r>
              <w:rPr>
                <w:sz w:val="16"/>
                <w:szCs w:val="16"/>
              </w:rPr>
              <w:t xml:space="preserve"> </w:t>
            </w:r>
            <m:oMath>
              <m:r>
                <m:rPr>
                  <m:sty m:val="p"/>
                </m:rPr>
                <w:rPr>
                  <w:sz w:val="16"/>
                  <w:szCs w:val="16"/>
                </w:rPr>
                <m:t>≤</m:t>
              </m:r>
            </m:oMath>
            <w:r>
              <w:rPr>
                <w:sz w:val="16"/>
                <w:szCs w:val="16"/>
              </w:rPr>
              <w:t xml:space="preserve"> </w:t>
            </w:r>
            <w:r>
              <w:rPr>
                <w:sz w:val="16"/>
                <w:szCs w:val="16"/>
              </w:rPr>
              <w:t xml:space="preserve">ARQ+buffer energy</w:t>
            </w:r>
          </w:p>
        </w:tc>
        <w:tc>
          <w:tcPr/>
          <w:p>
            <w:pPr>
              <w:pStyle w:val="Compact"/>
              <w:keepNext/>
              <w:spacing w:before="10" w:after="10"/>
              <w:ind w:firstLine="0"/>
              <w:jc w:val="left"/>
              <w:rPr>
                <w:sz w:val="16"/>
                <w:szCs w:val="16"/>
              </w:rPr>
            </w:pPr>
            <w:r>
              <w:rPr>
                <w:sz w:val="16"/>
                <w:szCs w:val="16"/>
              </w:rPr>
              <w:t xml:space="preserve">Pass, 12/12</w:t>
            </w:r>
          </w:p>
        </w:tc>
        <w:tc>
          <w:tcPr/>
          <w:p>
            <w:pPr>
              <w:pStyle w:val="Compact"/>
              <w:keepNext/>
              <w:spacing w:before="10" w:after="10"/>
              <w:ind w:firstLine="0"/>
              <w:jc w:val="left"/>
              <w:rPr>
                <w:sz w:val="16"/>
                <w:szCs w:val="16"/>
              </w:rPr>
            </w:pPr>
            <w:r>
              <w:rPr>
                <w:sz w:val="16"/>
                <w:szCs w:val="16"/>
              </w:rPr>
              <w:t xml:space="preserve">Pass, 12/12</w:t>
            </w:r>
          </w:p>
        </w:tc>
      </w:tr>
      <w:tr>
        <w:trPr>
          <w:cantSplit/>
        </w:trPr>
        <w:tc>
          <w:tcPr/>
          <w:p>
            <w:pPr>
              <w:pStyle w:val="Compact"/>
              <w:keepNext/>
              <w:spacing w:before="10" w:after="10"/>
              <w:ind w:firstLine="0"/>
              <w:jc w:val="left"/>
              <w:rPr>
                <w:sz w:val="16"/>
                <w:szCs w:val="16"/>
              </w:rPr>
            </w:pPr>
            <w:r>
              <w:rPr>
                <w:sz w:val="16"/>
                <w:szCs w:val="16"/>
              </w:rPr>
              <w:t xml:space="preserve">H7</w:t>
            </w:r>
          </w:p>
        </w:tc>
        <w:tc>
          <w:tcPr/>
          <w:p>
            <w:pPr>
              <w:pStyle w:val="Compact"/>
              <w:keepNext/>
              <w:spacing w:before="10" w:after="10"/>
              <w:ind w:firstLine="0"/>
              <w:jc w:val="left"/>
              <w:rPr>
                <w:sz w:val="16"/>
                <w:szCs w:val="16"/>
              </w:rPr>
            </w:pPr>
            <w:r>
              <w:rPr>
                <w:sz w:val="16"/>
                <w:szCs w:val="16"/>
              </w:rPr>
              <w:t xml:space="preserve">A</w:t>
            </w:r>
          </w:p>
        </w:tc>
        <w:tc>
          <w:tcPr/>
          <w:p>
            <w:pPr>
              <w:pStyle w:val="Compact"/>
              <w:keepNext/>
              <w:spacing w:before="10" w:after="10"/>
              <w:ind w:firstLine="0"/>
              <w:jc w:val="left"/>
              <w:rPr>
                <w:sz w:val="16"/>
                <w:szCs w:val="16"/>
              </w:rPr>
            </w:pPr>
            <w:r>
              <w:rPr>
                <w:sz w:val="16"/>
                <w:szCs w:val="16"/>
              </w:rPr>
              <w:t xml:space="preserve">The trigger does not delay alarms</w:t>
            </w:r>
          </w:p>
        </w:tc>
        <w:tc>
          <w:tcPr/>
          <w:p>
            <w:pPr>
              <w:pStyle w:val="Compact"/>
              <w:keepNext/>
              <w:spacing w:before="10" w:after="10"/>
              <w:ind w:firstLine="0"/>
              <w:jc w:val="left"/>
              <w:rPr>
                <w:sz w:val="16"/>
                <w:szCs w:val="16"/>
              </w:rPr>
            </w:pPr>
            <w:r>
              <w:rPr>
                <w:sz w:val="16"/>
                <w:szCs w:val="16"/>
              </w:rPr>
              <w:t xml:space="preserve">Bounded</w:t>
            </w:r>
            <w:r>
              <w:rPr>
                <w:sz w:val="16"/>
                <w:szCs w:val="16"/>
              </w:rPr>
              <w:t xml:space="preserve"> </w:t>
            </w:r>
            <m:oMath>
              <m:r>
                <m:rPr>
                  <m:sty m:val="p"/>
                </m:rPr>
                <w:rPr>
                  <w:sz w:val="16"/>
                  <w:szCs w:val="16"/>
                </w:rPr>
                <m:t>−</m:t>
              </m:r>
            </m:oMath>
            <w:r>
              <w:rPr>
                <w:sz w:val="16"/>
                <w:szCs w:val="16"/>
              </w:rPr>
              <w:t xml:space="preserve"> </w:t>
            </w:r>
            <w:r>
              <w:rPr>
                <w:sz w:val="16"/>
                <w:szCs w:val="16"/>
              </w:rPr>
              <w:t xml:space="preserve">Event alarm latency</w:t>
            </w:r>
            <w:r>
              <w:rPr>
                <w:sz w:val="16"/>
                <w:szCs w:val="16"/>
              </w:rPr>
              <w:t xml:space="preserve"> </w:t>
            </w:r>
            <m:oMath>
              <m:r>
                <m:rPr>
                  <m:sty m:val="p"/>
                </m:rPr>
                <w:rPr>
                  <w:sz w:val="16"/>
                  <w:szCs w:val="16"/>
                </w:rPr>
                <m:t>≤</m:t>
              </m:r>
            </m:oMath>
            <w:r>
              <w:rPr>
                <w:sz w:val="16"/>
                <w:szCs w:val="16"/>
              </w:rPr>
              <w:t xml:space="preserve"> </w:t>
            </w:r>
            <w:r>
              <w:rPr>
                <w:sz w:val="16"/>
                <w:szCs w:val="16"/>
              </w:rPr>
              <w:t xml:space="preserve">1 slot</w:t>
            </w:r>
          </w:p>
        </w:tc>
        <w:tc>
          <w:tcPr/>
          <w:p>
            <w:pPr>
              <w:pStyle w:val="Compact"/>
              <w:keepNext/>
              <w:spacing w:before="10" w:after="10"/>
              <w:ind w:firstLine="0"/>
              <w:jc w:val="left"/>
              <w:rPr>
                <w:sz w:val="16"/>
                <w:szCs w:val="16"/>
              </w:rPr>
            </w:pPr>
            <w:r>
              <w:rPr>
                <w:sz w:val="16"/>
                <w:szCs w:val="16"/>
              </w:rPr>
              <w:t xml:space="preserve">Pass, 12/12</w:t>
            </w:r>
          </w:p>
        </w:tc>
        <w:tc>
          <w:tcPr/>
          <w:p>
            <w:pPr>
              <w:pStyle w:val="Compact"/>
              <w:keepNext/>
              <w:spacing w:before="10" w:after="10"/>
              <w:ind w:firstLine="0"/>
              <w:jc w:val="left"/>
              <w:rPr>
                <w:sz w:val="16"/>
                <w:szCs w:val="16"/>
              </w:rPr>
            </w:pPr>
            <w:r>
              <w:rPr>
                <w:sz w:val="16"/>
                <w:szCs w:val="16"/>
              </w:rPr>
              <w:t xml:space="preserve">Pass, 12/12</w:t>
            </w:r>
          </w:p>
        </w:tc>
      </w:tr>
      <w:tr>
        <w:trPr>
          <w:cantSplit/>
        </w:trPr>
        <w:tc>
          <w:tcPr/>
          <w:p>
            <w:pPr>
              <w:pStyle w:val="Compact"/>
              <w:keepNext/>
              <w:spacing w:before="10" w:after="10"/>
              <w:ind w:firstLine="0"/>
              <w:jc w:val="left"/>
              <w:rPr>
                <w:sz w:val="16"/>
                <w:szCs w:val="16"/>
              </w:rPr>
            </w:pPr>
            <w:r>
              <w:rPr>
                <w:sz w:val="16"/>
                <w:szCs w:val="16"/>
              </w:rPr>
              <w:t xml:space="preserve">H8</w:t>
            </w:r>
          </w:p>
        </w:tc>
        <w:tc>
          <w:tcPr/>
          <w:p>
            <w:pPr>
              <w:pStyle w:val="Compact"/>
              <w:keepNext/>
              <w:spacing w:before="10" w:after="10"/>
              <w:ind w:firstLine="0"/>
              <w:jc w:val="left"/>
              <w:rPr>
                <w:sz w:val="16"/>
                <w:szCs w:val="16"/>
              </w:rPr>
            </w:pPr>
            <w:r>
              <w:rPr>
                <w:sz w:val="16"/>
                <w:szCs w:val="16"/>
              </w:rPr>
              <w:t xml:space="preserve">A</w:t>
            </w:r>
          </w:p>
        </w:tc>
        <w:tc>
          <w:tcPr/>
          <w:p>
            <w:pPr>
              <w:pStyle w:val="Compact"/>
              <w:keepNext/>
              <w:spacing w:before="10" w:after="10"/>
              <w:ind w:firstLine="0"/>
              <w:jc w:val="left"/>
              <w:rPr>
                <w:sz w:val="16"/>
                <w:szCs w:val="16"/>
              </w:rPr>
            </w:pPr>
            <w:r>
              <w:rPr>
                <w:sz w:val="16"/>
                <w:szCs w:val="16"/>
              </w:rPr>
              <w:t xml:space="preserve">Newest-first packing makes the picture exact with the link up</w:t>
            </w:r>
          </w:p>
        </w:tc>
        <w:tc>
          <w:tcPr/>
          <w:p>
            <w:pPr>
              <w:pStyle w:val="Compact"/>
              <w:keepNext/>
              <w:spacing w:before="10" w:after="10"/>
              <w:ind w:firstLine="0"/>
              <w:jc w:val="left"/>
              <w:rPr>
                <w:sz w:val="16"/>
                <w:szCs w:val="16"/>
              </w:rPr>
            </w:pPr>
            <w:r>
              <w:rPr>
                <w:sz w:val="16"/>
                <w:szCs w:val="16"/>
              </w:rPr>
              <w:t xml:space="preserve">100% within tolerance, no outage, every site</w:t>
            </w:r>
          </w:p>
        </w:tc>
        <w:tc>
          <w:tcPr/>
          <w:p>
            <w:pPr>
              <w:pStyle w:val="Compact"/>
              <w:keepNext/>
              <w:spacing w:before="10" w:after="10"/>
              <w:ind w:firstLine="0"/>
              <w:jc w:val="left"/>
              <w:rPr>
                <w:sz w:val="16"/>
                <w:szCs w:val="16"/>
              </w:rPr>
            </w:pPr>
            <w:r>
              <w:rPr>
                <w:sz w:val="16"/>
                <w:szCs w:val="16"/>
              </w:rPr>
              <w:t xml:space="preserve">Fail as written; pass after D4</w:t>
            </w:r>
          </w:p>
        </w:tc>
        <w:tc>
          <w:tcPr/>
          <w:p>
            <w:pPr>
              <w:pStyle w:val="Compact"/>
              <w:keepNext/>
              <w:spacing w:before="10" w:after="10"/>
              <w:ind w:firstLine="0"/>
              <w:jc w:val="left"/>
              <w:rPr>
                <w:sz w:val="16"/>
                <w:szCs w:val="16"/>
              </w:rPr>
            </w:pPr>
            <w:r>
              <w:rPr>
                <w:sz w:val="16"/>
                <w:szCs w:val="16"/>
              </w:rPr>
              <w:t xml:space="preserve">Pass</w:t>
            </w:r>
          </w:p>
        </w:tc>
      </w:tr>
      <w:tr>
        <w:trPr>
          <w:cantSplit/>
        </w:trPr>
        <w:tc>
          <w:tcPr/>
          <w:p>
            <w:pPr>
              <w:pStyle w:val="Compact"/>
              <w:keepNext/>
              <w:spacing w:before="10" w:after="10"/>
              <w:ind w:firstLine="0"/>
              <w:jc w:val="left"/>
              <w:rPr>
                <w:sz w:val="16"/>
                <w:szCs w:val="16"/>
              </w:rPr>
            </w:pPr>
            <w:r>
              <w:rPr>
                <w:sz w:val="16"/>
                <w:szCs w:val="16"/>
              </w:rPr>
              <w:t xml:space="preserve">H9</w:t>
            </w:r>
          </w:p>
        </w:tc>
        <w:tc>
          <w:tcPr/>
          <w:p>
            <w:pPr>
              <w:pStyle w:val="Compact"/>
              <w:keepNext/>
              <w:spacing w:before="10" w:after="10"/>
              <w:ind w:firstLine="0"/>
              <w:jc w:val="left"/>
              <w:rPr>
                <w:sz w:val="16"/>
                <w:szCs w:val="16"/>
              </w:rPr>
            </w:pPr>
            <w:r>
              <w:rPr>
                <w:sz w:val="16"/>
                <w:szCs w:val="16"/>
              </w:rPr>
              <w:t xml:space="preserve">A</w:t>
            </w:r>
          </w:p>
        </w:tc>
        <w:tc>
          <w:tcPr/>
          <w:p>
            <w:pPr>
              <w:pStyle w:val="Compact"/>
              <w:keepNext/>
              <w:spacing w:before="10" w:after="10"/>
              <w:ind w:firstLine="0"/>
              <w:jc w:val="left"/>
              <w:rPr>
                <w:sz w:val="16"/>
                <w:szCs w:val="16"/>
              </w:rPr>
            </w:pPr>
            <w:r>
              <w:rPr>
                <w:sz w:val="16"/>
                <w:szCs w:val="16"/>
              </w:rPr>
              <w:t xml:space="preserve">H5 holds at tolerances L1 and L3</w:t>
            </w:r>
          </w:p>
        </w:tc>
        <w:tc>
          <w:tcPr/>
          <w:p>
            <w:pPr>
              <w:pStyle w:val="Compact"/>
              <w:keepNext/>
              <w:spacing w:before="10" w:after="10"/>
              <w:ind w:firstLine="0"/>
              <w:jc w:val="left"/>
              <w:rPr>
                <w:sz w:val="16"/>
                <w:szCs w:val="16"/>
              </w:rPr>
            </w:pPr>
            <w:r>
              <w:rPr>
                <w:sz w:val="16"/>
                <w:szCs w:val="16"/>
              </w:rPr>
              <w:t xml:space="preserve">As H5</w:t>
            </w:r>
          </w:p>
        </w:tc>
        <w:tc>
          <w:tcPr/>
          <w:p>
            <w:pPr>
              <w:pStyle w:val="Compact"/>
              <w:keepNext/>
              <w:spacing w:before="10" w:after="10"/>
              <w:ind w:firstLine="0"/>
              <w:jc w:val="left"/>
              <w:rPr>
                <w:sz w:val="16"/>
                <w:szCs w:val="16"/>
              </w:rPr>
            </w:pPr>
            <w:r>
              <w:rPr>
                <w:sz w:val="16"/>
                <w:szCs w:val="16"/>
              </w:rPr>
              <w:t xml:space="preserve">Pass, 48/48, 48/48</w:t>
            </w:r>
          </w:p>
        </w:tc>
        <w:tc>
          <w:tcPr/>
          <w:p>
            <w:pPr>
              <w:pStyle w:val="Compact"/>
              <w:keepNext/>
              <w:spacing w:before="10" w:after="10"/>
              <w:ind w:firstLine="0"/>
              <w:jc w:val="left"/>
              <w:rPr>
                <w:sz w:val="16"/>
                <w:szCs w:val="16"/>
              </w:rPr>
            </w:pPr>
            <w:r>
              <w:rPr>
                <w:sz w:val="16"/>
                <w:szCs w:val="16"/>
              </w:rPr>
              <w:t xml:space="preserve">Pass, 48/48, 48/48</w:t>
            </w:r>
          </w:p>
        </w:tc>
      </w:tr>
      <w:tr>
        <w:trPr>
          <w:cantSplit/>
        </w:trPr>
        <w:tc>
          <w:tcPr/>
          <w:p>
            <w:pPr>
              <w:pStyle w:val="Compact"/>
              <w:spacing w:before="10" w:after="10"/>
              <w:ind w:firstLine="0"/>
              <w:jc w:val="left"/>
              <w:rPr>
                <w:sz w:val="16"/>
                <w:szCs w:val="16"/>
              </w:rPr>
            </w:pPr>
            <w:r>
              <w:rPr>
                <w:sz w:val="16"/>
                <w:szCs w:val="16"/>
              </w:rPr>
              <w:t xml:space="preserve">H10</w:t>
            </w:r>
          </w:p>
        </w:tc>
        <w:tc>
          <w:tcPr/>
          <w:p>
            <w:pPr>
              <w:pStyle w:val="Compact"/>
              <w:spacing w:before="10" w:after="10"/>
              <w:ind w:firstLine="0"/>
              <w:jc w:val="left"/>
              <w:rPr>
                <w:sz w:val="16"/>
                <w:szCs w:val="16"/>
              </w:rPr>
            </w:pPr>
            <w:r>
              <w:rPr>
                <w:sz w:val="16"/>
                <w:szCs w:val="16"/>
              </w:rPr>
              <w:t xml:space="preserve">A</w:t>
            </w:r>
          </w:p>
        </w:tc>
        <w:tc>
          <w:tcPr/>
          <w:p>
            <w:pPr>
              <w:pStyle w:val="Compact"/>
              <w:spacing w:before="10" w:after="10"/>
              <w:ind w:firstLine="0"/>
              <w:jc w:val="left"/>
              <w:rPr>
                <w:sz w:val="16"/>
                <w:szCs w:val="16"/>
              </w:rPr>
            </w:pPr>
            <w:r>
              <w:rPr>
                <w:sz w:val="16"/>
                <w:szCs w:val="16"/>
              </w:rPr>
              <w:t xml:space="preserve">H6 holds at tolerances L1 and L3</w:t>
            </w:r>
          </w:p>
        </w:tc>
        <w:tc>
          <w:tcPr/>
          <w:p>
            <w:pPr>
              <w:pStyle w:val="Compact"/>
              <w:spacing w:before="10" w:after="10"/>
              <w:ind w:firstLine="0"/>
              <w:jc w:val="left"/>
              <w:rPr>
                <w:sz w:val="16"/>
                <w:szCs w:val="16"/>
              </w:rPr>
            </w:pPr>
            <w:r>
              <w:rPr>
                <w:sz w:val="16"/>
                <w:szCs w:val="16"/>
              </w:rPr>
              <w:t xml:space="preserve">As H6</w:t>
            </w:r>
          </w:p>
        </w:tc>
        <w:tc>
          <w:tcPr/>
          <w:p>
            <w:pPr>
              <w:pStyle w:val="Compact"/>
              <w:spacing w:before="10" w:after="10"/>
              <w:ind w:firstLine="0"/>
              <w:jc w:val="left"/>
              <w:rPr>
                <w:sz w:val="16"/>
                <w:szCs w:val="16"/>
              </w:rPr>
            </w:pPr>
            <w:r>
              <w:rPr>
                <w:sz w:val="16"/>
                <w:szCs w:val="16"/>
              </w:rPr>
              <w:t xml:space="preserve">Pass, 12/12, 12/12</w:t>
            </w:r>
          </w:p>
        </w:tc>
        <w:tc>
          <w:tcPr/>
          <w:p>
            <w:pPr>
              <w:pStyle w:val="Compact"/>
              <w:spacing w:before="10" w:after="10"/>
              <w:ind w:firstLine="0"/>
              <w:jc w:val="left"/>
              <w:rPr>
                <w:sz w:val="16"/>
                <w:szCs w:val="16"/>
              </w:rPr>
            </w:pPr>
            <w:r>
              <w:rPr>
                <w:sz w:val="16"/>
                <w:szCs w:val="16"/>
              </w:rPr>
              <w:t xml:space="preserve">Pass, 12/12, 12/12</w:t>
            </w:r>
          </w:p>
        </w:tc>
      </w:tr>
    </w:tbl>
    <w:bookmarkEnd w:id="35"/>
    <w:bookmarkEnd w:id="36"/>
    <w:bookmarkStart w:id="42" w:name="sec:des-results"/>
    <w:p>
      <w:pPr>
        <w:pStyle w:val="Heading2"/>
      </w:pPr>
      <w:r>
        <w:t xml:space="preserve">C. Results</w:t>
      </w:r>
    </w:p>
    <w:p>
      <w:pPr>
        <w:pStyle w:val="FirstParagraph"/>
      </w:pPr>
      <w:r>
        <w:t xml:space="preserve">Alarms (H1, H7): With the link up, event-driven batching raised alarms as fast as per-reading ARQ in both years (Table VII); the median latency of approximately an hour is the detector’s own. Plain hourly batching was slower in every combination, by 0.43–0.50 h in 2024, and the bounded-error trigger did not delay the alarms. Counting all injected events, the server knew 34% within an hour with event-driven batching on the no-outage link, as with per-reading reporting, against 21% with hourly batching; the ceiling is detection, not reporting.</w:t>
      </w:r>
    </w:p>
    <w:bookmarkStart w:id="37" w:name="tab:design"/>
    <w:p>
      <w:pPr>
        <w:pStyle w:val="TableCaption"/>
        <w:spacing w:before="200" w:after="0"/>
      </w:pPr>
      <w:r>
        <w:rPr/>
        <w:t xml:space="preserve">Table VII</w:t>
      </w:r>
    </w:p>
    <w:p>
      <w:pPr>
        <w:pStyle w:val="TableCaption"/>
      </w:pPr>
      <w:r>
        <w:t xml:space="preserve">Held-out year (2024): alarm latency with the link up (median over sites, h) and transmission energy (median over sites, J/day); LoRaWAN SF7. ARQ: ARQ + buffer.</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0" w:lastRow="0" w:firstColumn="0" w:lastColumn="0" w:noHBand="0" w:noVBand="0" w:val="0000"/>
        <w:tblCaption w:val="@@TAB:VII:N:S@@Held-out year (2024): alarm latency with the link up (median over sites, h) and transmission energy (median over sites, J/day); LoRaWAN SF7. ARQ: ARQ + buffer."/>
      </w:tblPr>
      <w:tblGrid>
        <w:gridCol w:w="880"/>
        <w:gridCol w:w="880"/>
        <w:gridCol w:w="880"/>
        <w:gridCol w:w="880"/>
        <w:gridCol w:w="880"/>
        <w:gridCol w:w="880"/>
        <w:gridCol w:w="880"/>
        <w:gridCol w:w="880"/>
        <w:gridCol w:w="880"/>
      </w:tblGrid>
      <w:tr>
        <w:trPr>
          <w:cantSplit/>
        </w:trPr>
        <w:tc>
          <w:tcPr>
            <w:tcBorders>
              <w:bottom w:val="single" w:sz="4" w:space="0" w:color="000000"/>
            </w:tcBorders>
          </w:tcPr>
          <w:p>
            <w:pPr>
              <w:pStyle w:val="Compact"/>
              <w:keepNext/>
              <w:spacing w:before="10" w:after="10"/>
              <w:ind w:firstLine="0"/>
              <w:rPr>
                <w:sz w:val="14"/>
                <w:szCs w:val="14"/>
              </w:rPr>
            </w:pPr>
          </w:p>
        </w:tc>
        <w:tc>
          <w:tcPr>
            <w:gridSpan w:val="4"/>
            <w:tcBorders>
              <w:bottom w:val="single" w:sz="4" w:space="0" w:color="000000"/>
            </w:tcBorders>
          </w:tcPr>
          <w:p>
            <w:pPr>
              <w:pStyle w:val="Compact"/>
              <w:keepNext/>
              <w:spacing w:before="10" w:after="10"/>
              <w:ind w:firstLine="0"/>
              <w:jc w:val="center"/>
              <w:rPr>
                <w:sz w:val="14"/>
                <w:szCs w:val="14"/>
              </w:rPr>
            </w:pPr>
            <w:r>
              <w:rPr>
                <w:sz w:val="14"/>
                <w:szCs w:val="14"/>
              </w:rPr>
              <w:t xml:space="preserve">Alarm latency (h)</w:t>
            </w:r>
          </w:p>
        </w:tc>
        <w:tc>
          <w:tcPr>
            <w:gridSpan w:val="4"/>
            <w:tcBorders>
              <w:bottom w:val="single" w:sz="4" w:space="0" w:color="000000"/>
            </w:tcBorders>
          </w:tcPr>
          <w:p>
            <w:pPr>
              <w:pStyle w:val="Compact"/>
              <w:keepNext/>
              <w:spacing w:before="10" w:after="10"/>
              <w:ind w:firstLine="0"/>
              <w:jc w:val="center"/>
              <w:rPr>
                <w:sz w:val="14"/>
                <w:szCs w:val="14"/>
              </w:rPr>
            </w:pPr>
            <w:r>
              <w:rPr>
                <w:sz w:val="14"/>
                <w:szCs w:val="14"/>
              </w:rPr>
              <w:t xml:space="preserve">Energy (J/day)</w:t>
            </w:r>
          </w:p>
        </w:tc>
      </w:tr>
      <w:tr>
        <w:trPr>
          <w:cantSplit/>
        </w:trPr>
        <w:tc>
          <w:tcPr/>
          <w:p>
            <w:pPr>
              <w:pStyle w:val="Compact"/>
              <w:keepNext/>
              <w:spacing w:before="10" w:after="10"/>
              <w:ind w:firstLine="0"/>
              <w:jc w:val="left"/>
              <w:rPr>
                <w:sz w:val="14"/>
                <w:szCs w:val="14"/>
              </w:rPr>
            </w:pPr>
            <w:r>
              <w:rPr>
                <w:sz w:val="14"/>
                <w:szCs w:val="14"/>
              </w:rPr>
              <w:t xml:space="preserve">Link</w:t>
            </w:r>
          </w:p>
        </w:tc>
        <w:tc>
          <w:tcPr/>
          <w:p>
            <w:pPr>
              <w:pStyle w:val="Compact"/>
              <w:keepNext/>
              <w:spacing w:before="10" w:after="10"/>
              <w:ind w:firstLine="0"/>
              <w:jc w:val="right"/>
              <w:rPr>
                <w:sz w:val="14"/>
                <w:szCs w:val="14"/>
              </w:rPr>
            </w:pPr>
            <w:r>
              <w:rPr>
                <w:sz w:val="14"/>
                <w:szCs w:val="14"/>
              </w:rPr>
              <w:t xml:space="preserve">ARQ</w:t>
            </w:r>
          </w:p>
        </w:tc>
        <w:tc>
          <w:tcPr/>
          <w:p>
            <w:pPr>
              <w:pStyle w:val="Compact"/>
              <w:keepNext/>
              <w:spacing w:before="10" w:after="10"/>
              <w:ind w:firstLine="0"/>
              <w:jc w:val="right"/>
              <w:rPr>
                <w:sz w:val="14"/>
                <w:szCs w:val="14"/>
              </w:rPr>
            </w:pPr>
            <w:r>
              <w:rPr>
                <w:sz w:val="14"/>
                <w:szCs w:val="14"/>
              </w:rPr>
              <w:t xml:space="preserve">Batch</w:t>
            </w:r>
          </w:p>
        </w:tc>
        <w:tc>
          <w:tcPr/>
          <w:p>
            <w:pPr>
              <w:pStyle w:val="Compact"/>
              <w:keepNext/>
              <w:spacing w:before="10" w:after="10"/>
              <w:ind w:firstLine="0"/>
              <w:jc w:val="right"/>
              <w:rPr>
                <w:sz w:val="14"/>
                <w:szCs w:val="14"/>
              </w:rPr>
            </w:pPr>
            <w:r>
              <w:rPr>
                <w:sz w:val="14"/>
                <w:szCs w:val="14"/>
              </w:rPr>
              <w:t xml:space="preserve">Event</w:t>
            </w:r>
          </w:p>
        </w:tc>
        <w:tc>
          <w:tcPr/>
          <w:p>
            <w:pPr>
              <w:pStyle w:val="Compact"/>
              <w:keepNext/>
              <w:spacing w:before="10" w:after="10"/>
              <w:ind w:firstLine="0"/>
              <w:jc w:val="right"/>
              <w:rPr>
                <w:sz w:val="14"/>
                <w:szCs w:val="14"/>
              </w:rPr>
            </w:pPr>
            <w:r>
              <w:rPr>
                <w:sz w:val="14"/>
                <w:szCs w:val="14"/>
              </w:rPr>
              <w:t xml:space="preserve">Bounded</w:t>
            </w:r>
          </w:p>
        </w:tc>
        <w:tc>
          <w:tcPr/>
          <w:p>
            <w:pPr>
              <w:pStyle w:val="Compact"/>
              <w:keepNext/>
              <w:spacing w:before="10" w:after="10"/>
              <w:ind w:firstLine="0"/>
              <w:jc w:val="right"/>
              <w:rPr>
                <w:sz w:val="14"/>
                <w:szCs w:val="14"/>
              </w:rPr>
            </w:pPr>
            <w:r>
              <w:rPr>
                <w:sz w:val="14"/>
                <w:szCs w:val="14"/>
              </w:rPr>
              <w:t xml:space="preserve">ARQ</w:t>
            </w:r>
          </w:p>
        </w:tc>
        <w:tc>
          <w:tcPr/>
          <w:p>
            <w:pPr>
              <w:pStyle w:val="Compact"/>
              <w:keepNext/>
              <w:spacing w:before="10" w:after="10"/>
              <w:ind w:firstLine="0"/>
              <w:jc w:val="right"/>
              <w:rPr>
                <w:sz w:val="14"/>
                <w:szCs w:val="14"/>
              </w:rPr>
            </w:pPr>
            <w:r>
              <w:rPr>
                <w:sz w:val="14"/>
                <w:szCs w:val="14"/>
              </w:rPr>
              <w:t xml:space="preserve">Batch</w:t>
            </w:r>
          </w:p>
        </w:tc>
        <w:tc>
          <w:tcPr/>
          <w:p>
            <w:pPr>
              <w:pStyle w:val="Compact"/>
              <w:keepNext/>
              <w:spacing w:before="10" w:after="10"/>
              <w:ind w:firstLine="0"/>
              <w:jc w:val="right"/>
              <w:rPr>
                <w:sz w:val="14"/>
                <w:szCs w:val="14"/>
              </w:rPr>
            </w:pPr>
            <w:r>
              <w:rPr>
                <w:sz w:val="14"/>
                <w:szCs w:val="14"/>
              </w:rPr>
              <w:t xml:space="preserve">Event</w:t>
            </w:r>
          </w:p>
        </w:tc>
        <w:tc>
          <w:tcPr/>
          <w:p>
            <w:pPr>
              <w:pStyle w:val="Compact"/>
              <w:keepNext/>
              <w:spacing w:before="10" w:after="10"/>
              <w:ind w:firstLine="0"/>
              <w:jc w:val="right"/>
              <w:rPr>
                <w:sz w:val="14"/>
                <w:szCs w:val="14"/>
              </w:rPr>
            </w:pPr>
            <w:r>
              <w:rPr>
                <w:sz w:val="14"/>
                <w:szCs w:val="14"/>
              </w:rPr>
              <w:t xml:space="preserve">Bounded</w:t>
            </w:r>
          </w:p>
        </w:tc>
      </w:tr>
      <w:tr>
        <w:trPr>
          <w:cantSplit/>
        </w:trPr>
        <w:tc>
          <w:tcPr/>
          <w:p>
            <w:pPr>
              <w:pStyle w:val="Compact"/>
              <w:keepNext/>
              <w:spacing w:before="10" w:after="10"/>
              <w:ind w:firstLine="0"/>
              <w:jc w:val="left"/>
              <w:rPr>
                <w:sz w:val="14"/>
                <w:szCs w:val="14"/>
              </w:rPr>
            </w:pPr>
            <w:r>
              <w:rPr>
                <w:sz w:val="14"/>
                <w:szCs w:val="14"/>
              </w:rPr>
              <w:t xml:space="preserve">No outage</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1.25</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34.2</w:t>
            </w:r>
          </w:p>
        </w:tc>
        <w:tc>
          <w:tcPr/>
          <w:p>
            <w:pPr>
              <w:pStyle w:val="Compact"/>
              <w:keepNext/>
              <w:spacing w:before="10" w:after="10"/>
              <w:ind w:firstLine="0"/>
              <w:jc w:val="right"/>
              <w:rPr>
                <w:sz w:val="14"/>
                <w:szCs w:val="14"/>
              </w:rPr>
            </w:pPr>
            <w:r>
              <w:rPr>
                <w:sz w:val="14"/>
                <w:szCs w:val="14"/>
              </w:rPr>
              <w:t xml:space="preserve">9.0</w:t>
            </w:r>
          </w:p>
        </w:tc>
        <w:tc>
          <w:tcPr/>
          <w:p>
            <w:pPr>
              <w:pStyle w:val="Compact"/>
              <w:keepNext/>
              <w:spacing w:before="10" w:after="10"/>
              <w:ind w:firstLine="0"/>
              <w:jc w:val="right"/>
              <w:rPr>
                <w:sz w:val="14"/>
                <w:szCs w:val="14"/>
              </w:rPr>
            </w:pPr>
            <w:r>
              <w:rPr>
                <w:sz w:val="14"/>
                <w:szCs w:val="14"/>
              </w:rPr>
              <w:t xml:space="preserve">9.0</w:t>
            </w:r>
          </w:p>
        </w:tc>
        <w:tc>
          <w:tcPr/>
          <w:p>
            <w:pPr>
              <w:pStyle w:val="Compact"/>
              <w:keepNext/>
              <w:spacing w:before="10" w:after="10"/>
              <w:ind w:firstLine="0"/>
              <w:jc w:val="right"/>
              <w:rPr>
                <w:sz w:val="14"/>
                <w:szCs w:val="14"/>
              </w:rPr>
            </w:pPr>
            <w:r>
              <w:rPr>
                <w:sz w:val="14"/>
                <w:szCs w:val="14"/>
              </w:rPr>
              <w:t xml:space="preserve">11.4</w:t>
            </w:r>
          </w:p>
        </w:tc>
      </w:tr>
      <w:tr>
        <w:trPr>
          <w:cantSplit/>
        </w:trPr>
        <w:tc>
          <w:tcPr/>
          <w:p>
            <w:pPr>
              <w:pStyle w:val="Compact"/>
              <w:keepNext/>
              <w:spacing w:before="10" w:after="10"/>
              <w:ind w:firstLine="0"/>
              <w:jc w:val="left"/>
              <w:rPr>
                <w:sz w:val="14"/>
                <w:szCs w:val="14"/>
              </w:rPr>
            </w:pPr>
            <w:r>
              <w:rPr>
                <w:sz w:val="14"/>
                <w:szCs w:val="14"/>
              </w:rPr>
              <w:t xml:space="preserve">UVA</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1.25</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36.1</w:t>
            </w:r>
          </w:p>
        </w:tc>
        <w:tc>
          <w:tcPr/>
          <w:p>
            <w:pPr>
              <w:pStyle w:val="Compact"/>
              <w:keepNext/>
              <w:spacing w:before="10" w:after="10"/>
              <w:ind w:firstLine="0"/>
              <w:jc w:val="right"/>
              <w:rPr>
                <w:sz w:val="14"/>
                <w:szCs w:val="14"/>
              </w:rPr>
            </w:pPr>
            <w:r>
              <w:rPr>
                <w:sz w:val="14"/>
                <w:szCs w:val="14"/>
              </w:rPr>
              <w:t xml:space="preserve">9.6</w:t>
            </w:r>
          </w:p>
        </w:tc>
        <w:tc>
          <w:tcPr/>
          <w:p>
            <w:pPr>
              <w:pStyle w:val="Compact"/>
              <w:keepNext/>
              <w:spacing w:before="10" w:after="10"/>
              <w:ind w:firstLine="0"/>
              <w:jc w:val="right"/>
              <w:rPr>
                <w:sz w:val="14"/>
                <w:szCs w:val="14"/>
              </w:rPr>
            </w:pPr>
            <w:r>
              <w:rPr>
                <w:sz w:val="14"/>
                <w:szCs w:val="14"/>
              </w:rPr>
              <w:t xml:space="preserve">9.7</w:t>
            </w:r>
          </w:p>
        </w:tc>
        <w:tc>
          <w:tcPr/>
          <w:p>
            <w:pPr>
              <w:pStyle w:val="Compact"/>
              <w:keepNext/>
              <w:spacing w:before="10" w:after="10"/>
              <w:ind w:firstLine="0"/>
              <w:jc w:val="right"/>
              <w:rPr>
                <w:sz w:val="14"/>
                <w:szCs w:val="14"/>
              </w:rPr>
            </w:pPr>
            <w:r>
              <w:rPr>
                <w:sz w:val="14"/>
                <w:szCs w:val="14"/>
              </w:rPr>
              <w:t xml:space="preserve">12.2</w:t>
            </w:r>
          </w:p>
        </w:tc>
      </w:tr>
      <w:tr>
        <w:trPr>
          <w:cantSplit/>
        </w:trPr>
        <w:tc>
          <w:tcPr/>
          <w:p>
            <w:pPr>
              <w:pStyle w:val="Compact"/>
              <w:keepNext/>
              <w:spacing w:before="10" w:after="10"/>
              <w:ind w:firstLine="0"/>
              <w:jc w:val="left"/>
              <w:rPr>
                <w:sz w:val="14"/>
                <w:szCs w:val="14"/>
              </w:rPr>
            </w:pPr>
            <w:r>
              <w:rPr>
                <w:sz w:val="14"/>
                <w:szCs w:val="14"/>
              </w:rPr>
              <w:t xml:space="preserve">Weija</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1.25</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32.2</w:t>
            </w:r>
          </w:p>
        </w:tc>
        <w:tc>
          <w:tcPr/>
          <w:p>
            <w:pPr>
              <w:pStyle w:val="Compact"/>
              <w:keepNext/>
              <w:spacing w:before="10" w:after="10"/>
              <w:ind w:firstLine="0"/>
              <w:jc w:val="right"/>
              <w:rPr>
                <w:sz w:val="14"/>
                <w:szCs w:val="14"/>
              </w:rPr>
            </w:pPr>
            <w:r>
              <w:rPr>
                <w:sz w:val="14"/>
                <w:szCs w:val="14"/>
              </w:rPr>
              <w:t xml:space="preserve">10.7</w:t>
            </w:r>
          </w:p>
        </w:tc>
        <w:tc>
          <w:tcPr/>
          <w:p>
            <w:pPr>
              <w:pStyle w:val="Compact"/>
              <w:keepNext/>
              <w:spacing w:before="10" w:after="10"/>
              <w:ind w:firstLine="0"/>
              <w:jc w:val="right"/>
              <w:rPr>
                <w:sz w:val="14"/>
                <w:szCs w:val="14"/>
              </w:rPr>
            </w:pPr>
            <w:r>
              <w:rPr>
                <w:sz w:val="14"/>
                <w:szCs w:val="14"/>
              </w:rPr>
              <w:t xml:space="preserve">10.9</w:t>
            </w:r>
          </w:p>
        </w:tc>
        <w:tc>
          <w:tcPr/>
          <w:p>
            <w:pPr>
              <w:pStyle w:val="Compact"/>
              <w:keepNext/>
              <w:spacing w:before="10" w:after="10"/>
              <w:ind w:firstLine="0"/>
              <w:jc w:val="right"/>
              <w:rPr>
                <w:sz w:val="14"/>
                <w:szCs w:val="14"/>
              </w:rPr>
            </w:pPr>
            <w:r>
              <w:rPr>
                <w:sz w:val="14"/>
                <w:szCs w:val="14"/>
              </w:rPr>
              <w:t xml:space="preserve">13.0</w:t>
            </w:r>
          </w:p>
        </w:tc>
      </w:tr>
      <w:tr>
        <w:trPr>
          <w:cantSplit/>
        </w:trPr>
        <w:tc>
          <w:tcPr/>
          <w:p>
            <w:pPr>
              <w:pStyle w:val="Compact"/>
              <w:spacing w:before="10" w:after="10"/>
              <w:ind w:firstLine="0"/>
              <w:jc w:val="left"/>
              <w:rPr>
                <w:sz w:val="14"/>
                <w:szCs w:val="14"/>
              </w:rPr>
            </w:pPr>
            <w:r>
              <w:rPr>
                <w:sz w:val="14"/>
                <w:szCs w:val="14"/>
              </w:rPr>
              <w:t xml:space="preserve">InWaterSense</w:t>
            </w:r>
          </w:p>
        </w:tc>
        <w:tc>
          <w:tcPr/>
          <w:p>
            <w:pPr>
              <w:pStyle w:val="Compact"/>
              <w:spacing w:before="10" w:after="10"/>
              <w:ind w:firstLine="0"/>
              <w:jc w:val="right"/>
              <w:rPr>
                <w:sz w:val="14"/>
                <w:szCs w:val="14"/>
              </w:rPr>
            </w:pPr>
            <w:r>
              <w:rPr>
                <w:sz w:val="14"/>
                <w:szCs w:val="14"/>
              </w:rPr>
              <w:t xml:space="preserve">1.00</w:t>
            </w:r>
          </w:p>
        </w:tc>
        <w:tc>
          <w:tcPr/>
          <w:p>
            <w:pPr>
              <w:pStyle w:val="Compact"/>
              <w:spacing w:before="10" w:after="10"/>
              <w:ind w:firstLine="0"/>
              <w:jc w:val="right"/>
              <w:rPr>
                <w:sz w:val="14"/>
                <w:szCs w:val="14"/>
              </w:rPr>
            </w:pPr>
            <w:r>
              <w:rPr>
                <w:sz w:val="14"/>
                <w:szCs w:val="14"/>
              </w:rPr>
              <w:t xml:space="preserve">1.50</w:t>
            </w:r>
          </w:p>
        </w:tc>
        <w:tc>
          <w:tcPr/>
          <w:p>
            <w:pPr>
              <w:pStyle w:val="Compact"/>
              <w:spacing w:before="10" w:after="10"/>
              <w:ind w:firstLine="0"/>
              <w:jc w:val="right"/>
              <w:rPr>
                <w:sz w:val="14"/>
                <w:szCs w:val="14"/>
              </w:rPr>
            </w:pPr>
            <w:r>
              <w:rPr>
                <w:sz w:val="14"/>
                <w:szCs w:val="14"/>
              </w:rPr>
              <w:t xml:space="preserve">1.00</w:t>
            </w:r>
          </w:p>
        </w:tc>
        <w:tc>
          <w:tcPr/>
          <w:p>
            <w:pPr>
              <w:pStyle w:val="Compact"/>
              <w:spacing w:before="10" w:after="10"/>
              <w:ind w:firstLine="0"/>
              <w:jc w:val="right"/>
              <w:rPr>
                <w:sz w:val="14"/>
                <w:szCs w:val="14"/>
              </w:rPr>
            </w:pPr>
            <w:r>
              <w:rPr>
                <w:sz w:val="14"/>
                <w:szCs w:val="14"/>
              </w:rPr>
              <w:t xml:space="preserve">1.00</w:t>
            </w:r>
          </w:p>
        </w:tc>
        <w:tc>
          <w:tcPr/>
          <w:p>
            <w:pPr>
              <w:pStyle w:val="Compact"/>
              <w:spacing w:before="10" w:after="10"/>
              <w:ind w:firstLine="0"/>
              <w:jc w:val="right"/>
              <w:rPr>
                <w:sz w:val="14"/>
                <w:szCs w:val="14"/>
              </w:rPr>
            </w:pPr>
            <w:r>
              <w:rPr>
                <w:sz w:val="14"/>
                <w:szCs w:val="14"/>
              </w:rPr>
              <w:t xml:space="preserve">37.1</w:t>
            </w:r>
          </w:p>
        </w:tc>
        <w:tc>
          <w:tcPr/>
          <w:p>
            <w:pPr>
              <w:pStyle w:val="Compact"/>
              <w:spacing w:before="10" w:after="10"/>
              <w:ind w:firstLine="0"/>
              <w:jc w:val="right"/>
              <w:rPr>
                <w:sz w:val="14"/>
                <w:szCs w:val="14"/>
              </w:rPr>
            </w:pPr>
            <w:r>
              <w:rPr>
                <w:sz w:val="14"/>
                <w:szCs w:val="14"/>
              </w:rPr>
              <w:t xml:space="preserve">18.4</w:t>
            </w:r>
          </w:p>
        </w:tc>
        <w:tc>
          <w:tcPr/>
          <w:p>
            <w:pPr>
              <w:pStyle w:val="Compact"/>
              <w:spacing w:before="10" w:after="10"/>
              <w:ind w:firstLine="0"/>
              <w:jc w:val="right"/>
              <w:rPr>
                <w:sz w:val="14"/>
                <w:szCs w:val="14"/>
              </w:rPr>
            </w:pPr>
            <w:r>
              <w:rPr>
                <w:sz w:val="14"/>
                <w:szCs w:val="14"/>
              </w:rPr>
              <w:t xml:space="preserve">18.7</w:t>
            </w:r>
          </w:p>
        </w:tc>
        <w:tc>
          <w:tcPr/>
          <w:p>
            <w:pPr>
              <w:pStyle w:val="Compact"/>
              <w:spacing w:before="10" w:after="10"/>
              <w:ind w:firstLine="0"/>
              <w:jc w:val="right"/>
              <w:rPr>
                <w:sz w:val="14"/>
                <w:szCs w:val="14"/>
              </w:rPr>
            </w:pPr>
            <w:r>
              <w:rPr>
                <w:sz w:val="14"/>
                <w:szCs w:val="14"/>
              </w:rPr>
              <w:t xml:space="preserve">21.4</w:t>
            </w:r>
          </w:p>
        </w:tc>
      </w:tr>
    </w:tbl>
    <w:bookmarkEnd w:id="37"/>
    <w:p>
      <w:pPr>
        <w:pStyle w:val="BodyText"/>
      </w:pPr>
      <w:r>
        <w:t xml:space="preserve">Energy (H2, H6): Alarms were rare (a median of 0.13 per node per day); therefore, event-driven batching cost 1.00</w:t>
      </w:r>
      <m:oMath>
        <m:r>
          <m:rPr>
            <m:sty m:val="p"/>
          </m:rPr>
          <m:t>×</m:t>
        </m:r>
      </m:oMath>
      <w:r>
        <w:t xml:space="preserve">–1.02</w:t>
      </w:r>
      <m:oMath>
        <m:r>
          <m:rPr>
            <m:sty m:val="p"/>
          </m:rPr>
          <m:t>×</m:t>
        </m:r>
      </m:oMath>
      <w:r>
        <w:t xml:space="preserve"> </w:t>
      </w:r>
      <w:r>
        <w:t xml:space="preserve">as much as plain batching. The bounded-error trigger added uploads between batches, at 1.05</w:t>
      </w:r>
      <m:oMath>
        <m:r>
          <m:rPr>
            <m:sty m:val="p"/>
          </m:rPr>
          <m:t>×</m:t>
        </m:r>
      </m:oMath>
      <w:r>
        <w:t xml:space="preserve">–1.28</w:t>
      </w:r>
      <m:oMath>
        <m:r>
          <m:rPr>
            <m:sty m:val="p"/>
          </m:rPr>
          <m:t>×</m:t>
        </m:r>
      </m:oMath>
      <w:r>
        <w:t xml:space="preserve"> </w:t>
      </w:r>
      <w:r>
        <w:t xml:space="preserve">the energy of plain batching, and per-reading ARQ still used 1.34</w:t>
      </w:r>
      <m:oMath>
        <m:r>
          <m:rPr>
            <m:sty m:val="p"/>
          </m:rPr>
          <m:t>×</m:t>
        </m:r>
      </m:oMath>
      <w:r>
        <w:t xml:space="preserve">–2.55</w:t>
      </w:r>
      <m:oMath>
        <m:r>
          <m:rPr>
            <m:sty m:val="p"/>
          </m:rPr>
          <m:t>×</m:t>
        </m:r>
      </m:oMath>
      <w:r>
        <w:t xml:space="preserve"> </w:t>
      </w:r>
      <w:r>
        <w:t xml:space="preserve">as much energy as the bounded design (every site-resampled 95% interval above 1.28</w:t>
      </w:r>
      <m:oMath>
        <m:r>
          <m:rPr>
            <m:sty m:val="p"/>
          </m:rPr>
          <m:t>×</m:t>
        </m:r>
      </m:oMath>
      <w:r>
        <w:t xml:space="preserve">; 2023: 1.32</w:t>
      </w:r>
      <m:oMath>
        <m:r>
          <m:rPr>
            <m:sty m:val="p"/>
          </m:rPr>
          <m:t>×</m:t>
        </m:r>
      </m:oMath>
      <w:r>
        <w:t xml:space="preserve">–2.51</w:t>
      </w:r>
      <m:oMath>
        <m:r>
          <m:rPr>
            <m:sty m:val="p"/>
          </m:rPr>
          <m:t>×</m:t>
        </m:r>
      </m:oMath>
      <w:r>
        <w:t xml:space="preserve">).</w:t>
      </w:r>
    </w:p>
    <w:p>
      <w:pPr>
        <w:pStyle w:val="BodyText"/>
      </w:pPr>
      <w:r>
        <w:t xml:space="preserve">Picture (H4, H5): Plain event-driven batching failed H4 in both years, for DO only: an estimate up to an hour old leaves the tolerance between batches, and the share of slots within tolerance differed from that of per-reading reporting by</w:t>
      </w:r>
      <w:r>
        <w:t xml:space="preserve"> </w:t>
      </w:r>
      <m:oMath>
        <m:r>
          <m:rPr>
            <m:sty m:val="p"/>
          </m:rPr>
          <m:t>−</m:t>
        </m:r>
        <m:r>
          <m:t>9.0</m:t>
        </m:r>
      </m:oMath>
      <w:r>
        <w:t xml:space="preserve"> </w:t>
      </w:r>
      <w:r>
        <w:t xml:space="preserve">to</w:t>
      </w:r>
      <w:r>
        <w:t xml:space="preserve"> </w:t>
      </w:r>
      <m:oMath>
        <m:r>
          <m:rPr>
            <m:sty m:val="p"/>
          </m:rPr>
          <m:t>−</m:t>
        </m:r>
        <m:r>
          <m:t>6.9</m:t>
        </m:r>
      </m:oMath>
      <w:r>
        <w:t xml:space="preserve"> </w:t>
      </w:r>
      <w:r>
        <w:t xml:space="preserve">points. The failures occurred with no outage at all; they are a property of hourly batching. (In the first development run, H4 also failed for pH; those failures were caused by the tolerance tie, not by batching.) The bounded-error trigger removed the failure: its share differed from that of per-reading reporting by</w:t>
      </w:r>
      <w:r>
        <w:t xml:space="preserve"> </w:t>
      </w:r>
      <m:oMath>
        <m:r>
          <m:rPr>
            <m:sty m:val="p"/>
          </m:rPr>
          <m:t>−</m:t>
        </m:r>
        <m:r>
          <m:t>0.01</m:t>
        </m:r>
      </m:oMath>
      <w:r>
        <w:t xml:space="preserve"> </w:t>
      </w:r>
      <w:r>
        <w:t xml:space="preserve">to</w:t>
      </w:r>
      <w:r>
        <w:t xml:space="preserve"> </w:t>
      </w:r>
      <m:oMath>
        <m:r>
          <m:rPr>
            <m:sty m:val="p"/>
          </m:rPr>
          <m:t>+</m:t>
        </m:r>
        <m:r>
          <m:t>0.56</m:t>
        </m:r>
      </m:oMath>
      <w:r>
        <w:t xml:space="preserve"> </w:t>
      </w:r>
      <w:r>
        <w:t xml:space="preserve">points for every parameter, link, and radio (Fig. 2), and with the link up, it was within tolerance at every slot (H8, after the packing-order fix D4). The bound costs more at tighter tolerances, yet per-reading ARQ used 1.20</w:t>
      </w:r>
      <m:oMath>
        <m:r>
          <m:rPr>
            <m:sty m:val="p"/>
          </m:rPr>
          <m:t>×</m:t>
        </m:r>
      </m:oMath>
      <w:r>
        <w:t xml:space="preserve">–1.57</w:t>
      </w:r>
      <m:oMath>
        <m:r>
          <m:rPr>
            <m:sty m:val="p"/>
          </m:rPr>
          <m:t>×</m:t>
        </m:r>
      </m:oMath>
      <w:r>
        <w:t xml:space="preserve"> </w:t>
      </w:r>
      <w:r>
        <w:t xml:space="preserve">the bounded design’s energy at L1 and 1.40</w:t>
      </w:r>
      <m:oMath>
        <m:r>
          <m:rPr>
            <m:sty m:val="p"/>
          </m:rPr>
          <m:t>×</m:t>
        </m:r>
      </m:oMath>
      <w:r>
        <w:t xml:space="preserve">–3.47</w:t>
      </w:r>
      <m:oMath>
        <m:r>
          <m:rPr>
            <m:sty m:val="p"/>
          </m:rPr>
          <m:t>×</m:t>
        </m:r>
      </m:oMath>
      <w:r>
        <w:t xml:space="preserve"> </w:t>
      </w:r>
      <w:r>
        <w:t xml:space="preserve">at L3 (H9, H10).</w:t>
      </w:r>
    </w:p>
    <w:bookmarkStart w:id="41" w:name="fig:tradeoff"/>
    <w:p>
      <w:pPr>
        <w:pStyle w:val="CaptionedFigure"/>
      </w:pPr>
      <w:r>
        <w:drawing>
          <wp:inline>
            <wp:extent cx="5943600" cy="1826245"/>
            <wp:effectExtent b="0" l="0" r="0" t="0"/>
            <wp:docPr descr="" title="" id="39" name="Picture"/>
            <a:graphic>
              <a:graphicData uri="http://schemas.openxmlformats.org/drawingml/2006/picture">
                <pic:pic>
                  <pic:nvPicPr>
                    <pic:cNvPr descr="figs/fig_tradeoff.png" id="40" name="Picture"/>
                    <pic:cNvPicPr>
                      <a:picLocks noChangeArrowheads="1" noChangeAspect="1"/>
                    </pic:cNvPicPr>
                  </pic:nvPicPr>
                  <pic:blipFill>
                    <a:blip r:embed="rId38"/>
                    <a:stretch>
                      <a:fillRect/>
                    </a:stretch>
                  </pic:blipFill>
                  <pic:spPr bwMode="auto">
                    <a:xfrm>
                      <a:off x="0" y="0"/>
                      <a:ext cx="5943600" cy="1826245"/>
                    </a:xfrm>
                    <a:prstGeom prst="rect">
                      <a:avLst/>
                    </a:prstGeom>
                    <a:noFill/>
                    <a:ln w="9525">
                      <a:noFill/>
                      <a:headEnd/>
                      <a:tailEnd/>
                    </a:ln>
                  </pic:spPr>
                </pic:pic>
              </a:graphicData>
            </a:graphic>
          </wp:inline>
        </w:drawing>
      </w:r>
    </w:p>
    <w:p>
      <w:pPr>
        <w:pStyle w:val="ImageCaption"/>
      </w:pPr>
      <w:r>
        <w:rPr/>
        <w:t xml:space="preserve">Fig. 2. </w:t>
      </w:r>
      <w:r>
        <w:t xml:space="preserve">Held-out year (2024): energy against the real-time picture of DO (share of slots within the L2 tolerance), LoRaWAN SF7, median over sites, one panel per link, and all panels on the same vertical scale. Batch 1 h and event-driven batching nearly coincide, and the bounded design reaches the picture of per-reading reporting at a fraction of its energy.</w:t>
      </w:r>
    </w:p>
    <w:bookmarkEnd w:id="41"/>
    <w:p>
      <w:pPr>
        <w:pStyle w:val="BodyText"/>
      </w:pPr>
      <w:r>
        <w:t xml:space="preserve">Events in a gap (H3): Each strategy must wait for a link. Unconfirmed reporting learned at most 7.0% of the detected events whose onset fell in a gap; the buffering strategies learned at least 98.8% after the gap, and the alarm probe made the event-driven designs faster than ARQ + buffer on the water-quality records.</w:t>
      </w:r>
    </w:p>
    <w:p>
      <w:pPr>
        <w:pStyle w:val="BodyText"/>
      </w:pPr>
      <w:r>
        <w:t xml:space="preserve">Acknowledgement boundary: If a LoRaWAN node may not trust the network server’s acknowledgement and keeps the bound for both possible server states, the design cost 3% to 18% more energy on the development sites. Its picture stayed within</w:t>
      </w:r>
      <w:r>
        <w:t xml:space="preserve"> </w:t>
      </w:r>
      <m:oMath>
        <m:r>
          <m:rPr>
            <m:sty m:val="p"/>
          </m:rPr>
          <m:t>−</m:t>
        </m:r>
        <m:r>
          <m:t>0.02</m:t>
        </m:r>
      </m:oMath>
      <w:r>
        <w:t xml:space="preserve"> </w:t>
      </w:r>
      <w:r>
        <w:t xml:space="preserve">points of per-reading reporting, and per-reading ARQ still used 1.29</w:t>
      </w:r>
      <m:oMath>
        <m:r>
          <m:rPr>
            <m:sty m:val="p"/>
          </m:rPr>
          <m:t>×</m:t>
        </m:r>
      </m:oMath>
      <w:r>
        <w:t xml:space="preserve">–2.00</w:t>
      </w:r>
      <m:oMath>
        <m:r>
          <m:rPr>
            <m:sty m:val="p"/>
          </m:rPr>
          <m:t>×</m:t>
        </m:r>
      </m:oMath>
      <w:r>
        <w:t xml:space="preserve"> </w:t>
      </w:r>
      <w:r>
        <w:t xml:space="preserve">as much energy.</w:t>
      </w:r>
    </w:p>
    <w:p>
      <w:pPr>
        <w:pStyle w:val="BodyText"/>
      </w:pPr>
      <w:r>
        <w:t xml:space="preserve">The answer to RQ4 is yes, with the link up and on data not used for the design of the scheme. Bounded event-driven batching delivers every generated reading, raises alarms as fast as per-reading reporting, and keeps the picture within tolerance as often, while per-reading ARQ used 1.34</w:t>
      </w:r>
      <m:oMath>
        <m:r>
          <m:rPr>
            <m:sty m:val="p"/>
          </m:rPr>
          <m:t>×</m:t>
        </m:r>
      </m:oMath>
      <w:r>
        <w:t xml:space="preserve">–2.55</w:t>
      </w:r>
      <m:oMath>
        <m:r>
          <m:rPr>
            <m:sty m:val="p"/>
          </m:rPr>
          <m:t>×</m:t>
        </m:r>
      </m:oMath>
      <w:r>
        <w:t xml:space="preserve"> </w:t>
      </w:r>
      <w:r>
        <w:t xml:space="preserve">as much energy. No scheme fixes the gap itself: data and events during a gap reach the server only when the link returns.</w:t>
      </w:r>
    </w:p>
    <w:bookmarkEnd w:id="42"/>
    <w:bookmarkEnd w:id="43"/>
    <w:bookmarkStart w:id="47" w:name="sec:discussion"/>
    <w:p>
      <w:pPr>
        <w:pStyle w:val="Heading1"/>
      </w:pPr>
      <w:r>
        <w:t xml:space="preserve">VIII. Discussion</w:t>
      </w:r>
    </w:p>
    <w:bookmarkStart w:id="44" w:name="sec:disc-guidance"/>
    <w:p>
      <w:pPr>
        <w:pStyle w:val="Heading2"/>
      </w:pPr>
      <w:r>
        <w:t xml:space="preserve">A. Practical guidance</w:t>
      </w:r>
    </w:p>
    <w:p>
      <w:pPr>
        <w:pStyle w:val="FirstParagraph"/>
      </w:pPr>
      <w:r>
        <w:t xml:space="preserve">The results lead to six recommendations:</w:t>
      </w:r>
    </w:p>
    <w:p>
      <w:pPr>
        <w:numPr>
          <w:ilvl w:val="0"/>
          <w:numId w:val="1012"/>
        </w:numPr>
      </w:pPr>
      <w:r>
        <w:t xml:space="preserve">Determine which regime loses the data: Short radio losses and long delivery gaps call for different remedies. Frame counters, a log of gateway and server downtime, and the node’s own status are sufficient to distinguish between them; models that assume geometric gap lengths should be checked against such a log.</w:t>
      </w:r>
    </w:p>
    <w:p>
      <w:pPr>
        <w:numPr>
          <w:ilvl w:val="0"/>
          <w:numId w:val="1012"/>
        </w:numPr>
      </w:pPr>
      <w:r>
        <w:t xml:space="preserve">Do not fight long gaps with retransmissions: Confirm, buffer, and back off; on NB-IoT, back off even without a buffer, because searching for a cell in every slot of a gap cost up to 6.53</w:t>
      </w:r>
      <m:oMath>
        <m:r>
          <m:rPr>
            <m:sty m:val="p"/>
          </m:rPr>
          <m:t>×</m:t>
        </m:r>
      </m:oMath>
      <w:r>
        <w:t xml:space="preserve"> </w:t>
      </w:r>
      <w:r>
        <w:t xml:space="preserve">the energy of backing off.</w:t>
      </w:r>
    </w:p>
    <w:p>
      <w:pPr>
        <w:numPr>
          <w:ilvl w:val="0"/>
          <w:numId w:val="1012"/>
        </w:numPr>
      </w:pPr>
      <w:r>
        <w:t xml:space="preserve">Give the buffer sufficient room and keep the backlog from blocking live traffic: Tens of kilobytes held the longest backlog in these records. At SF12, the duty cycle limits recovery; therefore, live readings should go ahead of the backlog. Where many nodes share a gateway, recovery probes should be randomised and backlogs acknowledged in chunks.</w:t>
      </w:r>
    </w:p>
    <w:p>
      <w:pPr>
        <w:numPr>
          <w:ilvl w:val="0"/>
          <w:numId w:val="1012"/>
        </w:numPr>
      </w:pPr>
      <w:r>
        <w:t xml:space="preserve">Batch, and let the batch leave early when it matters: Hourly batching delivers every reading for a fraction of per-reading energy at SF7 and on NB-IoT. An alarm trigger restores timeliness, and a bounded-error trigger that mirrors the server’s estimate restores the real-time picture, with the tolerance as the operator’s energy control. The node must model when its data arrive and, on LoRaWAN, whether the application has them.</w:t>
      </w:r>
    </w:p>
    <w:p>
      <w:pPr>
        <w:numPr>
          <w:ilvl w:val="0"/>
          <w:numId w:val="1012"/>
        </w:numPr>
      </w:pPr>
      <w:r>
        <w:t xml:space="preserve">Judge reconstruction against the site’s own diel pattern, the best simple real-time estimator for DO and pH: A test against the last value alone overstates what neighbours and models add.</w:t>
      </w:r>
    </w:p>
    <w:p>
      <w:pPr>
        <w:numPr>
          <w:ilvl w:val="0"/>
          <w:numId w:val="1012"/>
        </w:numPr>
      </w:pPr>
      <w:r>
        <w:t xml:space="preserve">Engineer the gaps themselves: No reporting scheme shortens a gap. Gateway diversity masked a month-long gateway outage at UVA, and watchdog resets bound silent gateway failures </w:t>
      </w:r>
      <w:r>
        <w:t xml:space="preserve">[6], [7]</w:t>
      </w:r>
      <w:r>
        <w:t xml:space="preserve">.</w:t>
      </w:r>
    </w:p>
    <w:bookmarkEnd w:id="44"/>
    <w:bookmarkStart w:id="45" w:name="sec:disc-limits"/>
    <w:p>
      <w:pPr>
        <w:pStyle w:val="Heading2"/>
      </w:pPr>
      <w:r>
        <w:t xml:space="preserve">B. Validity and limitations</w:t>
      </w:r>
    </w:p>
    <w:p>
      <w:pPr>
        <w:pStyle w:val="FirstParagraph"/>
      </w:pPr>
      <w:r>
        <w:t xml:space="preserve">The main limitations are as follows:</w:t>
      </w:r>
    </w:p>
    <w:p>
      <w:pPr>
        <w:numPr>
          <w:ilvl w:val="0"/>
          <w:numId w:val="1013"/>
        </w:numPr>
      </w:pPr>
      <w:r>
        <w:t xml:space="preserve">Records: The loss evidence comes from four records and supports statements about them, not a law for all deployments; Weija serves as qualitative support. The cause of a gap could be checked only partly; therefore, buffering’s recovery is an upper bound.</w:t>
      </w:r>
    </w:p>
    <w:p>
      <w:pPr>
        <w:numPr>
          <w:ilvl w:val="0"/>
          <w:numId w:val="1013"/>
        </w:numPr>
      </w:pPr>
      <w:r>
        <w:t xml:space="preserve">Energy without hardware: No hardware was built for this study. The model rests on published measurements of specific modules, and an independent measurement on another board differs severalfold in absolute terms. The claims are therefore ratios on the same radio, tested against a factor-of-two uncertainty in every component (Section V-D). At SF12, the advantage of batching, and everywhere, the sign of buffering’s small energy premium, need hardware measurement, which is the most important next step.</w:t>
      </w:r>
    </w:p>
    <w:p>
      <w:pPr>
        <w:numPr>
          <w:ilvl w:val="0"/>
          <w:numId w:val="1013"/>
        </w:numPr>
      </w:pPr>
      <w:r>
        <w:t xml:space="preserve">Model scope: Clock faults and storage failure are not simulated, and the multi-node model of one gateway shows mechanisms (synchronised probes, acknowledgement capacity) rather than numbers for a particular network.</w:t>
      </w:r>
    </w:p>
    <w:p>
      <w:pPr>
        <w:numPr>
          <w:ilvl w:val="0"/>
          <w:numId w:val="1013"/>
        </w:numPr>
      </w:pPr>
      <w:r>
        <w:t xml:space="preserve">Events and rivers: Events are synthetic steps and ramps of realistic size, and the detector catches slow ramps poorly (13% of 5</w:t>
      </w:r>
      <m:oMath>
        <m:r>
          <m:t>σ</m:t>
        </m:r>
      </m:oMath>
      <w:r>
        <w:t xml:space="preserve"> </w:t>
      </w:r>
      <w:r>
        <w:t xml:space="preserve">ramps); the latency comparisons concern detected events. The river data cover two years in one country, and the held-out year shares most sites with the development year (29 of 33); therefore, it tests the design on new data rather than on new rivers.</w:t>
      </w:r>
    </w:p>
    <w:p>
      <w:pPr>
        <w:numPr>
          <w:ilvl w:val="0"/>
          <w:numId w:val="1013"/>
        </w:numPr>
      </w:pPr>
      <w:r>
        <w:t xml:space="preserve">Pre-specification: Hypotheses were written before their runs, and the confirmatory code was frozen before the held-out data were downloaded, but neither was registered with a third party. Every verdict is reported, including the failures and the defect found during this revision.</w:t>
      </w:r>
    </w:p>
    <w:bookmarkEnd w:id="45"/>
    <w:bookmarkStart w:id="46" w:name="c.-conclusion"/>
    <w:p>
      <w:pPr>
        <w:pStyle w:val="Heading2"/>
      </w:pPr>
      <w:r>
        <w:t xml:space="preserve">C. Conclusion</w:t>
      </w:r>
    </w:p>
    <w:p>
      <w:pPr>
        <w:pStyle w:val="FirstParagraph"/>
      </w:pPr>
      <w:r>
        <w:t xml:space="preserve">In the four records studied, data were lost in two regimes: short radio losses and rarer long delivery gaps that, in the water-quality deployments, held most of the missing data. Retransmission spends energy on gaps it cannot bridge, and the evaluated reconstruction estimators, simple or deep, kept most day-long gaps outside the tolerance. Buffering with back-off delivers every generated reading at an energy close to that of not recovering at all, and hourly batching makes it cheaper still. A design that batches hourly, sends alarms immediately, and leaves early whenever the server’s estimate would leave tolerance matched per-reading reporting on alarm latency and on the real-time picture on a held-out year, while per-reading ARQ used 1.34</w:t>
      </w:r>
      <m:oMath>
        <m:r>
          <m:rPr>
            <m:sty m:val="p"/>
          </m:rPr>
          <m:t>×</m:t>
        </m:r>
      </m:oMath>
      <w:r>
        <w:t xml:space="preserve">–2.55</w:t>
      </w:r>
      <m:oMath>
        <m:r>
          <m:rPr>
            <m:sty m:val="p"/>
          </m:rPr>
          <m:t>×</m:t>
        </m:r>
      </m:oMath>
      <w:r>
        <w:t xml:space="preserve"> </w:t>
      </w:r>
      <w:r>
        <w:t xml:space="preserve">as much energy. What remains is the delivery gap itself, which can only be shortened by network engineering. Future work includes hardware measurements, longer delivery records from tropical deployments, the energy of NB-IoT cell search without a network, and recovery across several gateways.</w:t>
      </w:r>
    </w:p>
    <w:bookmarkEnd w:id="46"/>
    <w:bookmarkEnd w:id="47"/>
    <w:bookmarkStart w:id="48" w:name="data-and-code-availability"/>
    <w:p>
      <w:pPr>
        <w:pStyle w:val="Heading1"/>
      </w:pPr>
      <w:r>
        <w:t xml:space="preserve">Data and Code Availability</w:t>
      </w:r>
    </w:p>
    <w:p>
      <w:pPr>
        <w:pStyle w:val="FirstParagraph"/>
      </w:pPr>
      <w:r>
        <w:t xml:space="preserve">The USGS </w:t>
      </w:r>
      <w:r>
        <w:t xml:space="preserve">[50]</w:t>
      </w:r>
      <w:r>
        <w:t xml:space="preserve">, InWaterSense </w:t>
      </w:r>
      <w:r>
        <w:t xml:space="preserve">[41]</w:t>
      </w:r>
      <w:r>
        <w:t xml:space="preserve">, LoED </w:t>
      </w:r>
      <w:r>
        <w:t xml:space="preserve">[43]</w:t>
      </w:r>
      <w:r>
        <w:t xml:space="preserve">, and UVA </w:t>
      </w:r>
      <w:r>
        <w:t xml:space="preserve">[42]</w:t>
      </w:r>
      <w:r>
        <w:t xml:space="preserve"> </w:t>
      </w:r>
      <w:r>
        <w:t xml:space="preserve">data are public. The Weija records were provided by the deployment’s operators </w:t>
      </w:r>
      <w:r>
        <w:t xml:space="preserve">[2]</w:t>
      </w:r>
      <w:r>
        <w:t xml:space="preserve">; their raw values are not redistributed, but the delivery trace derived from them (the time of every record of every stream, and whether it counts as a genuine delivery) is. The code, configurations, seeds, environment lock files, data-acquisition scripts, input checksums, the frozen confirmatory plan with the hashes of the frozen code, and the derived traces are archived at Zenodo </w:t>
      </w:r>
      <w:r>
        <w:t xml:space="preserve">[54]</w:t>
      </w:r>
      <w:r>
        <w:t xml:space="preserve"> </w:t>
      </w:r>
      <w:r>
        <w:t xml:space="preserve">(doi:10.5281/zenodo.23455071). Every number in this paper and its supplement is generated from the result files by a script that records its source.</w:t>
      </w:r>
    </w:p>
    <w:bookmarkEnd w:id="48"/>
    <w:bookmarkStart w:id="49" w:name="acknowledgment"/>
    <w:p>
      <w:pPr>
        <w:pStyle w:val="Heading1"/>
      </w:pPr>
      <w:r>
        <w:t xml:space="preserve">Acknowledgment</w:t>
      </w:r>
    </w:p>
    <w:p>
      <w:pPr>
        <w:pStyle w:val="FirstParagraph"/>
      </w:pPr>
      <w:r>
        <w:t xml:space="preserve">This study received no external funding.</w:t>
      </w:r>
    </w:p>
    <w:bookmarkEnd w:id="49"/>
    <w:bookmarkStart w:id="150" w:name="bibliography"/>
    <w:p>
      <w:pPr>
        <w:pStyle w:val="Heading1"/>
      </w:pPr>
      <w:r>
        <w:t xml:space="preserve">References</w:t>
      </w:r>
    </w:p>
    <w:bookmarkStart w:id="149" w:name="refs"/>
    <w:bookmarkStart w:id="51" w:name="ref-adumanu2017survey"/>
    <w:p>
      <w:pPr>
        <w:pStyle w:val="Bibliography"/>
      </w:pPr>
      <w:r>
        <w:t xml:space="preserve">[1]</w:t>
      </w:r>
      <w:r>
        <w:t xml:space="preserve"> </w:t>
      </w:r>
      <w:r>
        <w:t xml:space="preserve">	</w:t>
      </w:r>
      <w:r>
        <w:t xml:space="preserve">K. S. Adu-Manu, C. Tapparello, W. Heinzelman, F. A. Katsriku, and J.-D. Abdulai,</w:t>
      </w:r>
      <w:r>
        <w:t xml:space="preserve"> </w:t>
      </w:r>
      <w:r>
        <w:t xml:space="preserve">“Water quality monitoring using wireless sensor networks: Current trends and future research directions,”</w:t>
      </w:r>
      <w:r>
        <w:t xml:space="preserve"> </w:t>
      </w:r>
      <w:r>
        <w:rPr>
          <w:i/>
          <w:iCs/>
        </w:rPr>
        <w:t xml:space="preserve">ACM Transactions on Sensor Networks</w:t>
      </w:r>
      <w:r>
        <w:t xml:space="preserve">, vol. 13, no. 1, pp. 1–41, 2017, doi:</w:t>
      </w:r>
      <w:r>
        <w:t xml:space="preserve"> </w:t>
      </w:r>
      <w:hyperlink r:id="rId50">
        <w:r>
          <w:rPr>
            <w:rStyle w:val="Hyperlink"/>
          </w:rPr>
          <w:t xml:space="preserve">10.1145/3005719</w:t>
        </w:r>
      </w:hyperlink>
      <w:r>
        <w:t xml:space="preserve">.</w:t>
      </w:r>
    </w:p>
    <w:bookmarkEnd w:id="51"/>
    <w:bookmarkStart w:id="53" w:name="ref-adumanu2020smart"/>
    <w:p>
      <w:pPr>
        <w:pStyle w:val="Bibliography"/>
      </w:pPr>
      <w:r>
        <w:t xml:space="preserve">[2]</w:t>
      </w:r>
      <w:r>
        <w:t xml:space="preserve"> </w:t>
      </w:r>
      <w:r>
        <w:t xml:space="preserve">	</w:t>
      </w:r>
      <w:r>
        <w:t xml:space="preserve">K. S. Adu-Manu, F. A. Katsriku, J.-D. Abdulai, and F. Engmann,</w:t>
      </w:r>
      <w:r>
        <w:t xml:space="preserve"> </w:t>
      </w:r>
      <w:r>
        <w:t xml:space="preserve">“Smart river monitoring using wireless sensor networks,”</w:t>
      </w:r>
      <w:r>
        <w:t xml:space="preserve"> </w:t>
      </w:r>
      <w:r>
        <w:rPr>
          <w:i/>
          <w:iCs/>
        </w:rPr>
        <w:t xml:space="preserve">Wireless Communications and Mobile Computing</w:t>
      </w:r>
      <w:r>
        <w:t xml:space="preserve">, vol. 2020, pp. 1–19, 2020, doi:</w:t>
      </w:r>
      <w:r>
        <w:t xml:space="preserve"> </w:t>
      </w:r>
      <w:hyperlink r:id="rId52">
        <w:r>
          <w:rPr>
            <w:rStyle w:val="Hyperlink"/>
          </w:rPr>
          <w:t xml:space="preserve">10.1155/2020/8897126</w:t>
        </w:r>
      </w:hyperlink>
      <w:r>
        <w:t xml:space="preserve">.</w:t>
      </w:r>
    </w:p>
    <w:bookmarkEnd w:id="53"/>
    <w:bookmarkStart w:id="55" w:name="ref-ahmedi2022dataset"/>
    <w:p>
      <w:pPr>
        <w:pStyle w:val="Bibliography"/>
      </w:pPr>
      <w:r>
        <w:t xml:space="preserve">[3]</w:t>
      </w:r>
      <w:r>
        <w:t xml:space="preserve"> </w:t>
      </w:r>
      <w:r>
        <w:t xml:space="preserve">	</w:t>
      </w:r>
      <w:r>
        <w:t xml:space="preserve">F. Ahmedi and L. Ahmedi,</w:t>
      </w:r>
      <w:r>
        <w:t xml:space="preserve"> </w:t>
      </w:r>
      <w:r>
        <w:t xml:space="preserve">“Dataset on water quality monitoring from a wireless sensor network in a river in</w:t>
      </w:r>
      <w:r>
        <w:t xml:space="preserve"> </w:t>
      </w:r>
      <w:r>
        <w:t xml:space="preserve">Kosovo</w:t>
      </w:r>
      <w:r>
        <w:t xml:space="preserve">,”</w:t>
      </w:r>
      <w:r>
        <w:t xml:space="preserve"> </w:t>
      </w:r>
      <w:r>
        <w:rPr>
          <w:i/>
          <w:iCs/>
        </w:rPr>
        <w:t xml:space="preserve">Data in Brief</w:t>
      </w:r>
      <w:r>
        <w:t xml:space="preserve">, vol. 44, p. 108486, 2022, doi:</w:t>
      </w:r>
      <w:r>
        <w:t xml:space="preserve"> </w:t>
      </w:r>
      <w:hyperlink r:id="rId54">
        <w:r>
          <w:rPr>
            <w:rStyle w:val="Hyperlink"/>
          </w:rPr>
          <w:t xml:space="preserve">10.1016/j.dib.2022.108486</w:t>
        </w:r>
      </w:hyperlink>
      <w:r>
        <w:t xml:space="preserve">.</w:t>
      </w:r>
    </w:p>
    <w:bookmarkEnd w:id="55"/>
    <w:bookmarkStart w:id="57" w:name="ref-ledinh2007design"/>
    <w:p>
      <w:pPr>
        <w:pStyle w:val="Bibliography"/>
      </w:pPr>
      <w:r>
        <w:t xml:space="preserve">[4]</w:t>
      </w:r>
      <w:r>
        <w:t xml:space="preserve"> </w:t>
      </w:r>
      <w:r>
        <w:t xml:space="preserve">	</w:t>
      </w:r>
      <w:r>
        <w:t xml:space="preserve">T. Le Dinh, W. Hu, P. Sikka, P. Corke, L. Overs, and S. Brosnan,</w:t>
      </w:r>
      <w:r>
        <w:t xml:space="preserve"> </w:t>
      </w:r>
      <w:r>
        <w:t xml:space="preserve">“Design and deployment of a remote robust sensor network: Experiences from an outdoor water quality monitoring network,”</w:t>
      </w:r>
      <w:r>
        <w:t xml:space="preserve"> </w:t>
      </w:r>
      <w:r>
        <w:t xml:space="preserve">in</w:t>
      </w:r>
      <w:r>
        <w:t xml:space="preserve"> </w:t>
      </w:r>
      <w:r>
        <w:rPr>
          <w:i/>
          <w:iCs/>
        </w:rPr>
        <w:t xml:space="preserve">Proc. 32nd IEEE conf. Local computer networks (LCN)</w:t>
      </w:r>
      <w:r>
        <w:t xml:space="preserve">, IEEE, 2007, pp. 799–806. doi:</w:t>
      </w:r>
      <w:r>
        <w:t xml:space="preserve"> </w:t>
      </w:r>
      <w:hyperlink r:id="rId56">
        <w:r>
          <w:rPr>
            <w:rStyle w:val="Hyperlink"/>
          </w:rPr>
          <w:t xml:space="preserve">10.1109/lcn.2007.39</w:t>
        </w:r>
      </w:hyperlink>
      <w:r>
        <w:t xml:space="preserve">.</w:t>
      </w:r>
    </w:p>
    <w:bookmarkEnd w:id="57"/>
    <w:bookmarkStart w:id="59" w:name="ref-langendoen2006murphy"/>
    <w:p>
      <w:pPr>
        <w:pStyle w:val="Bibliography"/>
      </w:pPr>
      <w:r>
        <w:t xml:space="preserve">[5]</w:t>
      </w:r>
      <w:r>
        <w:t xml:space="preserve"> </w:t>
      </w:r>
      <w:r>
        <w:t xml:space="preserve">	</w:t>
      </w:r>
      <w:r>
        <w:t xml:space="preserve">K. Langendoen, A. Baggio, and O. Visser,</w:t>
      </w:r>
      <w:r>
        <w:t xml:space="preserve"> </w:t>
      </w:r>
      <w:r>
        <w:t xml:space="preserve">“Murphy loves potatoes: Experiences from a pilot sensor network deployment in precision agriculture,”</w:t>
      </w:r>
      <w:r>
        <w:t xml:space="preserve"> </w:t>
      </w:r>
      <w:r>
        <w:t xml:space="preserve">in</w:t>
      </w:r>
      <w:r>
        <w:t xml:space="preserve"> </w:t>
      </w:r>
      <w:r>
        <w:rPr>
          <w:i/>
          <w:iCs/>
        </w:rPr>
        <w:t xml:space="preserve">Proc. 20th IEEE int. Parallel and distributed processing symp. (IPDPS)</w:t>
      </w:r>
      <w:r>
        <w:t xml:space="preserve">, IEEE, 2006, pp. 8 pp. doi:</w:t>
      </w:r>
      <w:r>
        <w:t xml:space="preserve"> </w:t>
      </w:r>
      <w:hyperlink r:id="rId58">
        <w:r>
          <w:rPr>
            <w:rStyle w:val="Hyperlink"/>
          </w:rPr>
          <w:t xml:space="preserve">10.1109/ipdps.2006.1639412</w:t>
        </w:r>
      </w:hyperlink>
      <w:r>
        <w:t xml:space="preserve">.</w:t>
      </w:r>
    </w:p>
    <w:bookmarkEnd w:id="59"/>
    <w:bookmarkStart w:id="61" w:name="ref-ingelrest2010sensorscope"/>
    <w:p>
      <w:pPr>
        <w:pStyle w:val="Bibliography"/>
      </w:pPr>
      <w:r>
        <w:t xml:space="preserve">[6]</w:t>
      </w:r>
      <w:r>
        <w:t xml:space="preserve"> </w:t>
      </w:r>
      <w:r>
        <w:t xml:space="preserve">	</w:t>
      </w:r>
      <w:r>
        <w:t xml:space="preserve">F. Ingelrest, G. Barrenetxea, G. Schaefer, M. Vetterli, O. Couach, and M. Parlange,</w:t>
      </w:r>
      <w:r>
        <w:t xml:space="preserve"> </w:t>
      </w:r>
      <w:r>
        <w:t xml:space="preserve">“</w:t>
      </w:r>
      <w:r>
        <w:t xml:space="preserve">SensorScope</w:t>
      </w:r>
      <w:r>
        <w:t xml:space="preserve">: Application-specific sensor network for environmental monitoring,”</w:t>
      </w:r>
      <w:r>
        <w:t xml:space="preserve"> </w:t>
      </w:r>
      <w:r>
        <w:rPr>
          <w:i/>
          <w:iCs/>
        </w:rPr>
        <w:t xml:space="preserve">ACM Transactions on Sensor Networks</w:t>
      </w:r>
      <w:r>
        <w:t xml:space="preserve">, vol. 6, no. 2, pp. 17:1–17:32, 2010, doi:</w:t>
      </w:r>
      <w:r>
        <w:t xml:space="preserve"> </w:t>
      </w:r>
      <w:hyperlink r:id="rId60">
        <w:r>
          <w:rPr>
            <w:rStyle w:val="Hyperlink"/>
          </w:rPr>
          <w:t xml:space="preserve">10.1145/1689239.1689247</w:t>
        </w:r>
      </w:hyperlink>
      <w:r>
        <w:t xml:space="preserve">.</w:t>
      </w:r>
    </w:p>
    <w:bookmarkEnd w:id="61"/>
    <w:bookmarkStart w:id="63" w:name="ref-brzozowski2018lessons"/>
    <w:p>
      <w:pPr>
        <w:pStyle w:val="Bibliography"/>
      </w:pPr>
      <w:r>
        <w:t xml:space="preserve">[7]</w:t>
      </w:r>
      <w:r>
        <w:t xml:space="preserve"> </w:t>
      </w:r>
      <w:r>
        <w:t xml:space="preserve">	</w:t>
      </w:r>
      <w:r>
        <w:t xml:space="preserve">M. Brzozowski, M. Frohberg, and P. Langendoerfer,</w:t>
      </w:r>
      <w:r>
        <w:t xml:space="preserve"> </w:t>
      </w:r>
      <w:r>
        <w:t xml:space="preserve">“Real-world deployments of sensor networks: Practical lessons for researchers,”</w:t>
      </w:r>
      <w:r>
        <w:t xml:space="preserve"> </w:t>
      </w:r>
      <w:r>
        <w:t xml:space="preserve">in</w:t>
      </w:r>
      <w:r>
        <w:t xml:space="preserve"> </w:t>
      </w:r>
      <w:r>
        <w:rPr>
          <w:i/>
          <w:iCs/>
        </w:rPr>
        <w:t xml:space="preserve">Wired/wireless internet communications (WWIC 2018), LNCS vol. 11618</w:t>
      </w:r>
      <w:r>
        <w:t xml:space="preserve">, Springer International Publishing, 2018, pp. 42–53. doi:</w:t>
      </w:r>
      <w:r>
        <w:t xml:space="preserve"> </w:t>
      </w:r>
      <w:hyperlink r:id="rId62">
        <w:r>
          <w:rPr>
            <w:rStyle w:val="Hyperlink"/>
          </w:rPr>
          <w:t xml:space="preserve">10.1007/978-3-030-02931-9_4</w:t>
        </w:r>
      </w:hyperlink>
      <w:r>
        <w:t xml:space="preserve">.</w:t>
      </w:r>
    </w:p>
    <w:bookmarkEnd w:id="63"/>
    <w:bookmarkStart w:id="65" w:name="ref-puluckul2025subarctic"/>
    <w:p>
      <w:pPr>
        <w:pStyle w:val="Bibliography"/>
      </w:pPr>
      <w:r>
        <w:t xml:space="preserve">[8]</w:t>
      </w:r>
      <w:r>
        <w:t xml:space="preserve"> </w:t>
      </w:r>
      <w:r>
        <w:t xml:space="preserve">	</w:t>
      </w:r>
      <w:r>
        <w:t xml:space="preserve">P. P. Puluckul and M. Weyn,</w:t>
      </w:r>
      <w:r>
        <w:t xml:space="preserve"> </w:t>
      </w:r>
      <w:r>
        <w:t xml:space="preserve">“Experiences with sub-arctic sensor network deployment,”</w:t>
      </w:r>
      <w:r>
        <w:t xml:space="preserve"> </w:t>
      </w:r>
      <w:r>
        <w:t xml:space="preserve">in</w:t>
      </w:r>
      <w:r>
        <w:t xml:space="preserve"> </w:t>
      </w:r>
      <w:r>
        <w:rPr>
          <w:i/>
          <w:iCs/>
        </w:rPr>
        <w:t xml:space="preserve">Proc. IEEE wireless communications and networking conf. (WCNC)</w:t>
      </w:r>
      <w:r>
        <w:t xml:space="preserve">, IEEE, 2025, pp. 1–6. doi:</w:t>
      </w:r>
      <w:r>
        <w:t xml:space="preserve"> </w:t>
      </w:r>
      <w:hyperlink r:id="rId64">
        <w:r>
          <w:rPr>
            <w:rStyle w:val="Hyperlink"/>
          </w:rPr>
          <w:t xml:space="preserve">10.1109/wcnc61545.2025.10978303</w:t>
        </w:r>
      </w:hyperlink>
      <w:r>
        <w:t xml:space="preserve">.</w:t>
      </w:r>
    </w:p>
    <w:bookmarkEnd w:id="65"/>
    <w:bookmarkStart w:id="67" w:name="ref-zennaro2025kyrgyzstan"/>
    <w:p>
      <w:pPr>
        <w:pStyle w:val="Bibliography"/>
      </w:pPr>
      <w:r>
        <w:t xml:space="preserve">[9]</w:t>
      </w:r>
      <w:r>
        <w:t xml:space="preserve"> </w:t>
      </w:r>
      <w:r>
        <w:t xml:space="preserve">	</w:t>
      </w:r>
      <w:r>
        <w:t xml:space="preserve">M. Zennaro, E. Pietrosemoli, A. Soltobaev, T. Sultanov, and B. Moldobekov,</w:t>
      </w:r>
      <w:r>
        <w:t xml:space="preserve"> </w:t>
      </w:r>
      <w:r>
        <w:t xml:space="preserve">“From mountains to data: Low-cost weather stations in</w:t>
      </w:r>
      <w:r>
        <w:t xml:space="preserve"> </w:t>
      </w:r>
      <w:r>
        <w:t xml:space="preserve">Kyrgyzstan’s</w:t>
      </w:r>
      <w:r>
        <w:t xml:space="preserve"> </w:t>
      </w:r>
      <w:r>
        <w:t xml:space="preserve">challenging terrain,”</w:t>
      </w:r>
      <w:r>
        <w:t xml:space="preserve"> </w:t>
      </w:r>
      <w:r>
        <w:rPr>
          <w:i/>
          <w:iCs/>
        </w:rPr>
        <w:t xml:space="preserve">Frontiers in Communications and Networks</w:t>
      </w:r>
      <w:r>
        <w:t xml:space="preserve">, vol. 6, 2025, doi:</w:t>
      </w:r>
      <w:r>
        <w:t xml:space="preserve"> </w:t>
      </w:r>
      <w:hyperlink r:id="rId66">
        <w:r>
          <w:rPr>
            <w:rStyle w:val="Hyperlink"/>
          </w:rPr>
          <w:t xml:space="preserve">10.3389/frcmn.2025.1505375</w:t>
        </w:r>
      </w:hyperlink>
      <w:r>
        <w:t xml:space="preserve">.</w:t>
      </w:r>
    </w:p>
    <w:bookmarkEnd w:id="67"/>
    <w:bookmarkStart w:id="69" w:name="ref-sinopoli2004kalman"/>
    <w:p>
      <w:pPr>
        <w:pStyle w:val="Bibliography"/>
      </w:pPr>
      <w:r>
        <w:t xml:space="preserve">[10]</w:t>
      </w:r>
      <w:r>
        <w:t xml:space="preserve"> </w:t>
      </w:r>
      <w:r>
        <w:t xml:space="preserve">	</w:t>
      </w:r>
      <w:r>
        <w:t xml:space="preserve">B. Sinopoli, L. Schenato, M. Franceschetti, K. Poolla, M. I. Jordan, and S. S. Sastry,</w:t>
      </w:r>
      <w:r>
        <w:t xml:space="preserve"> </w:t>
      </w:r>
      <w:r>
        <w:t xml:space="preserve">“Kalman filtering with intermittent observations,”</w:t>
      </w:r>
      <w:r>
        <w:t xml:space="preserve"> </w:t>
      </w:r>
      <w:r>
        <w:rPr>
          <w:i/>
          <w:iCs/>
        </w:rPr>
        <w:t xml:space="preserve">IEEE Transactions on Automatic Control</w:t>
      </w:r>
      <w:r>
        <w:t xml:space="preserve">, vol. 49, no. 9, pp. 1453–1464, 2004, doi:</w:t>
      </w:r>
      <w:r>
        <w:t xml:space="preserve"> </w:t>
      </w:r>
      <w:hyperlink r:id="rId68">
        <w:r>
          <w:rPr>
            <w:rStyle w:val="Hyperlink"/>
          </w:rPr>
          <w:t xml:space="preserve">10.1109/tac.2004.834121</w:t>
        </w:r>
      </w:hyperlink>
      <w:r>
        <w:t xml:space="preserve">.</w:t>
      </w:r>
    </w:p>
    <w:bookmarkEnd w:id="69"/>
    <w:bookmarkStart w:id="71" w:name="ref-huang2019retransmit"/>
    <w:p>
      <w:pPr>
        <w:pStyle w:val="Bibliography"/>
      </w:pPr>
      <w:r>
        <w:t xml:space="preserve">[11]</w:t>
      </w:r>
      <w:r>
        <w:t xml:space="preserve"> </w:t>
      </w:r>
      <w:r>
        <w:t xml:space="preserve">	</w:t>
      </w:r>
      <w:r>
        <w:t xml:space="preserve">K. Huang, W. Liu, Y. Li, and B. Vucetic,</w:t>
      </w:r>
      <w:r>
        <w:t xml:space="preserve"> </w:t>
      </w:r>
      <w:r>
        <w:t xml:space="preserve">“To retransmit or not: Real-time remote estimation in wireless networked control,”</w:t>
      </w:r>
      <w:r>
        <w:t xml:space="preserve"> </w:t>
      </w:r>
      <w:r>
        <w:t xml:space="preserve">in</w:t>
      </w:r>
      <w:r>
        <w:t xml:space="preserve"> </w:t>
      </w:r>
      <w:r>
        <w:rPr>
          <w:i/>
          <w:iCs/>
        </w:rPr>
        <w:t xml:space="preserve">Proc. IEEE int. Conf. Communications (ICC)</w:t>
      </w:r>
      <w:r>
        <w:t xml:space="preserve">, IEEE, 2019, pp. 1–7. doi:</w:t>
      </w:r>
      <w:r>
        <w:t xml:space="preserve"> </w:t>
      </w:r>
      <w:hyperlink r:id="rId70">
        <w:r>
          <w:rPr>
            <w:rStyle w:val="Hyperlink"/>
          </w:rPr>
          <w:t xml:space="preserve">10.1109/icc.2019.8761710</w:t>
        </w:r>
      </w:hyperlink>
      <w:r>
        <w:t xml:space="preserve">.</w:t>
      </w:r>
    </w:p>
    <w:bookmarkEnd w:id="71"/>
    <w:bookmarkStart w:id="73" w:name="ref-huang2020harq"/>
    <w:p>
      <w:pPr>
        <w:pStyle w:val="Bibliography"/>
      </w:pPr>
      <w:r>
        <w:t xml:space="preserve">[12]</w:t>
      </w:r>
      <w:r>
        <w:t xml:space="preserve"> </w:t>
      </w:r>
      <w:r>
        <w:t xml:space="preserve">	</w:t>
      </w:r>
      <w:r>
        <w:t xml:space="preserve">K. Huang, W. Liu, M. Shirvanimoghaddam, Y. Li, and B. Vucetic,</w:t>
      </w:r>
      <w:r>
        <w:t xml:space="preserve"> </w:t>
      </w:r>
      <w:r>
        <w:t xml:space="preserve">“Real-time remote estimation with hybrid</w:t>
      </w:r>
      <w:r>
        <w:t xml:space="preserve"> </w:t>
      </w:r>
      <w:r>
        <w:t xml:space="preserve">ARQ</w:t>
      </w:r>
      <w:r>
        <w:t xml:space="preserve"> </w:t>
      </w:r>
      <w:r>
        <w:t xml:space="preserve">in wireless networked control,”</w:t>
      </w:r>
      <w:r>
        <w:t xml:space="preserve"> </w:t>
      </w:r>
      <w:r>
        <w:rPr>
          <w:i/>
          <w:iCs/>
        </w:rPr>
        <w:t xml:space="preserve">IEEE Transactions on Wireless Communications</w:t>
      </w:r>
      <w:r>
        <w:t xml:space="preserve">, vol. 19, no. 5, pp. 3490–3504, 2020, doi:</w:t>
      </w:r>
      <w:r>
        <w:t xml:space="preserve"> </w:t>
      </w:r>
      <w:hyperlink r:id="rId72">
        <w:r>
          <w:rPr>
            <w:rStyle w:val="Hyperlink"/>
          </w:rPr>
          <w:t xml:space="preserve">10.1109/twc.2020.2974225</w:t>
        </w:r>
      </w:hyperlink>
      <w:r>
        <w:t xml:space="preserve">.</w:t>
      </w:r>
    </w:p>
    <w:bookmarkEnd w:id="73"/>
    <w:bookmarkStart w:id="75" w:name="ref-kong2014dataloss"/>
    <w:p>
      <w:pPr>
        <w:pStyle w:val="Bibliography"/>
      </w:pPr>
      <w:r>
        <w:t xml:space="preserve">[13]</w:t>
      </w:r>
      <w:r>
        <w:t xml:space="preserve"> </w:t>
      </w:r>
      <w:r>
        <w:t xml:space="preserve">	</w:t>
      </w:r>
      <w:r>
        <w:t xml:space="preserve">L. Kong</w:t>
      </w:r>
      <w:r>
        <w:t xml:space="preserve"> </w:t>
      </w:r>
      <w:r>
        <w:rPr>
          <w:i/>
          <w:iCs/>
        </w:rPr>
        <w:t xml:space="preserve">et al.</w:t>
      </w:r>
      <w:r>
        <w:t xml:space="preserve">,</w:t>
      </w:r>
      <w:r>
        <w:t xml:space="preserve"> </w:t>
      </w:r>
      <w:r>
        <w:t xml:space="preserve">“Data loss and reconstruction in wireless sensor networks,”</w:t>
      </w:r>
      <w:r>
        <w:t xml:space="preserve"> </w:t>
      </w:r>
      <w:r>
        <w:rPr>
          <w:i/>
          <w:iCs/>
        </w:rPr>
        <w:t xml:space="preserve">IEEE Transactions on Parallel and Distributed Systems</w:t>
      </w:r>
      <w:r>
        <w:t xml:space="preserve">, vol. 25, no. 11, pp. 2818–2828, 2014, doi:</w:t>
      </w:r>
      <w:r>
        <w:t xml:space="preserve"> </w:t>
      </w:r>
      <w:hyperlink r:id="rId74">
        <w:r>
          <w:rPr>
            <w:rStyle w:val="Hyperlink"/>
          </w:rPr>
          <w:t xml:space="preserve">10.1109/tpds.2013.269</w:t>
        </w:r>
      </w:hyperlink>
      <w:r>
        <w:t xml:space="preserve">.</w:t>
      </w:r>
    </w:p>
    <w:bookmarkEnd w:id="75"/>
    <w:bookmarkStart w:id="76" w:name="ref-cini2022grin"/>
    <w:p>
      <w:pPr>
        <w:pStyle w:val="Bibliography"/>
      </w:pPr>
      <w:r>
        <w:t xml:space="preserve">[14]</w:t>
      </w:r>
      <w:r>
        <w:t xml:space="preserve"> </w:t>
      </w:r>
      <w:r>
        <w:t xml:space="preserve">	</w:t>
      </w:r>
      <w:r>
        <w:t xml:space="preserve">A. Cini, I. Marisca, and C. Alippi,</w:t>
      </w:r>
      <w:r>
        <w:t xml:space="preserve"> </w:t>
      </w:r>
      <w:r>
        <w:t xml:space="preserve">“Filling the</w:t>
      </w:r>
      <w:r>
        <w:t xml:space="preserve"> </w:t>
      </w:r>
      <w:r>
        <w:t xml:space="preserve">G_ap_s</w:t>
      </w:r>
      <w:r>
        <w:t xml:space="preserve">: Multivariate time series imputation by graph neural networks,”</w:t>
      </w:r>
      <w:r>
        <w:t xml:space="preserve"> </w:t>
      </w:r>
      <w:r>
        <w:t xml:space="preserve">in</w:t>
      </w:r>
      <w:r>
        <w:t xml:space="preserve"> </w:t>
      </w:r>
      <w:r>
        <w:rPr>
          <w:i/>
          <w:iCs/>
        </w:rPr>
        <w:t xml:space="preserve">Proc. Int. Conf. Learning representations (ICLR)</w:t>
      </w:r>
      <w:r>
        <w:t xml:space="preserve">, 2022.</w:t>
      </w:r>
    </w:p>
    <w:bookmarkEnd w:id="76"/>
    <w:bookmarkStart w:id="78" w:name="ref-marisca2022spin"/>
    <w:p>
      <w:pPr>
        <w:pStyle w:val="Bibliography"/>
      </w:pPr>
      <w:r>
        <w:t xml:space="preserve">[15]</w:t>
      </w:r>
      <w:r>
        <w:t xml:space="preserve"> </w:t>
      </w:r>
      <w:r>
        <w:t xml:space="preserve">	</w:t>
      </w:r>
      <w:r>
        <w:t xml:space="preserve">I. Marisca, A. Cini, and C. Alippi,</w:t>
      </w:r>
      <w:r>
        <w:t xml:space="preserve"> </w:t>
      </w:r>
      <w:r>
        <w:t xml:space="preserve">“Learning to reconstruct missing data from spatiotemporal graphs with sparse observations,”</w:t>
      </w:r>
      <w:r>
        <w:t xml:space="preserve"> </w:t>
      </w:r>
      <w:r>
        <w:t xml:space="preserve">in</w:t>
      </w:r>
      <w:r>
        <w:t xml:space="preserve"> </w:t>
      </w:r>
      <w:r>
        <w:rPr>
          <w:i/>
          <w:iCs/>
        </w:rPr>
        <w:t xml:space="preserve">Advances in neural information processing systems (NeurIPS)</w:t>
      </w:r>
      <w:r>
        <w:t xml:space="preserve">, 2022. doi:</w:t>
      </w:r>
      <w:r>
        <w:t xml:space="preserve"> </w:t>
      </w:r>
      <w:hyperlink r:id="rId77">
        <w:r>
          <w:rPr>
            <w:rStyle w:val="Hyperlink"/>
          </w:rPr>
          <w:t xml:space="preserve">10.52202/068431-2324</w:t>
        </w:r>
      </w:hyperlink>
      <w:r>
        <w:t xml:space="preserve">.</w:t>
      </w:r>
    </w:p>
    <w:bookmarkEnd w:id="78"/>
    <w:bookmarkStart w:id="80" w:name="ref-chang2023deepcs"/>
    <w:p>
      <w:pPr>
        <w:pStyle w:val="Bibliography"/>
      </w:pPr>
      <w:r>
        <w:t xml:space="preserve">[16]</w:t>
      </w:r>
      <w:r>
        <w:t xml:space="preserve"> </w:t>
      </w:r>
      <w:r>
        <w:t xml:space="preserve">	</w:t>
      </w:r>
      <w:r>
        <w:t xml:space="preserve">Q. Chang, D. Tao, J. Wang, and R. Gao,</w:t>
      </w:r>
      <w:r>
        <w:t xml:space="preserve"> </w:t>
      </w:r>
      <w:r>
        <w:t xml:space="preserve">“Deep compressed sensing based data imputation for urban environmental monitoring,”</w:t>
      </w:r>
      <w:r>
        <w:t xml:space="preserve"> </w:t>
      </w:r>
      <w:r>
        <w:rPr>
          <w:i/>
          <w:iCs/>
        </w:rPr>
        <w:t xml:space="preserve">ACM Transactions on Sensor Networks</w:t>
      </w:r>
      <w:r>
        <w:t xml:space="preserve">, vol. 20, no. 1, pp. 1–21, 2023, doi:</w:t>
      </w:r>
      <w:r>
        <w:t xml:space="preserve"> </w:t>
      </w:r>
      <w:hyperlink r:id="rId79">
        <w:r>
          <w:rPr>
            <w:rStyle w:val="Hyperlink"/>
          </w:rPr>
          <w:t xml:space="preserve">10.1145/3599236</w:t>
        </w:r>
      </w:hyperlink>
      <w:r>
        <w:t xml:space="preserve">.</w:t>
      </w:r>
    </w:p>
    <w:bookmarkEnd w:id="80"/>
    <w:bookmarkStart w:id="82" w:name="ref-zhao2003understanding"/>
    <w:p>
      <w:pPr>
        <w:pStyle w:val="Bibliography"/>
      </w:pPr>
      <w:r>
        <w:t xml:space="preserve">[17]</w:t>
      </w:r>
      <w:r>
        <w:t xml:space="preserve"> </w:t>
      </w:r>
      <w:r>
        <w:t xml:space="preserve">	</w:t>
      </w:r>
      <w:r>
        <w:t xml:space="preserve">J. Zhao and R. Govindan,</w:t>
      </w:r>
      <w:r>
        <w:t xml:space="preserve"> </w:t>
      </w:r>
      <w:r>
        <w:t xml:space="preserve">“Understanding packet delivery performance in dense wireless sensor networks,”</w:t>
      </w:r>
      <w:r>
        <w:t xml:space="preserve"> </w:t>
      </w:r>
      <w:r>
        <w:t xml:space="preserve">in</w:t>
      </w:r>
      <w:r>
        <w:t xml:space="preserve"> </w:t>
      </w:r>
      <w:r>
        <w:rPr>
          <w:i/>
          <w:iCs/>
        </w:rPr>
        <w:t xml:space="preserve">Proc. 1st int. Conf. Embedded networked sensor systems (SenSys)</w:t>
      </w:r>
      <w:r>
        <w:t xml:space="preserve">, ACM, 2003, pp. 1–13. doi:</w:t>
      </w:r>
      <w:r>
        <w:t xml:space="preserve"> </w:t>
      </w:r>
      <w:hyperlink r:id="rId81">
        <w:r>
          <w:rPr>
            <w:rStyle w:val="Hyperlink"/>
          </w:rPr>
          <w:t xml:space="preserve">10.1145/958491.958493</w:t>
        </w:r>
      </w:hyperlink>
      <w:r>
        <w:t xml:space="preserve">.</w:t>
      </w:r>
    </w:p>
    <w:bookmarkEnd w:id="82"/>
    <w:bookmarkStart w:id="84" w:name="ref-bhatia2020loed"/>
    <w:p>
      <w:pPr>
        <w:pStyle w:val="Bibliography"/>
      </w:pPr>
      <w:r>
        <w:t xml:space="preserve">[18]</w:t>
      </w:r>
      <w:r>
        <w:t xml:space="preserve"> </w:t>
      </w:r>
      <w:r>
        <w:t xml:space="preserve">	</w:t>
      </w:r>
      <w:r>
        <w:t xml:space="preserve">L. Bhatia, M. Breza, R. Marfievici, and J. A. McCann,</w:t>
      </w:r>
      <w:r>
        <w:t xml:space="preserve"> </w:t>
      </w:r>
      <w:r>
        <w:t xml:space="preserve">“</w:t>
      </w:r>
      <w:r>
        <w:t xml:space="preserve">LoED</w:t>
      </w:r>
      <w:r>
        <w:t xml:space="preserve">: The</w:t>
      </w:r>
      <w:r>
        <w:t xml:space="preserve"> </w:t>
      </w:r>
      <w:r>
        <w:t xml:space="preserve">LoRaWAN</w:t>
      </w:r>
      <w:r>
        <w:t xml:space="preserve"> </w:t>
      </w:r>
      <w:r>
        <w:t xml:space="preserve">at the edge dataset,”</w:t>
      </w:r>
      <w:r>
        <w:t xml:space="preserve"> </w:t>
      </w:r>
      <w:r>
        <w:t xml:space="preserve">in</w:t>
      </w:r>
      <w:r>
        <w:t xml:space="preserve"> </w:t>
      </w:r>
      <w:r>
        <w:rPr>
          <w:i/>
          <w:iCs/>
        </w:rPr>
        <w:t xml:space="preserve">Proc. 3rd workshop on data: Acquisition to analysis (DATA ’20)</w:t>
      </w:r>
      <w:r>
        <w:t xml:space="preserve">, ACM, 2020, pp. 7–8. doi:</w:t>
      </w:r>
      <w:r>
        <w:t xml:space="preserve"> </w:t>
      </w:r>
      <w:hyperlink r:id="rId83">
        <w:r>
          <w:rPr>
            <w:rStyle w:val="Hyperlink"/>
          </w:rPr>
          <w:t xml:space="preserve">10.1145/3419016.3431491</w:t>
        </w:r>
      </w:hyperlink>
      <w:r>
        <w:t xml:space="preserve">.</w:t>
      </w:r>
    </w:p>
    <w:bookmarkEnd w:id="84"/>
    <w:bookmarkStart w:id="86" w:name="ref-nikseresht2025uva"/>
    <w:p>
      <w:pPr>
        <w:pStyle w:val="Bibliography"/>
      </w:pPr>
      <w:r>
        <w:t xml:space="preserve">[19]</w:t>
      </w:r>
      <w:r>
        <w:t xml:space="preserve"> </w:t>
      </w:r>
      <w:r>
        <w:t xml:space="preserve">	</w:t>
      </w:r>
      <w:r>
        <w:t xml:space="preserve">F. Nikseresht, V. A. L. Sobral, J. L. Goodall, and B. Campbell,</w:t>
      </w:r>
      <w:r>
        <w:t xml:space="preserve"> </w:t>
      </w:r>
      <w:r>
        <w:t xml:space="preserve">“Dataset: Long-term</w:t>
      </w:r>
      <w:r>
        <w:t xml:space="preserve"> </w:t>
      </w:r>
      <w:r>
        <w:t xml:space="preserve">LoRaWAN</w:t>
      </w:r>
      <w:r>
        <w:t xml:space="preserve"> </w:t>
      </w:r>
      <w:r>
        <w:t xml:space="preserve">communication metadata from an urban deployment,”</w:t>
      </w:r>
      <w:r>
        <w:t xml:space="preserve"> </w:t>
      </w:r>
      <w:r>
        <w:t xml:space="preserve">in</w:t>
      </w:r>
      <w:r>
        <w:t xml:space="preserve"> </w:t>
      </w:r>
      <w:r>
        <w:rPr>
          <w:i/>
          <w:iCs/>
        </w:rPr>
        <w:t xml:space="preserve">Proc. 12th ACM int. Conf. Systems for energy-efficient buildings, cities, and transportation (BuildSys ’25)</w:t>
      </w:r>
      <w:r>
        <w:t xml:space="preserve">, ACM, 2025, pp. 412–417. doi:</w:t>
      </w:r>
      <w:r>
        <w:t xml:space="preserve"> </w:t>
      </w:r>
      <w:hyperlink r:id="rId85">
        <w:r>
          <w:rPr>
            <w:rStyle w:val="Hyperlink"/>
          </w:rPr>
          <w:t xml:space="preserve">10.1145/3736425.3771960</w:t>
        </w:r>
      </w:hyperlink>
      <w:r>
        <w:t xml:space="preserve">.</w:t>
      </w:r>
    </w:p>
    <w:bookmarkEnd w:id="86"/>
    <w:bookmarkStart w:id="88" w:name="ref-yates2021aoi"/>
    <w:p>
      <w:pPr>
        <w:pStyle w:val="Bibliography"/>
      </w:pPr>
      <w:r>
        <w:t xml:space="preserve">[20]</w:t>
      </w:r>
      <w:r>
        <w:t xml:space="preserve"> </w:t>
      </w:r>
      <w:r>
        <w:t xml:space="preserve">	</w:t>
      </w:r>
      <w:r>
        <w:t xml:space="preserve">R. D. Yates, Y. Sun, D. R. Brown, S. K. Kaul, E. Modiano, and S. Ulukus,</w:t>
      </w:r>
      <w:r>
        <w:t xml:space="preserve"> </w:t>
      </w:r>
      <w:r>
        <w:t xml:space="preserve">“Age of information: An introduction and survey,”</w:t>
      </w:r>
      <w:r>
        <w:t xml:space="preserve"> </w:t>
      </w:r>
      <w:r>
        <w:rPr>
          <w:i/>
          <w:iCs/>
        </w:rPr>
        <w:t xml:space="preserve">IEEE Journal on Selected Areas in Communications</w:t>
      </w:r>
      <w:r>
        <w:t xml:space="preserve">, vol. 39, no. 5, pp. 1183–1210, 2021, doi:</w:t>
      </w:r>
      <w:r>
        <w:t xml:space="preserve"> </w:t>
      </w:r>
      <w:hyperlink r:id="rId87">
        <w:r>
          <w:rPr>
            <w:rStyle w:val="Hyperlink"/>
          </w:rPr>
          <w:t xml:space="preserve">10.1109/jsac.2021.3065072</w:t>
        </w:r>
      </w:hyperlink>
      <w:r>
        <w:t xml:space="preserve">.</w:t>
      </w:r>
    </w:p>
    <w:bookmarkEnd w:id="88"/>
    <w:bookmarkStart w:id="89" w:name="ref-sun2026overlapping"/>
    <w:p>
      <w:pPr>
        <w:pStyle w:val="Bibliography"/>
      </w:pPr>
      <w:r>
        <w:t xml:space="preserve">[21]</w:t>
      </w:r>
      <w:r>
        <w:t xml:space="preserve"> </w:t>
      </w:r>
      <w:r>
        <w:t xml:space="preserve">	</w:t>
      </w:r>
      <w:r>
        <w:t xml:space="preserve">B. Sun and N. Pappas,</w:t>
      </w:r>
      <w:r>
        <w:t xml:space="preserve"> </w:t>
      </w:r>
      <w:r>
        <w:t xml:space="preserve">“Resource-constrained semantic-aware remote estimation with overlapping sensor coverage,”</w:t>
      </w:r>
      <w:r>
        <w:t xml:space="preserve"> </w:t>
      </w:r>
      <w:r>
        <w:t xml:space="preserve">in</w:t>
      </w:r>
      <w:r>
        <w:t xml:space="preserve"> </w:t>
      </w:r>
      <w:r>
        <w:rPr>
          <w:i/>
          <w:iCs/>
        </w:rPr>
        <w:t xml:space="preserve">Proc. ACM MobiHoc</w:t>
      </w:r>
      <w:r>
        <w:t xml:space="preserve">, 2026.</w:t>
      </w:r>
    </w:p>
    <w:bookmarkEnd w:id="89"/>
    <w:bookmarkStart w:id="91" w:name="ref-marcelis2017dare"/>
    <w:p>
      <w:pPr>
        <w:pStyle w:val="Bibliography"/>
      </w:pPr>
      <w:r>
        <w:t xml:space="preserve">[22]</w:t>
      </w:r>
      <w:r>
        <w:t xml:space="preserve"> </w:t>
      </w:r>
      <w:r>
        <w:t xml:space="preserve">	</w:t>
      </w:r>
      <w:r>
        <w:t xml:space="preserve">P. J. Marcelis, V. Rao, and R. V. Prasad,</w:t>
      </w:r>
      <w:r>
        <w:t xml:space="preserve"> </w:t>
      </w:r>
      <w:r>
        <w:t xml:space="preserve">“</w:t>
      </w:r>
      <w:r>
        <w:t xml:space="preserve">DaRe</w:t>
      </w:r>
      <w:r>
        <w:t xml:space="preserve">: Data recovery through application layer coding for</w:t>
      </w:r>
      <w:r>
        <w:t xml:space="preserve"> </w:t>
      </w:r>
      <w:r>
        <w:t xml:space="preserve">LoRaWAN</w:t>
      </w:r>
      <w:r>
        <w:t xml:space="preserve">,”</w:t>
      </w:r>
      <w:r>
        <w:t xml:space="preserve"> </w:t>
      </w:r>
      <w:r>
        <w:t xml:space="preserve">in</w:t>
      </w:r>
      <w:r>
        <w:t xml:space="preserve"> </w:t>
      </w:r>
      <w:r>
        <w:rPr>
          <w:i/>
          <w:iCs/>
        </w:rPr>
        <w:t xml:space="preserve">Proc. 2nd int. Conf. Internet-of-things design and implementation (IoTDI)</w:t>
      </w:r>
      <w:r>
        <w:t xml:space="preserve">, ACM, 2017, pp. 97–108. doi:</w:t>
      </w:r>
      <w:r>
        <w:t xml:space="preserve"> </w:t>
      </w:r>
      <w:hyperlink r:id="rId90">
        <w:r>
          <w:rPr>
            <w:rStyle w:val="Hyperlink"/>
          </w:rPr>
          <w:t xml:space="preserve">10.1145/3054977.3054978</w:t>
        </w:r>
      </w:hyperlink>
      <w:r>
        <w:t xml:space="preserve">.</w:t>
      </w:r>
    </w:p>
    <w:bookmarkEnd w:id="91"/>
    <w:bookmarkStart w:id="93" w:name="ref-luo2009cdg"/>
    <w:p>
      <w:pPr>
        <w:pStyle w:val="Bibliography"/>
      </w:pPr>
      <w:r>
        <w:t xml:space="preserve">[23]</w:t>
      </w:r>
      <w:r>
        <w:t xml:space="preserve"> </w:t>
      </w:r>
      <w:r>
        <w:t xml:space="preserve">	</w:t>
      </w:r>
      <w:r>
        <w:t xml:space="preserve">C. Luo, F. Wu, J. Sun, and C. W. Chen,</w:t>
      </w:r>
      <w:r>
        <w:t xml:space="preserve"> </w:t>
      </w:r>
      <w:r>
        <w:t xml:space="preserve">“Compressive data gathering for large-scale wireless sensor networks,”</w:t>
      </w:r>
      <w:r>
        <w:t xml:space="preserve"> </w:t>
      </w:r>
      <w:r>
        <w:t xml:space="preserve">in</w:t>
      </w:r>
      <w:r>
        <w:t xml:space="preserve"> </w:t>
      </w:r>
      <w:r>
        <w:rPr>
          <w:i/>
          <w:iCs/>
        </w:rPr>
        <w:t xml:space="preserve">Proc. 15th annu. Int. Conf. Mobile computing and networking (MobiCom)</w:t>
      </w:r>
      <w:r>
        <w:t xml:space="preserve">, ACM, 2009, pp. 145–156. doi:</w:t>
      </w:r>
      <w:r>
        <w:t xml:space="preserve"> </w:t>
      </w:r>
      <w:hyperlink r:id="rId92">
        <w:r>
          <w:rPr>
            <w:rStyle w:val="Hyperlink"/>
          </w:rPr>
          <w:t xml:space="preserve">10.1145/1614320.1614337</w:t>
        </w:r>
      </w:hyperlink>
      <w:r>
        <w:t xml:space="preserve">.</w:t>
      </w:r>
    </w:p>
    <w:bookmarkEnd w:id="93"/>
    <w:bookmarkStart w:id="95" w:name="ref-cheng2013stcdg"/>
    <w:p>
      <w:pPr>
        <w:pStyle w:val="Bibliography"/>
      </w:pPr>
      <w:r>
        <w:t xml:space="preserve">[24]</w:t>
      </w:r>
      <w:r>
        <w:t xml:space="preserve"> </w:t>
      </w:r>
      <w:r>
        <w:t xml:space="preserve">	</w:t>
      </w:r>
      <w:r>
        <w:t xml:space="preserve">J. Cheng, Q. Ye, H. Jiang, D. Wang, and C. Wang,</w:t>
      </w:r>
      <w:r>
        <w:t xml:space="preserve"> </w:t>
      </w:r>
      <w:r>
        <w:t xml:space="preserve">“</w:t>
      </w:r>
      <w:r>
        <w:t xml:space="preserve">STCDG</w:t>
      </w:r>
      <w:r>
        <w:t xml:space="preserve">: An efficient data gathering algorithm based on matrix completion for wireless sensor networks,”</w:t>
      </w:r>
      <w:r>
        <w:t xml:space="preserve"> </w:t>
      </w:r>
      <w:r>
        <w:rPr>
          <w:i/>
          <w:iCs/>
        </w:rPr>
        <w:t xml:space="preserve">IEEE Transactions on Wireless Communications</w:t>
      </w:r>
      <w:r>
        <w:t xml:space="preserve">, vol. 12, no. 2, pp. 850–861, 2013, doi:</w:t>
      </w:r>
      <w:r>
        <w:t xml:space="preserve"> </w:t>
      </w:r>
      <w:hyperlink r:id="rId94">
        <w:r>
          <w:rPr>
            <w:rStyle w:val="Hyperlink"/>
          </w:rPr>
          <w:t xml:space="preserve">10.1109/twc.2012.121412.120148</w:t>
        </w:r>
      </w:hyperlink>
      <w:r>
        <w:t xml:space="preserve">.</w:t>
      </w:r>
    </w:p>
    <w:bookmarkEnd w:id="95"/>
    <w:bookmarkStart w:id="97" w:name="ref-piao2014lowrank"/>
    <w:p>
      <w:pPr>
        <w:pStyle w:val="Bibliography"/>
      </w:pPr>
      <w:r>
        <w:t xml:space="preserve">[25]</w:t>
      </w:r>
      <w:r>
        <w:t xml:space="preserve"> </w:t>
      </w:r>
      <w:r>
        <w:t xml:space="preserve">	</w:t>
      </w:r>
      <w:r>
        <w:t xml:space="preserve">X. Piao, Y. Hu, Y. Sun, B. Yin, and J. Gao,</w:t>
      </w:r>
      <w:r>
        <w:t xml:space="preserve"> </w:t>
      </w:r>
      <w:r>
        <w:t xml:space="preserve">“Correlated spatio-temporal data collection in wireless sensor networks based on low rank matrix approximation and optimized node sampling,”</w:t>
      </w:r>
      <w:r>
        <w:t xml:space="preserve"> </w:t>
      </w:r>
      <w:r>
        <w:rPr>
          <w:i/>
          <w:iCs/>
        </w:rPr>
        <w:t xml:space="preserve">Sensors</w:t>
      </w:r>
      <w:r>
        <w:t xml:space="preserve">, vol. 14, no. 12, pp. 23137–23158, 2014, doi:</w:t>
      </w:r>
      <w:r>
        <w:t xml:space="preserve"> </w:t>
      </w:r>
      <w:hyperlink r:id="rId96">
        <w:r>
          <w:rPr>
            <w:rStyle w:val="Hyperlink"/>
          </w:rPr>
          <w:t xml:space="preserve">10.3390/s141223137</w:t>
        </w:r>
      </w:hyperlink>
      <w:r>
        <w:t xml:space="preserve">.</w:t>
      </w:r>
    </w:p>
    <w:bookmarkEnd w:id="97"/>
    <w:bookmarkStart w:id="98" w:name="ref-cao2020stemgnn"/>
    <w:p>
      <w:pPr>
        <w:pStyle w:val="Bibliography"/>
      </w:pPr>
      <w:r>
        <w:t xml:space="preserve">[26]</w:t>
      </w:r>
      <w:r>
        <w:t xml:space="preserve"> </w:t>
      </w:r>
      <w:r>
        <w:t xml:space="preserve">	</w:t>
      </w:r>
      <w:r>
        <w:t xml:space="preserve">D. Cao</w:t>
      </w:r>
      <w:r>
        <w:t xml:space="preserve"> </w:t>
      </w:r>
      <w:r>
        <w:rPr>
          <w:i/>
          <w:iCs/>
        </w:rPr>
        <w:t xml:space="preserve">et al.</w:t>
      </w:r>
      <w:r>
        <w:t xml:space="preserve">,</w:t>
      </w:r>
      <w:r>
        <w:t xml:space="preserve"> </w:t>
      </w:r>
      <w:r>
        <w:t xml:space="preserve">“Spectral temporal graph neural network for multivariate time-series forecasting,”</w:t>
      </w:r>
      <w:r>
        <w:t xml:space="preserve"> </w:t>
      </w:r>
      <w:r>
        <w:t xml:space="preserve">in</w:t>
      </w:r>
      <w:r>
        <w:t xml:space="preserve"> </w:t>
      </w:r>
      <w:r>
        <w:rPr>
          <w:i/>
          <w:iCs/>
        </w:rPr>
        <w:t xml:space="preserve">Advances in neural information processing systems (NeurIPS)</w:t>
      </w:r>
      <w:r>
        <w:t xml:space="preserve">, 2020, pp. 17766–17778.</w:t>
      </w:r>
    </w:p>
    <w:bookmarkEnd w:id="98"/>
    <w:bookmarkStart w:id="100" w:name="ref-jing2024casper"/>
    <w:p>
      <w:pPr>
        <w:pStyle w:val="Bibliography"/>
      </w:pPr>
      <w:r>
        <w:t xml:space="preserve">[27]</w:t>
      </w:r>
      <w:r>
        <w:t xml:space="preserve"> </w:t>
      </w:r>
      <w:r>
        <w:t xml:space="preserve">	</w:t>
      </w:r>
      <w:r>
        <w:t xml:space="preserve">B. Jing, D. Zhou, K. Ren, and C. Yang,</w:t>
      </w:r>
      <w:r>
        <w:t xml:space="preserve"> </w:t>
      </w:r>
      <w:r>
        <w:t xml:space="preserve">“Causality-aware spatiotemporal graph neural networks for spatiotemporal time series imputation,”</w:t>
      </w:r>
      <w:r>
        <w:t xml:space="preserve"> </w:t>
      </w:r>
      <w:r>
        <w:t xml:space="preserve">in</w:t>
      </w:r>
      <w:r>
        <w:t xml:space="preserve"> </w:t>
      </w:r>
      <w:r>
        <w:rPr>
          <w:i/>
          <w:iCs/>
        </w:rPr>
        <w:t xml:space="preserve">Proc. 33rd ACM int. Conf. Information and knowledge management (CIKM)</w:t>
      </w:r>
      <w:r>
        <w:t xml:space="preserve">, ACM, 2024, pp. 1027–1037. doi:</w:t>
      </w:r>
      <w:r>
        <w:t xml:space="preserve"> </w:t>
      </w:r>
      <w:hyperlink r:id="rId99">
        <w:r>
          <w:rPr>
            <w:rStyle w:val="Hyperlink"/>
          </w:rPr>
          <w:t xml:space="preserve">10.1145/3627673.3679642</w:t>
        </w:r>
      </w:hyperlink>
      <w:r>
        <w:t xml:space="preserve">.</w:t>
      </w:r>
    </w:p>
    <w:bookmarkEnd w:id="100"/>
    <w:bookmarkStart w:id="102" w:name="ref-du2023saits"/>
    <w:p>
      <w:pPr>
        <w:pStyle w:val="Bibliography"/>
      </w:pPr>
      <w:r>
        <w:t xml:space="preserve">[28]</w:t>
      </w:r>
      <w:r>
        <w:t xml:space="preserve"> </w:t>
      </w:r>
      <w:r>
        <w:t xml:space="preserve">	</w:t>
      </w:r>
      <w:r>
        <w:t xml:space="preserve">W. Du, D. Côté, and Y. Liu,</w:t>
      </w:r>
      <w:r>
        <w:t xml:space="preserve"> </w:t>
      </w:r>
      <w:r>
        <w:t xml:space="preserve">“</w:t>
      </w:r>
      <w:r>
        <w:t xml:space="preserve">SAITS</w:t>
      </w:r>
      <w:r>
        <w:t xml:space="preserve">: Self-attention-based imputation for time series,”</w:t>
      </w:r>
      <w:r>
        <w:t xml:space="preserve"> </w:t>
      </w:r>
      <w:r>
        <w:rPr>
          <w:i/>
          <w:iCs/>
        </w:rPr>
        <w:t xml:space="preserve">Expert Systems with Applications</w:t>
      </w:r>
      <w:r>
        <w:t xml:space="preserve">, vol. 219, p. 119619, 2023, doi:</w:t>
      </w:r>
      <w:r>
        <w:t xml:space="preserve"> </w:t>
      </w:r>
      <w:hyperlink r:id="rId101">
        <w:r>
          <w:rPr>
            <w:rStyle w:val="Hyperlink"/>
          </w:rPr>
          <w:t xml:space="preserve">10.1016/j.eswa.2023.119619</w:t>
        </w:r>
      </w:hyperlink>
      <w:r>
        <w:t xml:space="preserve">.</w:t>
      </w:r>
    </w:p>
    <w:bookmarkEnd w:id="102"/>
    <w:bookmarkStart w:id="104" w:name="ref-nie2024imputeformer"/>
    <w:p>
      <w:pPr>
        <w:pStyle w:val="Bibliography"/>
      </w:pPr>
      <w:r>
        <w:t xml:space="preserve">[29]</w:t>
      </w:r>
      <w:r>
        <w:t xml:space="preserve"> </w:t>
      </w:r>
      <w:r>
        <w:t xml:space="preserve">	</w:t>
      </w:r>
      <w:r>
        <w:t xml:space="preserve">T. Nie, G. Qin, W. Ma, Y. Mei, and J. Sun,</w:t>
      </w:r>
      <w:r>
        <w:t xml:space="preserve"> </w:t>
      </w:r>
      <w:r>
        <w:t xml:space="preserve">“</w:t>
      </w:r>
      <w:r>
        <w:t xml:space="preserve">ImputeFormer</w:t>
      </w:r>
      <w:r>
        <w:t xml:space="preserve">: Low rankness-induced transformers for generalizable spatiotemporal imputation,”</w:t>
      </w:r>
      <w:r>
        <w:t xml:space="preserve"> </w:t>
      </w:r>
      <w:r>
        <w:t xml:space="preserve">in</w:t>
      </w:r>
      <w:r>
        <w:t xml:space="preserve"> </w:t>
      </w:r>
      <w:r>
        <w:rPr>
          <w:i/>
          <w:iCs/>
        </w:rPr>
        <w:t xml:space="preserve">Proc. 30th ACM SIGKDD conf. Knowledge discovery and data mining (KDD)</w:t>
      </w:r>
      <w:r>
        <w:t xml:space="preserve">, ACM, 2024, pp. 2260–2271. doi:</w:t>
      </w:r>
      <w:r>
        <w:t xml:space="preserve"> </w:t>
      </w:r>
      <w:hyperlink r:id="rId103">
        <w:r>
          <w:rPr>
            <w:rStyle w:val="Hyperlink"/>
          </w:rPr>
          <w:t xml:space="preserve">10.1145/3637528.3671751</w:t>
        </w:r>
      </w:hyperlink>
      <w:r>
        <w:t xml:space="preserve">.</w:t>
      </w:r>
    </w:p>
    <w:bookmarkEnd w:id="104"/>
    <w:bookmarkStart w:id="106" w:name="ref-peterson2010mixed"/>
    <w:p>
      <w:pPr>
        <w:pStyle w:val="Bibliography"/>
      </w:pPr>
      <w:r>
        <w:t xml:space="preserve">[30]</w:t>
      </w:r>
      <w:r>
        <w:t xml:space="preserve"> </w:t>
      </w:r>
      <w:r>
        <w:t xml:space="preserve">	</w:t>
      </w:r>
      <w:r>
        <w:t xml:space="preserve">E. E. Peterson and J. M. Ver Hoef,</w:t>
      </w:r>
      <w:r>
        <w:t xml:space="preserve"> </w:t>
      </w:r>
      <w:r>
        <w:t xml:space="preserve">“A mixed-model moving-average approach to geostatistical modeling in stream networks,”</w:t>
      </w:r>
      <w:r>
        <w:t xml:space="preserve"> </w:t>
      </w:r>
      <w:r>
        <w:rPr>
          <w:i/>
          <w:iCs/>
        </w:rPr>
        <w:t xml:space="preserve">Ecology</w:t>
      </w:r>
      <w:r>
        <w:t xml:space="preserve">, vol. 91, no. 3, pp. 644–651, 2010, doi:</w:t>
      </w:r>
      <w:r>
        <w:t xml:space="preserve"> </w:t>
      </w:r>
      <w:hyperlink r:id="rId105">
        <w:r>
          <w:rPr>
            <w:rStyle w:val="Hyperlink"/>
          </w:rPr>
          <w:t xml:space="preserve">10.1890/08-1668.1</w:t>
        </w:r>
      </w:hyperlink>
      <w:r>
        <w:t xml:space="preserve">.</w:t>
      </w:r>
    </w:p>
    <w:bookmarkEnd w:id="106"/>
    <w:bookmarkStart w:id="108" w:name="ref-mcdonald2007sendt"/>
    <w:p>
      <w:pPr>
        <w:pStyle w:val="Bibliography"/>
      </w:pPr>
      <w:r>
        <w:t xml:space="preserve">[31]</w:t>
      </w:r>
      <w:r>
        <w:t xml:space="preserve"> </w:t>
      </w:r>
      <w:r>
        <w:t xml:space="preserve">	</w:t>
      </w:r>
      <w:r>
        <w:t xml:space="preserve">P. McDonald, D. Geraghty, I. Humphreys, S. Farrell, and V. Cahill,</w:t>
      </w:r>
      <w:r>
        <w:t xml:space="preserve"> </w:t>
      </w:r>
      <w:r>
        <w:t xml:space="preserve">“Sensor network with delay tolerance (</w:t>
      </w:r>
      <w:r>
        <w:t xml:space="preserve">SeNDT</w:t>
      </w:r>
      <w:r>
        <w:t xml:space="preserve">),”</w:t>
      </w:r>
      <w:r>
        <w:t xml:space="preserve"> </w:t>
      </w:r>
      <w:r>
        <w:t xml:space="preserve">in</w:t>
      </w:r>
      <w:r>
        <w:t xml:space="preserve"> </w:t>
      </w:r>
      <w:r>
        <w:rPr>
          <w:i/>
          <w:iCs/>
        </w:rPr>
        <w:t xml:space="preserve">2007 16th international conference on computer communications and networks</w:t>
      </w:r>
      <w:r>
        <w:t xml:space="preserve">, IEEE, 2007, pp. 1333–1338. doi:</w:t>
      </w:r>
      <w:r>
        <w:t xml:space="preserve"> </w:t>
      </w:r>
      <w:hyperlink r:id="rId107">
        <w:r>
          <w:rPr>
            <w:rStyle w:val="Hyperlink"/>
          </w:rPr>
          <w:t xml:space="preserve">10.1109/icccn.2007.4318006</w:t>
        </w:r>
      </w:hyperlink>
      <w:r>
        <w:t xml:space="preserve">.</w:t>
      </w:r>
    </w:p>
    <w:bookmarkEnd w:id="108"/>
    <w:bookmarkStart w:id="110" w:name="ref-murphy2021arctic"/>
    <w:p>
      <w:pPr>
        <w:pStyle w:val="Bibliography"/>
      </w:pPr>
      <w:r>
        <w:t xml:space="preserve">[32]</w:t>
      </w:r>
      <w:r>
        <w:t xml:space="preserve"> </w:t>
      </w:r>
      <w:r>
        <w:t xml:space="preserve">	</w:t>
      </w:r>
      <w:r>
        <w:t xml:space="preserve">M. J. Murphy</w:t>
      </w:r>
      <w:r>
        <w:t xml:space="preserve"> </w:t>
      </w:r>
      <w:r>
        <w:rPr>
          <w:i/>
          <w:iCs/>
        </w:rPr>
        <w:t xml:space="preserve">et al.</w:t>
      </w:r>
      <w:r>
        <w:t xml:space="preserve">,</w:t>
      </w:r>
      <w:r>
        <w:t xml:space="preserve"> </w:t>
      </w:r>
      <w:r>
        <w:t xml:space="preserve">“Experiences building and deploying wireless sensor nodes for the arctic tundra,”</w:t>
      </w:r>
      <w:r>
        <w:t xml:space="preserve"> </w:t>
      </w:r>
      <w:r>
        <w:t xml:space="preserve">in</w:t>
      </w:r>
      <w:r>
        <w:t xml:space="preserve"> </w:t>
      </w:r>
      <w:r>
        <w:rPr>
          <w:i/>
          <w:iCs/>
        </w:rPr>
        <w:t xml:space="preserve">Proc. IEEE/ACM 21st int. Symp. Cluster, cloud and internet computing (CCGrid)</w:t>
      </w:r>
      <w:r>
        <w:t xml:space="preserve">, IEEE, 2021, pp. 376–385. doi:</w:t>
      </w:r>
      <w:r>
        <w:t xml:space="preserve"> </w:t>
      </w:r>
      <w:hyperlink r:id="rId109">
        <w:r>
          <w:rPr>
            <w:rStyle w:val="Hyperlink"/>
          </w:rPr>
          <w:t xml:space="preserve">10.1109/ccgrid51090.2021.00047</w:t>
        </w:r>
      </w:hyperlink>
      <w:r>
        <w:t xml:space="preserve">.</w:t>
      </w:r>
    </w:p>
    <w:bookmarkEnd w:id="110"/>
    <w:bookmarkStart w:id="112" w:name="ref-casals2017lorawan"/>
    <w:p>
      <w:pPr>
        <w:pStyle w:val="Bibliography"/>
      </w:pPr>
      <w:r>
        <w:t xml:space="preserve">[33]</w:t>
      </w:r>
      <w:r>
        <w:t xml:space="preserve"> </w:t>
      </w:r>
      <w:r>
        <w:t xml:space="preserve">	</w:t>
      </w:r>
      <w:r>
        <w:t xml:space="preserve">L. Casals, B. Mir, R. Vidal, and C. Gomez,</w:t>
      </w:r>
      <w:r>
        <w:t xml:space="preserve"> </w:t>
      </w:r>
      <w:r>
        <w:t xml:space="preserve">“Modeling the energy performance of</w:t>
      </w:r>
      <w:r>
        <w:t xml:space="preserve"> </w:t>
      </w:r>
      <w:r>
        <w:t xml:space="preserve">LoRaWAN</w:t>
      </w:r>
      <w:r>
        <w:t xml:space="preserve">,”</w:t>
      </w:r>
      <w:r>
        <w:t xml:space="preserve"> </w:t>
      </w:r>
      <w:r>
        <w:rPr>
          <w:i/>
          <w:iCs/>
        </w:rPr>
        <w:t xml:space="preserve">Sensors</w:t>
      </w:r>
      <w:r>
        <w:t xml:space="preserve">, vol. 17, no. 10, p. 2364, 2017, doi:</w:t>
      </w:r>
      <w:r>
        <w:t xml:space="preserve"> </w:t>
      </w:r>
      <w:hyperlink r:id="rId111">
        <w:r>
          <w:rPr>
            <w:rStyle w:val="Hyperlink"/>
          </w:rPr>
          <w:t xml:space="preserve">10.3390/s17102364</w:t>
        </w:r>
      </w:hyperlink>
      <w:r>
        <w:t xml:space="preserve">.</w:t>
      </w:r>
    </w:p>
    <w:bookmarkEnd w:id="112"/>
    <w:bookmarkStart w:id="114" w:name="ref-michelinakis2021dissecting"/>
    <w:p>
      <w:pPr>
        <w:pStyle w:val="Bibliography"/>
      </w:pPr>
      <w:r>
        <w:t xml:space="preserve">[34]</w:t>
      </w:r>
      <w:r>
        <w:t xml:space="preserve"> </w:t>
      </w:r>
      <w:r>
        <w:t xml:space="preserve">	</w:t>
      </w:r>
      <w:r>
        <w:t xml:space="preserve">F. Michelinakis, A. S. Al-Selwi, M. Capuzzo, A. Zanella, K. Mahmood, and A. Elmokashfi,</w:t>
      </w:r>
      <w:r>
        <w:t xml:space="preserve"> </w:t>
      </w:r>
      <w:r>
        <w:t xml:space="preserve">“Dissecting energy consumption of</w:t>
      </w:r>
      <w:r>
        <w:t xml:space="preserve"> </w:t>
      </w:r>
      <w:r>
        <w:t xml:space="preserve">NB-IoT</w:t>
      </w:r>
      <w:r>
        <w:t xml:space="preserve"> </w:t>
      </w:r>
      <w:r>
        <w:t xml:space="preserve">devices empirically,”</w:t>
      </w:r>
      <w:r>
        <w:t xml:space="preserve"> </w:t>
      </w:r>
      <w:r>
        <w:rPr>
          <w:i/>
          <w:iCs/>
        </w:rPr>
        <w:t xml:space="preserve">IEEE Internet of Things Journal</w:t>
      </w:r>
      <w:r>
        <w:t xml:space="preserve">, vol. 8, no. 2, pp. 1224–1242, 2021, doi:</w:t>
      </w:r>
      <w:r>
        <w:t xml:space="preserve"> </w:t>
      </w:r>
      <w:hyperlink r:id="rId113">
        <w:r>
          <w:rPr>
            <w:rStyle w:val="Hyperlink"/>
          </w:rPr>
          <w:t xml:space="preserve">10.1109/JIOT.2020.3013949</w:t>
        </w:r>
      </w:hyperlink>
      <w:r>
        <w:t xml:space="preserve">.</w:t>
      </w:r>
    </w:p>
    <w:bookmarkEnd w:id="114"/>
    <w:bookmarkStart w:id="116" w:name="ref-sorensen2022nbiot"/>
    <w:p>
      <w:pPr>
        <w:pStyle w:val="Bibliography"/>
      </w:pPr>
      <w:r>
        <w:t xml:space="preserve">[35]</w:t>
      </w:r>
      <w:r>
        <w:t xml:space="preserve"> </w:t>
      </w:r>
      <w:r>
        <w:t xml:space="preserve">	</w:t>
      </w:r>
      <w:r>
        <w:t xml:space="preserve">A. Sørensen</w:t>
      </w:r>
      <w:r>
        <w:t xml:space="preserve"> </w:t>
      </w:r>
      <w:r>
        <w:rPr>
          <w:i/>
          <w:iCs/>
        </w:rPr>
        <w:t xml:space="preserve">et al.</w:t>
      </w:r>
      <w:r>
        <w:t xml:space="preserve">,</w:t>
      </w:r>
      <w:r>
        <w:t xml:space="preserve"> </w:t>
      </w:r>
      <w:r>
        <w:t xml:space="preserve">“Modeling and experimental validation for battery lifetime estimation in</w:t>
      </w:r>
      <w:r>
        <w:t xml:space="preserve"> </w:t>
      </w:r>
      <w:r>
        <w:t xml:space="preserve">NB-IoT</w:t>
      </w:r>
      <w:r>
        <w:t xml:space="preserve"> </w:t>
      </w:r>
      <w:r>
        <w:t xml:space="preserve">and</w:t>
      </w:r>
      <w:r>
        <w:t xml:space="preserve"> </w:t>
      </w:r>
      <w:r>
        <w:t xml:space="preserve">LTE-M</w:t>
      </w:r>
      <w:r>
        <w:t xml:space="preserve">,”</w:t>
      </w:r>
      <w:r>
        <w:t xml:space="preserve"> </w:t>
      </w:r>
      <w:r>
        <w:rPr>
          <w:i/>
          <w:iCs/>
        </w:rPr>
        <w:t xml:space="preserve">IEEE Internet of Things Journal</w:t>
      </w:r>
      <w:r>
        <w:t xml:space="preserve">, vol. 9, no. 12, pp. 9804–9819, 2022, doi:</w:t>
      </w:r>
      <w:r>
        <w:t xml:space="preserve"> </w:t>
      </w:r>
      <w:hyperlink r:id="rId115">
        <w:r>
          <w:rPr>
            <w:rStyle w:val="Hyperlink"/>
          </w:rPr>
          <w:t xml:space="preserve">10.1109/JIOT.2022.3152173</w:t>
        </w:r>
      </w:hyperlink>
      <w:r>
        <w:t xml:space="preserve">.</w:t>
      </w:r>
    </w:p>
    <w:bookmarkEnd w:id="116"/>
    <w:bookmarkStart w:id="118" w:name="ref-azari2019nbiot"/>
    <w:p>
      <w:pPr>
        <w:pStyle w:val="Bibliography"/>
      </w:pPr>
      <w:r>
        <w:t xml:space="preserve">[36]</w:t>
      </w:r>
      <w:r>
        <w:t xml:space="preserve"> </w:t>
      </w:r>
      <w:r>
        <w:t xml:space="preserve">	</w:t>
      </w:r>
      <w:r>
        <w:t xml:space="preserve">A. Azari, C. Stefanovic, P. Popovski, and C. Cavdar,</w:t>
      </w:r>
      <w:r>
        <w:t xml:space="preserve"> </w:t>
      </w:r>
      <w:r>
        <w:t xml:space="preserve">“On the latency-energy performance of</w:t>
      </w:r>
      <w:r>
        <w:t xml:space="preserve"> </w:t>
      </w:r>
      <w:r>
        <w:t xml:space="preserve">NB-IoT</w:t>
      </w:r>
      <w:r>
        <w:t xml:space="preserve"> </w:t>
      </w:r>
      <w:r>
        <w:t xml:space="preserve">systems in providing wide-area</w:t>
      </w:r>
      <w:r>
        <w:t xml:space="preserve"> </w:t>
      </w:r>
      <w:r>
        <w:t xml:space="preserve">IoT</w:t>
      </w:r>
      <w:r>
        <w:t xml:space="preserve"> </w:t>
      </w:r>
      <w:r>
        <w:t xml:space="preserve">connectivity,”</w:t>
      </w:r>
      <w:r>
        <w:t xml:space="preserve"> </w:t>
      </w:r>
      <w:r>
        <w:rPr>
          <w:i/>
          <w:iCs/>
        </w:rPr>
        <w:t xml:space="preserve">IEEE Transactions on Green Communications and Networking</w:t>
      </w:r>
      <w:r>
        <w:t xml:space="preserve">, vol. 4, no. 1, pp. 57–68, 2020, doi:</w:t>
      </w:r>
      <w:r>
        <w:t xml:space="preserve"> </w:t>
      </w:r>
      <w:hyperlink r:id="rId117">
        <w:r>
          <w:rPr>
            <w:rStyle w:val="Hyperlink"/>
          </w:rPr>
          <w:t xml:space="preserve">10.1109/tgcn.2019.2948591</w:t>
        </w:r>
      </w:hyperlink>
      <w:r>
        <w:t xml:space="preserve">.</w:t>
      </w:r>
    </w:p>
    <w:bookmarkEnd w:id="118"/>
    <w:bookmarkStart w:id="120" w:name="ref-ugwuanyi2021developing"/>
    <w:p>
      <w:pPr>
        <w:pStyle w:val="Bibliography"/>
      </w:pPr>
      <w:r>
        <w:t xml:space="preserve">[37]</w:t>
      </w:r>
      <w:r>
        <w:t xml:space="preserve"> </w:t>
      </w:r>
      <w:r>
        <w:t xml:space="preserve">	</w:t>
      </w:r>
      <w:r>
        <w:t xml:space="preserve">S. Ugwuanyi, G. Paul, and J. Irvine,</w:t>
      </w:r>
      <w:r>
        <w:t xml:space="preserve"> </w:t>
      </w:r>
      <w:r>
        <w:t xml:space="preserve">“Survey of</w:t>
      </w:r>
      <w:r>
        <w:t xml:space="preserve"> </w:t>
      </w:r>
      <w:r>
        <w:t xml:space="preserve">IoT</w:t>
      </w:r>
      <w:r>
        <w:t xml:space="preserve"> </w:t>
      </w:r>
      <w:r>
        <w:t xml:space="preserve">for developing countries: Performance analysis of</w:t>
      </w:r>
      <w:r>
        <w:t xml:space="preserve"> </w:t>
      </w:r>
      <w:r>
        <w:t xml:space="preserve">LoRaWAN</w:t>
      </w:r>
      <w:r>
        <w:t xml:space="preserve"> </w:t>
      </w:r>
      <w:r>
        <w:t xml:space="preserve">and cellular</w:t>
      </w:r>
      <w:r>
        <w:t xml:space="preserve"> </w:t>
      </w:r>
      <w:r>
        <w:t xml:space="preserve">NB-IoT</w:t>
      </w:r>
      <w:r>
        <w:t xml:space="preserve"> </w:t>
      </w:r>
      <w:r>
        <w:t xml:space="preserve">networks,”</w:t>
      </w:r>
      <w:r>
        <w:t xml:space="preserve"> </w:t>
      </w:r>
      <w:r>
        <w:rPr>
          <w:i/>
          <w:iCs/>
        </w:rPr>
        <w:t xml:space="preserve">Electronics</w:t>
      </w:r>
      <w:r>
        <w:t xml:space="preserve">, vol. 10, no. 18, p. 2224, 2021, doi:</w:t>
      </w:r>
      <w:r>
        <w:t xml:space="preserve"> </w:t>
      </w:r>
      <w:hyperlink r:id="rId119">
        <w:r>
          <w:rPr>
            <w:rStyle w:val="Hyperlink"/>
          </w:rPr>
          <w:t xml:space="preserve">10.3390/electronics10182224</w:t>
        </w:r>
      </w:hyperlink>
      <w:r>
        <w:t xml:space="preserve">.</w:t>
      </w:r>
    </w:p>
    <w:bookmarkEnd w:id="120"/>
    <w:bookmarkStart w:id="122" w:name="ref-dias2016survey"/>
    <w:p>
      <w:pPr>
        <w:pStyle w:val="Bibliography"/>
      </w:pPr>
      <w:r>
        <w:t xml:space="preserve">[38]</w:t>
      </w:r>
      <w:r>
        <w:t xml:space="preserve"> </w:t>
      </w:r>
      <w:r>
        <w:t xml:space="preserve">	</w:t>
      </w:r>
      <w:r>
        <w:t xml:space="preserve">G. M. Dias, B. Bellalta, and S. Oechsner,</w:t>
      </w:r>
      <w:r>
        <w:t xml:space="preserve"> </w:t>
      </w:r>
      <w:r>
        <w:t xml:space="preserve">“A survey about prediction-based data reduction in wireless sensor networks,”</w:t>
      </w:r>
      <w:r>
        <w:t xml:space="preserve"> </w:t>
      </w:r>
      <w:r>
        <w:rPr>
          <w:i/>
          <w:iCs/>
        </w:rPr>
        <w:t xml:space="preserve">ACM Computing Surveys</w:t>
      </w:r>
      <w:r>
        <w:t xml:space="preserve">, vol. 49, no. 3, pp. 1–35, 2016, doi:</w:t>
      </w:r>
      <w:r>
        <w:t xml:space="preserve"> </w:t>
      </w:r>
      <w:hyperlink r:id="rId121">
        <w:r>
          <w:rPr>
            <w:rStyle w:val="Hyperlink"/>
          </w:rPr>
          <w:t xml:space="preserve">10.1145/2996356</w:t>
        </w:r>
      </w:hyperlink>
      <w:r>
        <w:t xml:space="preserve">.</w:t>
      </w:r>
    </w:p>
    <w:bookmarkEnd w:id="122"/>
    <w:bookmarkStart w:id="123" w:name="ref-santini2006adaptive"/>
    <w:p>
      <w:pPr>
        <w:pStyle w:val="Bibliography"/>
      </w:pPr>
      <w:r>
        <w:t xml:space="preserve">[39]</w:t>
      </w:r>
      <w:r>
        <w:t xml:space="preserve"> </w:t>
      </w:r>
      <w:r>
        <w:t xml:space="preserve">	</w:t>
      </w:r>
      <w:r>
        <w:t xml:space="preserve">S. Santini and K. Römer,</w:t>
      </w:r>
      <w:r>
        <w:t xml:space="preserve"> </w:t>
      </w:r>
      <w:r>
        <w:t xml:space="preserve">“An adaptive strategy for quality-based data reduction in wireless sensor networks,”</w:t>
      </w:r>
      <w:r>
        <w:t xml:space="preserve"> </w:t>
      </w:r>
      <w:r>
        <w:t xml:space="preserve">in</w:t>
      </w:r>
      <w:r>
        <w:t xml:space="preserve"> </w:t>
      </w:r>
      <w:r>
        <w:rPr>
          <w:i/>
          <w:iCs/>
        </w:rPr>
        <w:t xml:space="preserve">Proc. 3rd int. Conf. Networked sensing systems (INSS)</w:t>
      </w:r>
      <w:r>
        <w:t xml:space="preserve">, 2006.</w:t>
      </w:r>
    </w:p>
    <w:bookmarkEnd w:id="123"/>
    <w:bookmarkStart w:id="125" w:name="ref-arnaiz2024adaptive"/>
    <w:p>
      <w:pPr>
        <w:pStyle w:val="Bibliography"/>
      </w:pPr>
      <w:r>
        <w:t xml:space="preserve">[40]</w:t>
      </w:r>
      <w:r>
        <w:t xml:space="preserve"> </w:t>
      </w:r>
      <w:r>
        <w:t xml:space="preserve">	</w:t>
      </w:r>
      <w:r>
        <w:t xml:space="preserve">D. Arnaiz, F. Moll, E. Alarcón, and X. Vilajosana,</w:t>
      </w:r>
      <w:r>
        <w:t xml:space="preserve"> </w:t>
      </w:r>
      <w:r>
        <w:t xml:space="preserve">“Energy and relevance-aware adaptive monitoring method for wireless sensor nodes with hard energy constraints,”</w:t>
      </w:r>
      <w:r>
        <w:t xml:space="preserve"> </w:t>
      </w:r>
      <w:r>
        <w:rPr>
          <w:i/>
          <w:iCs/>
        </w:rPr>
        <w:t xml:space="preserve">Integration</w:t>
      </w:r>
      <w:r>
        <w:t xml:space="preserve">, vol. 94, p. 102097, 2024, doi:</w:t>
      </w:r>
      <w:r>
        <w:t xml:space="preserve"> </w:t>
      </w:r>
      <w:hyperlink r:id="rId124">
        <w:r>
          <w:rPr>
            <w:rStyle w:val="Hyperlink"/>
          </w:rPr>
          <w:t xml:space="preserve">10.1016/j.vlsi.2023.102097</w:t>
        </w:r>
      </w:hyperlink>
      <w:r>
        <w:t xml:space="preserve">.</w:t>
      </w:r>
    </w:p>
    <w:bookmarkEnd w:id="125"/>
    <w:bookmarkStart w:id="127" w:name="ref-ahmedi2021inwatersense"/>
    <w:p>
      <w:pPr>
        <w:pStyle w:val="Bibliography"/>
      </w:pPr>
      <w:r>
        <w:t xml:space="preserve">[41]</w:t>
      </w:r>
      <w:r>
        <w:t xml:space="preserve"> </w:t>
      </w:r>
      <w:r>
        <w:t xml:space="preserve">	</w:t>
      </w:r>
      <w:r>
        <w:t xml:space="preserve">L. Ahmedi,</w:t>
      </w:r>
      <w:r>
        <w:t xml:space="preserve"> </w:t>
      </w:r>
      <w:r>
        <w:t xml:space="preserve">“</w:t>
      </w:r>
      <w:r>
        <w:t xml:space="preserve">InWaterSense</w:t>
      </w:r>
      <w:r>
        <w:t xml:space="preserve"> </w:t>
      </w:r>
      <w:r>
        <w:t xml:space="preserve">dataset: Data from a wireless sensor network on water quality monitoring in a river in</w:t>
      </w:r>
      <w:r>
        <w:t xml:space="preserve"> </w:t>
      </w:r>
      <w:r>
        <w:t xml:space="preserve">Kosovo</w:t>
      </w:r>
      <w:r>
        <w:t xml:space="preserve">.”</w:t>
      </w:r>
      <w:r>
        <w:t xml:space="preserve"> </w:t>
      </w:r>
      <w:r>
        <w:t xml:space="preserve">Mendeley Data, V1, 2021. doi:</w:t>
      </w:r>
      <w:r>
        <w:t xml:space="preserve"> </w:t>
      </w:r>
      <w:hyperlink r:id="rId126">
        <w:r>
          <w:rPr>
            <w:rStyle w:val="Hyperlink"/>
          </w:rPr>
          <w:t xml:space="preserve">10.17632/krzv3g6d5f.1</w:t>
        </w:r>
      </w:hyperlink>
      <w:r>
        <w:t xml:space="preserve">.</w:t>
      </w:r>
    </w:p>
    <w:bookmarkEnd w:id="127"/>
    <w:bookmarkStart w:id="129" w:name="ref-nikseresht2025uvadata"/>
    <w:p>
      <w:pPr>
        <w:pStyle w:val="Bibliography"/>
      </w:pPr>
      <w:r>
        <w:t xml:space="preserve">[42]</w:t>
      </w:r>
      <w:r>
        <w:t xml:space="preserve"> </w:t>
      </w:r>
      <w:r>
        <w:t xml:space="preserve">	</w:t>
      </w:r>
      <w:r>
        <w:t xml:space="preserve">F. Nikseresht, V. A. L. Sobral, J. L. Goodall, and B. Campbell,</w:t>
      </w:r>
      <w:r>
        <w:t xml:space="preserve"> </w:t>
      </w:r>
      <w:r>
        <w:t xml:space="preserve">“Long-term</w:t>
      </w:r>
      <w:r>
        <w:t xml:space="preserve"> </w:t>
      </w:r>
      <w:r>
        <w:t xml:space="preserve">LoRaWAN</w:t>
      </w:r>
      <w:r>
        <w:t xml:space="preserve"> </w:t>
      </w:r>
      <w:r>
        <w:t xml:space="preserve">communication metadata from an urban deployment.”</w:t>
      </w:r>
      <w:r>
        <w:t xml:space="preserve"> </w:t>
      </w:r>
      <w:r>
        <w:t xml:space="preserve">University of Virginia Dataverse (LibraData), 2025. doi:</w:t>
      </w:r>
      <w:r>
        <w:t xml:space="preserve"> </w:t>
      </w:r>
      <w:hyperlink r:id="rId128">
        <w:r>
          <w:rPr>
            <w:rStyle w:val="Hyperlink"/>
          </w:rPr>
          <w:t xml:space="preserve">10.18130/V3/RFTICK</w:t>
        </w:r>
      </w:hyperlink>
      <w:r>
        <w:t xml:space="preserve">.</w:t>
      </w:r>
    </w:p>
    <w:bookmarkEnd w:id="129"/>
    <w:bookmarkStart w:id="131" w:name="ref-bhatia2020loeddata"/>
    <w:p>
      <w:pPr>
        <w:pStyle w:val="Bibliography"/>
      </w:pPr>
      <w:r>
        <w:t xml:space="preserve">[43]</w:t>
      </w:r>
      <w:r>
        <w:t xml:space="preserve"> </w:t>
      </w:r>
      <w:r>
        <w:t xml:space="preserve">	</w:t>
      </w:r>
      <w:r>
        <w:t xml:space="preserve">L. Bhatia, M. Breza, R. Marfievici, and J. A. McCann,</w:t>
      </w:r>
      <w:r>
        <w:t xml:space="preserve"> </w:t>
      </w:r>
      <w:r>
        <w:t xml:space="preserve">“</w:t>
      </w:r>
      <w:r>
        <w:t xml:space="preserve">LoED</w:t>
      </w:r>
      <w:r>
        <w:t xml:space="preserve">: The</w:t>
      </w:r>
      <w:r>
        <w:t xml:space="preserve"> </w:t>
      </w:r>
      <w:r>
        <w:t xml:space="preserve">LoRaWAN</w:t>
      </w:r>
      <w:r>
        <w:t xml:space="preserve"> </w:t>
      </w:r>
      <w:r>
        <w:t xml:space="preserve">at the edge dataset.”</w:t>
      </w:r>
      <w:r>
        <w:t xml:space="preserve"> </w:t>
      </w:r>
      <w:r>
        <w:t xml:space="preserve">Zenodo, 2020. doi:</w:t>
      </w:r>
      <w:r>
        <w:t xml:space="preserve"> </w:t>
      </w:r>
      <w:hyperlink r:id="rId130">
        <w:r>
          <w:rPr>
            <w:rStyle w:val="Hyperlink"/>
          </w:rPr>
          <w:t xml:space="preserve">10.5281/zenodo.4121430</w:t>
        </w:r>
      </w:hyperlink>
      <w:r>
        <w:t xml:space="preserve">.</w:t>
      </w:r>
    </w:p>
    <w:bookmarkEnd w:id="131"/>
    <w:bookmarkStart w:id="133" w:name="ref-efron1979bootstrap"/>
    <w:p>
      <w:pPr>
        <w:pStyle w:val="Bibliography"/>
      </w:pPr>
      <w:r>
        <w:t xml:space="preserve">[44]</w:t>
      </w:r>
      <w:r>
        <w:t xml:space="preserve"> </w:t>
      </w:r>
      <w:r>
        <w:t xml:space="preserve">	</w:t>
      </w:r>
      <w:r>
        <w:t xml:space="preserve">B. Efron,</w:t>
      </w:r>
      <w:r>
        <w:t xml:space="preserve"> </w:t>
      </w:r>
      <w:r>
        <w:t xml:space="preserve">“Bootstrap methods: Another look at the jackknife,”</w:t>
      </w:r>
      <w:r>
        <w:t xml:space="preserve"> </w:t>
      </w:r>
      <w:r>
        <w:rPr>
          <w:i/>
          <w:iCs/>
        </w:rPr>
        <w:t xml:space="preserve">The Annals of Statistics</w:t>
      </w:r>
      <w:r>
        <w:t xml:space="preserve">, vol. 7, no. 1, pp. 1–26, 1979, doi:</w:t>
      </w:r>
      <w:r>
        <w:t xml:space="preserve"> </w:t>
      </w:r>
      <w:hyperlink r:id="rId132">
        <w:r>
          <w:rPr>
            <w:rStyle w:val="Hyperlink"/>
          </w:rPr>
          <w:t xml:space="preserve">10.1214/aos/1176344552</w:t>
        </w:r>
      </w:hyperlink>
      <w:r>
        <w:t xml:space="preserve">.</w:t>
      </w:r>
    </w:p>
    <w:bookmarkEnd w:id="133"/>
    <w:bookmarkStart w:id="134" w:name="ref-libelium2020plugsense"/>
    <w:p>
      <w:pPr>
        <w:pStyle w:val="Bibliography"/>
      </w:pPr>
      <w:r>
        <w:t xml:space="preserve">[45]</w:t>
      </w:r>
      <w:r>
        <w:t xml:space="preserve"> </w:t>
      </w:r>
      <w:r>
        <w:t xml:space="preserve">	</w:t>
      </w:r>
      <w:r>
        <w:rPr>
          <w:i/>
          <w:iCs/>
        </w:rPr>
        <w:t xml:space="preserve">Waspmote</w:t>
      </w:r>
      <w:r>
        <w:rPr>
          <w:i/>
          <w:iCs/>
        </w:rPr>
        <w:t xml:space="preserve"> </w:t>
      </w:r>
      <w:r>
        <w:rPr>
          <w:i/>
          <w:iCs/>
        </w:rPr>
        <w:t xml:space="preserve">Plug &amp; Sense!</w:t>
      </w:r>
      <w:r>
        <w:rPr>
          <w:i/>
          <w:iCs/>
        </w:rPr>
        <w:t xml:space="preserve"> </w:t>
      </w:r>
      <w:r>
        <w:rPr>
          <w:i/>
          <w:iCs/>
        </w:rPr>
        <w:t xml:space="preserve">Technical guide (product line v15)</w:t>
      </w:r>
      <w:r>
        <w:t xml:space="preserve">. Libelium Comunicaciones Distribuidas, 2020.</w:t>
      </w:r>
    </w:p>
    <w:bookmarkEnd w:id="134"/>
    <w:bookmarkStart w:id="135" w:name="ref-lora2016spec102"/>
    <w:p>
      <w:pPr>
        <w:pStyle w:val="Bibliography"/>
      </w:pPr>
      <w:r>
        <w:t xml:space="preserve">[46]</w:t>
      </w:r>
      <w:r>
        <w:t xml:space="preserve"> </w:t>
      </w:r>
      <w:r>
        <w:t xml:space="preserve">	</w:t>
      </w:r>
      <w:r>
        <w:t xml:space="preserve">LoRa Alliance Technical Committee,</w:t>
      </w:r>
      <w:r>
        <w:t xml:space="preserve"> </w:t>
      </w:r>
      <w:r>
        <w:t xml:space="preserve">“</w:t>
      </w:r>
      <w:r>
        <w:t xml:space="preserve">LoRaWAN</w:t>
      </w:r>
      <w:r>
        <w:t xml:space="preserve"> </w:t>
      </w:r>
      <w:r>
        <w:t xml:space="preserve">specification v1.0.2,”</w:t>
      </w:r>
      <w:r>
        <w:t xml:space="preserve"> </w:t>
      </w:r>
      <w:r>
        <w:t xml:space="preserve">LoRa Alliance, 2016.</w:t>
      </w:r>
    </w:p>
    <w:bookmarkEnd w:id="135"/>
    <w:bookmarkStart w:id="136" w:name="ref-lora2020spec104"/>
    <w:p>
      <w:pPr>
        <w:pStyle w:val="Bibliography"/>
      </w:pPr>
      <w:r>
        <w:t xml:space="preserve">[47]</w:t>
      </w:r>
      <w:r>
        <w:t xml:space="preserve"> </w:t>
      </w:r>
      <w:r>
        <w:t xml:space="preserve">	</w:t>
      </w:r>
      <w:r>
        <w:t xml:space="preserve">LoRa Alliance Technical Committee,</w:t>
      </w:r>
      <w:r>
        <w:t xml:space="preserve"> </w:t>
      </w:r>
      <w:r>
        <w:t xml:space="preserve">“</w:t>
      </w:r>
      <w:r>
        <w:t xml:space="preserve">LoRaWAN</w:t>
      </w:r>
      <w:r>
        <w:t xml:space="preserve"> </w:t>
      </w:r>
      <w:r>
        <w:t xml:space="preserve">L2</w:t>
      </w:r>
      <w:r>
        <w:t xml:space="preserve"> </w:t>
      </w:r>
      <w:r>
        <w:t xml:space="preserve">1.0.4 specification (</w:t>
      </w:r>
      <w:r>
        <w:t xml:space="preserve">TS001-1.0.4</w:t>
      </w:r>
      <w:r>
        <w:t xml:space="preserve">),”</w:t>
      </w:r>
      <w:r>
        <w:t xml:space="preserve"> </w:t>
      </w:r>
      <w:r>
        <w:t xml:space="preserve">LoRa Alliance, 2020.</w:t>
      </w:r>
    </w:p>
    <w:bookmarkEnd w:id="136"/>
    <w:bookmarkStart w:id="137" w:name="ref-lora2021rp002"/>
    <w:p>
      <w:pPr>
        <w:pStyle w:val="Bibliography"/>
      </w:pPr>
      <w:r>
        <w:t xml:space="preserve">[48]</w:t>
      </w:r>
      <w:r>
        <w:t xml:space="preserve"> </w:t>
      </w:r>
      <w:r>
        <w:t xml:space="preserve">	</w:t>
      </w:r>
      <w:r>
        <w:t xml:space="preserve">LoRa Alliance Technical Committee Regional Parameters Workgroup,</w:t>
      </w:r>
      <w:r>
        <w:t xml:space="preserve"> </w:t>
      </w:r>
      <w:r>
        <w:t xml:space="preserve">“</w:t>
      </w:r>
      <w:r>
        <w:t xml:space="preserve">RP002-1.0.3 LoRaWAN</w:t>
      </w:r>
      <w:r>
        <w:t xml:space="preserve"> </w:t>
      </w:r>
      <w:r>
        <w:t xml:space="preserve">regional parameters,”</w:t>
      </w:r>
      <w:r>
        <w:t xml:space="preserve"> </w:t>
      </w:r>
      <w:r>
        <w:t xml:space="preserve">LoRa Alliance, 2021.</w:t>
      </w:r>
    </w:p>
    <w:bookmarkEnd w:id="137"/>
    <w:bookmarkStart w:id="139" w:name="ref-wagner2006usgs"/>
    <w:p>
      <w:pPr>
        <w:pStyle w:val="Bibliography"/>
      </w:pPr>
      <w:r>
        <w:t xml:space="preserve">[49]</w:t>
      </w:r>
      <w:r>
        <w:t xml:space="preserve"> </w:t>
      </w:r>
      <w:r>
        <w:t xml:space="preserve">	</w:t>
      </w:r>
      <w:r>
        <w:t xml:space="preserve">R. J. Wagner, R. W. Boulger, C. J. Oblinger, and B. A. Smith,</w:t>
      </w:r>
      <w:r>
        <w:t xml:space="preserve"> </w:t>
      </w:r>
      <w:r>
        <w:rPr>
          <w:i/>
          <w:iCs/>
        </w:rPr>
        <w:t xml:space="preserve">Guidelines and standard procedures for continuous water-quality monitors: Station operation, record computation, and data reporting</w:t>
      </w:r>
      <w:r>
        <w:t xml:space="preserve">. US Geological Survey, 2006. doi:</w:t>
      </w:r>
      <w:r>
        <w:t xml:space="preserve"> </w:t>
      </w:r>
      <w:hyperlink r:id="rId138">
        <w:r>
          <w:rPr>
            <w:rStyle w:val="Hyperlink"/>
          </w:rPr>
          <w:t xml:space="preserve">10.3133/tm1d3</w:t>
        </w:r>
      </w:hyperlink>
      <w:r>
        <w:t xml:space="preserve">.</w:t>
      </w:r>
    </w:p>
    <w:bookmarkEnd w:id="139"/>
    <w:bookmarkStart w:id="141" w:name="ref-usgs2023nwis"/>
    <w:p>
      <w:pPr>
        <w:pStyle w:val="Bibliography"/>
      </w:pPr>
      <w:r>
        <w:t xml:space="preserve">[50]</w:t>
      </w:r>
      <w:r>
        <w:t xml:space="preserve"> </w:t>
      </w:r>
      <w:r>
        <w:t xml:space="preserve">	</w:t>
      </w:r>
      <w:r>
        <w:t xml:space="preserve">U.S. Geological Survey,</w:t>
      </w:r>
      <w:r>
        <w:t xml:space="preserve"> </w:t>
      </w:r>
      <w:r>
        <w:t xml:space="preserve">“</w:t>
      </w:r>
      <w:r>
        <w:t xml:space="preserve">USGS</w:t>
      </w:r>
      <w:r>
        <w:t xml:space="preserve"> </w:t>
      </w:r>
      <w:r>
        <w:t xml:space="preserve">water data for the nation (</w:t>
      </w:r>
      <w:r>
        <w:t xml:space="preserve">National Water Information System</w:t>
      </w:r>
      <w:r>
        <w:t xml:space="preserve">).”</w:t>
      </w:r>
      <w:r>
        <w:t xml:space="preserve"> </w:t>
      </w:r>
      <w:r>
        <w:t xml:space="preserve">2024. doi:</w:t>
      </w:r>
      <w:r>
        <w:t xml:space="preserve"> </w:t>
      </w:r>
      <w:hyperlink r:id="rId140">
        <w:r>
          <w:rPr>
            <w:rStyle w:val="Hyperlink"/>
          </w:rPr>
          <w:t xml:space="preserve">10.5066/F7P55KJN</w:t>
        </w:r>
      </w:hyperlink>
      <w:r>
        <w:t xml:space="preserve">.</w:t>
      </w:r>
    </w:p>
    <w:bookmarkEnd w:id="141"/>
    <w:bookmarkStart w:id="143" w:name="ref-benson1984oxygen"/>
    <w:p>
      <w:pPr>
        <w:pStyle w:val="Bibliography"/>
      </w:pPr>
      <w:r>
        <w:t xml:space="preserve">[51]</w:t>
      </w:r>
      <w:r>
        <w:t xml:space="preserve"> </w:t>
      </w:r>
      <w:r>
        <w:t xml:space="preserve">	</w:t>
      </w:r>
      <w:r>
        <w:t xml:space="preserve">B. B. Benson and D. Krause,</w:t>
      </w:r>
      <w:r>
        <w:t xml:space="preserve"> </w:t>
      </w:r>
      <w:r>
        <w:t xml:space="preserve">“The concentration and isotopic fractionation of oxygen dissolved in freshwater and seawater in equilibrium with the atmosphere,”</w:t>
      </w:r>
      <w:r>
        <w:t xml:space="preserve"> </w:t>
      </w:r>
      <w:r>
        <w:rPr>
          <w:i/>
          <w:iCs/>
        </w:rPr>
        <w:t xml:space="preserve">Limnology and Oceanography</w:t>
      </w:r>
      <w:r>
        <w:t xml:space="preserve">, vol. 29, no. 3, pp. 620–632, 1984, doi:</w:t>
      </w:r>
      <w:r>
        <w:t xml:space="preserve"> </w:t>
      </w:r>
      <w:hyperlink r:id="rId142">
        <w:r>
          <w:rPr>
            <w:rStyle w:val="Hyperlink"/>
          </w:rPr>
          <w:t xml:space="preserve">10.4319/lo.1984.29.3.0620</w:t>
        </w:r>
      </w:hyperlink>
      <w:r>
        <w:t xml:space="preserve">.</w:t>
      </w:r>
    </w:p>
    <w:bookmarkEnd w:id="143"/>
    <w:bookmarkStart w:id="145" w:name="ref-wilcoxon1945individual"/>
    <w:p>
      <w:pPr>
        <w:pStyle w:val="Bibliography"/>
      </w:pPr>
      <w:r>
        <w:t xml:space="preserve">[52]</w:t>
      </w:r>
      <w:r>
        <w:t xml:space="preserve"> </w:t>
      </w:r>
      <w:r>
        <w:t xml:space="preserve">	</w:t>
      </w:r>
      <w:r>
        <w:t xml:space="preserve">F. Wilcoxon,</w:t>
      </w:r>
      <w:r>
        <w:t xml:space="preserve"> </w:t>
      </w:r>
      <w:r>
        <w:t xml:space="preserve">“Individual comparisons by ranking methods,”</w:t>
      </w:r>
      <w:r>
        <w:t xml:space="preserve"> </w:t>
      </w:r>
      <w:r>
        <w:rPr>
          <w:i/>
          <w:iCs/>
        </w:rPr>
        <w:t xml:space="preserve">Biometrics Bulletin</w:t>
      </w:r>
      <w:r>
        <w:t xml:space="preserve">, vol. 1, no. 6, p. 80, 1945, doi:</w:t>
      </w:r>
      <w:r>
        <w:t xml:space="preserve"> </w:t>
      </w:r>
      <w:hyperlink r:id="rId144">
        <w:r>
          <w:rPr>
            <w:rStyle w:val="Hyperlink"/>
          </w:rPr>
          <w:t xml:space="preserve">10.2307/3001968</w:t>
        </w:r>
      </w:hyperlink>
      <w:r>
        <w:t xml:space="preserve">.</w:t>
      </w:r>
    </w:p>
    <w:bookmarkEnd w:id="145"/>
    <w:bookmarkStart w:id="146" w:name="ref-winbond2018w25q128jv"/>
    <w:p>
      <w:pPr>
        <w:pStyle w:val="Bibliography"/>
      </w:pPr>
      <w:r>
        <w:t xml:space="preserve">[53]</w:t>
      </w:r>
      <w:r>
        <w:t xml:space="preserve"> </w:t>
      </w:r>
      <w:r>
        <w:t xml:space="preserve">	</w:t>
      </w:r>
      <w:r>
        <w:rPr>
          <w:i/>
          <w:iCs/>
        </w:rPr>
        <w:t xml:space="preserve">W25Q128JV</w:t>
      </w:r>
      <w:r>
        <w:rPr>
          <w:i/>
          <w:iCs/>
        </w:rPr>
        <w:t xml:space="preserve"> </w:t>
      </w:r>
      <w:r>
        <w:rPr>
          <w:i/>
          <w:iCs/>
        </w:rPr>
        <w:t xml:space="preserve">3</w:t>
      </w:r>
      <w:r>
        <w:rPr>
          <w:i/>
          <w:iCs/>
        </w:rPr>
        <w:t xml:space="preserve">V</w:t>
      </w:r>
      <w:r>
        <w:rPr>
          <w:i/>
          <w:iCs/>
        </w:rPr>
        <w:t xml:space="preserve"> </w:t>
      </w:r>
      <w:r>
        <w:rPr>
          <w:i/>
          <w:iCs/>
        </w:rPr>
        <w:t xml:space="preserve">128</w:t>
      </w:r>
      <w:r>
        <w:rPr>
          <w:i/>
          <w:iCs/>
        </w:rPr>
        <w:t xml:space="preserve">M</w:t>
      </w:r>
      <w:r>
        <w:rPr>
          <w:i/>
          <w:iCs/>
        </w:rPr>
        <w:t xml:space="preserve">-bit serial flash memory, datasheet, rev.</w:t>
      </w:r>
      <w:r>
        <w:rPr>
          <w:i/>
          <w:iCs/>
        </w:rPr>
        <w:t xml:space="preserve"> </w:t>
      </w:r>
      <w:r>
        <w:rPr>
          <w:i/>
          <w:iCs/>
        </w:rPr>
        <w:t xml:space="preserve">F</w:t>
      </w:r>
      <w:r>
        <w:t xml:space="preserve">. Winbond Electronics, 2018.</w:t>
      </w:r>
    </w:p>
    <w:bookmarkEnd w:id="146"/>
    <w:bookmarkStart w:id="148" w:name="ref-azongo2026code"/>
    <w:p>
      <w:pPr>
        <w:pStyle w:val="Bibliography"/>
      </w:pPr>
      <w:r>
        <w:t xml:space="preserve">[54]</w:t>
      </w:r>
      <w:r>
        <w:t xml:space="preserve"> </w:t>
      </w:r>
      <w:r>
        <w:t xml:space="preserve">	</w:t>
      </w:r>
      <w:r>
        <w:t xml:space="preserve">S. Azongo,</w:t>
      </w:r>
      <w:r>
        <w:t xml:space="preserve"> </w:t>
      </w:r>
      <w:r>
        <w:t xml:space="preserve">“River-telemetry-loss-handling, version v1.0.0: Code, configurations and derived data.”</w:t>
      </w:r>
      <w:r>
        <w:t xml:space="preserve"> </w:t>
      </w:r>
      <w:r>
        <w:t xml:space="preserve">Zenodo, software, 2026. doi:</w:t>
      </w:r>
      <w:r>
        <w:t xml:space="preserve"> </w:t>
      </w:r>
      <w:hyperlink r:id="rId147">
        <w:r>
          <w:rPr>
            <w:rStyle w:val="Hyperlink"/>
          </w:rPr>
          <w:t xml:space="preserve">10.5281/zenodo.23455071</w:t>
        </w:r>
      </w:hyperlink>
      <w:r>
        <w:t xml:space="preserve">.</w:t>
      </w:r>
    </w:p>
    <w:bookmarkEnd w:id="148"/>
    <w:bookmarkEnd w:id="149"/>
    <w:bookmarkEnd w:id="150"/>
    <w:sectPr>
      <w:headerReference w:type="default" r:id="rId9"/>
      <w:pgSz w:w="12240" w:h="15840"/>
      <w:pgMar w:top="1440" w:right="1440" w:bottom="1440" w:left="1440" w:header="720" w:footer="720" w:gutter="0"/>
      <w:cols w:num="1" w: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t xml:space="preserve"/>
      </w:r>
      <w:r>
        <w:t xml:space="preserve">K. S. Adu-Manu and S. K. Azongo are with the Department of Computer Science, University of Ghana, Legon, Ghana. Corresponding author: K. S. Adu-Manu.</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ind w:firstLine="0"/>
    </w:pPr>
    <w:r>
      <w:rPr>
        <w:sz w:val="16"/>
        <w:szCs w:val="16"/>
      </w:rPr>
      <w:t xml:space="preserve">DRAFT V0.1 — NOT FOR DISTRIBUTION</w:t>
      <w:tab/>
    </w:r>
    <w:fldSimple w:instr="PAGE">
      <w:r>
        <w:rPr>
          <w:sz w:val="16"/>
          <w:szCs w:val="16"/>
        </w:rPr>
        <w:t xml:space="preserve">1</w:t>
      </w:r>
    </w:fldSimple>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0"/>
        <w:szCs w:val="20"/>
        <w:lang w:bidi="ar-SA" w:eastAsia="zh-CN" w:val="en-US"/>
      </w:rPr>
    </w:rPrDefault>
    <w:pPrDefault>
      <w:pPr>
        <w:spacing w:before="0" w:after="0" w:line="240" w:lineRule="auto"/>
      </w:pPr>
    </w:pPrDefault>
  </w:docDefaults>
  <w:latentStyles w:count="276" w:defLockedState="0" w:defQFormat="0" w:defSemiHidden="0" w:defUIPriority="0" w:defUnhideWhenUsed="0"/>
  <w:style w:default="1" w:styleId="Normal" w:type="paragraph">
    <w:name w:val="Normal"/>
    <w:qFormat/>
    <w:pPr>
      <w:spacing w:before="0" w:after="0"/>
      <w:ind w:firstLine="0"/>
      <w:jc w:val="both"/>
    </w:pPr>
    <w:rPr>
      <w:rFonts w:ascii="Times New Roman" w:hAnsi="Times New Roman" w:cs="Times New Roman" w:eastAsia="Times New Roman"/>
      <w:b w:val="0"/>
      <w:bCs w:val="0"/>
      <w:i w:val="0"/>
      <w:iCs w:val="0"/>
      <w:smallCaps w:val="0"/>
      <w:color w:val="000000"/>
      <w:sz w:val="20"/>
      <w:szCs w:val="20"/>
      <w:u w:val="none"/>
    </w:rPr>
  </w:style>
  <w:style w:styleId="BodyText" w:type="paragraph">
    <w:name w:val="Body Text"/>
    <w:basedOn w:val="Normal"/>
    <w:link w:val="BodyTextChar"/>
    <w:qFormat/>
    <w:pPr>
      <w:spacing w:before="0" w:after="0"/>
      <w:ind w:firstLine="200"/>
      <w:jc w:val="both"/>
    </w:pPr>
    <w:rPr>
      <w:rFonts w:ascii="Times New Roman" w:hAnsi="Times New Roman" w:cs="Times New Roman" w:eastAsia="Times New Roman"/>
      <w:b w:val="0"/>
      <w:bCs w:val="0"/>
      <w:i w:val="0"/>
      <w:iCs w:val="0"/>
      <w:smallCaps w:val="0"/>
      <w:color w:val="000000"/>
      <w:sz w:val="20"/>
      <w:szCs w:val="20"/>
      <w:u w:val="none"/>
    </w:rPr>
  </w:style>
  <w:style w:customStyle="1" w:styleId="FirstParagraph" w:type="paragraph">
    <w:name w:val="First Paragraph"/>
    <w:basedOn w:val="BodyText"/>
    <w:next w:val="BodyText"/>
    <w:qFormat/>
    <w:pPr>
      <w:spacing w:before="0" w:after="0"/>
      <w:ind w:firstLine="200"/>
      <w:jc w:val="both"/>
    </w:pPr>
    <w:rPr>
      <w:rFonts w:ascii="Times New Roman" w:hAnsi="Times New Roman" w:cs="Times New Roman" w:eastAsia="Times New Roman"/>
      <w:b w:val="0"/>
      <w:bCs w:val="0"/>
      <w:i w:val="0"/>
      <w:iCs w:val="0"/>
      <w:smallCaps w:val="0"/>
      <w:color w:val="000000"/>
      <w:sz w:val="20"/>
      <w:szCs w:val="20"/>
      <w:u w:val="none"/>
    </w:rPr>
  </w:style>
  <w:style w:customStyle="1" w:styleId="Compact" w:type="paragraph">
    <w:name w:val="Compact"/>
    <w:basedOn w:val="BodyText"/>
    <w:qFormat/>
    <w:pPr>
      <w:spacing w:before="0" w:after="0"/>
      <w:ind w:firstLine="0"/>
      <w:jc w:val="both"/>
    </w:pPr>
    <w:rPr>
      <w:rFonts w:ascii="Times New Roman" w:hAnsi="Times New Roman" w:cs="Times New Roman" w:eastAsia="Times New Roman"/>
      <w:b w:val="0"/>
      <w:bCs w:val="0"/>
      <w:i w:val="0"/>
      <w:iCs w:val="0"/>
      <w:smallCaps w:val="0"/>
      <w:color w:val="000000"/>
      <w:sz w:val="20"/>
      <w:szCs w:val="20"/>
      <w:u w:val="none"/>
    </w:rPr>
  </w:style>
  <w:style w:styleId="Title" w:type="paragraph">
    <w:name w:val="Title"/>
    <w:basedOn w:val="Normal"/>
    <w:next w:val="BodyText"/>
    <w:link w:val="TitleChar"/>
    <w:uiPriority w:val="10"/>
    <w:qFormat/>
    <w:rsid w:val="00A10FD9"/>
    <w:pPr>
      <w:spacing w:before="0" w:after="120" w:line="240" w:lineRule="auto"/>
      <w:ind w:firstLine="0"/>
      <w:contextualSpacing/>
      <w:jc w:val="center"/>
    </w:pPr>
    <w:rPr>
      <w:rFonts w:ascii="Times New Roman" w:hAnsi="Times New Roman" w:cs="Times New Roman" w:eastAsia="Times New Roman"/>
      <w:b w:val="0"/>
      <w:bCs w:val="0"/>
      <w:i w:val="0"/>
      <w:iCs w:val="0"/>
      <w:smallCaps w:val="0"/>
      <w:color w:val="000000"/>
      <w:sz w:val="48"/>
      <w:szCs w:val="48"/>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before="0" w:after="240"/>
      <w:ind w:firstLine="0"/>
      <w:jc w:val="center"/>
    </w:pPr>
    <w:rPr>
      <w:rFonts w:ascii="Times New Roman" w:hAnsi="Times New Roman" w:cs="Times New Roman" w:eastAsia="Times New Roman"/>
      <w:b w:val="0"/>
      <w:bCs w:val="0"/>
      <w:i w:val="0"/>
      <w:iCs w:val="0"/>
      <w:smallCaps w:val="0"/>
      <w:color w:val="000000"/>
      <w:sz w:val="22"/>
      <w:szCs w:val="22"/>
      <w:u w:val="none"/>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before="0" w:after="0"/>
      <w:ind w:firstLine="0"/>
      <w:jc w:val="both"/>
    </w:pPr>
    <w:rPr>
      <w:rFonts w:ascii="Times New Roman" w:hAnsi="Times New Roman" w:cs="Times New Roman" w:eastAsia="Times New Roman"/>
      <w:b w:val="1"/>
      <w:bCs w:val="1"/>
      <w:i w:val="0"/>
      <w:iCs w:val="0"/>
      <w:smallCaps w:val="0"/>
      <w:color w:val="000000"/>
      <w:sz w:val="18"/>
      <w:szCs w:val="18"/>
      <w:u w:val="none"/>
    </w:rPr>
  </w:style>
  <w:style w:styleId="Bibliography" w:type="paragraph">
    <w:name w:val="Bibliography"/>
    <w:basedOn w:val="Normal"/>
    <w:next w:val="Bibliography"/>
    <w:qFormat/>
    <w:pPr>
      <w:spacing w:before="0" w:after="0"/>
      <w:ind w:left="360" w:hanging="360"/>
      <w:jc w:val="both"/>
    </w:pPr>
    <w:rPr>
      <w:rFonts w:ascii="Times New Roman" w:hAnsi="Times New Roman" w:cs="Times New Roman" w:eastAsia="Times New Roman"/>
      <w:b w:val="0"/>
      <w:bCs w:val="0"/>
      <w:i w:val="0"/>
      <w:iCs w:val="0"/>
      <w:smallCaps w:val="0"/>
      <w:color w:val="000000"/>
      <w:sz w:val="16"/>
      <w:szCs w:val="16"/>
      <w:u w:val="none"/>
    </w:rPr>
  </w:style>
  <w:style w:styleId="Heading1" w:type="paragraph">
    <w:name w:val="heading 1"/>
    <w:basedOn w:val="Normal"/>
    <w:next w:val="BodyText"/>
    <w:link w:val="Heading1Char"/>
    <w:uiPriority w:val="9"/>
    <w:qFormat/>
    <w:rsid w:val="00A10FD9"/>
    <w:pPr>
      <w:keepNext/>
      <w:keepLines/>
      <w:spacing w:before="240" w:after="120"/>
      <w:ind w:firstLine="0"/>
      <w:jc w:val="center"/>
      <w:outlineLvl w:val="0"/>
    </w:pPr>
    <w:rPr>
      <w:rFonts w:ascii="Times New Roman" w:hAnsi="Times New Roman" w:cs="Times New Roman" w:eastAsia="Times New Roman"/>
      <w:b w:val="0"/>
      <w:bCs w:val="0"/>
      <w:i w:val="0"/>
      <w:iCs w:val="0"/>
      <w:smallCaps w:val="1"/>
      <w:color w:val="000000"/>
      <w:sz w:val="20"/>
      <w:szCs w:val="20"/>
      <w:u w:val="none"/>
    </w:rPr>
  </w:style>
  <w:style w:styleId="Heading2" w:type="paragraph">
    <w:name w:val="heading 2"/>
    <w:basedOn w:val="Normal"/>
    <w:next w:val="BodyText"/>
    <w:link w:val="Heading2Char"/>
    <w:uiPriority w:val="9"/>
    <w:semiHidden/>
    <w:unhideWhenUsed/>
    <w:qFormat/>
    <w:rsid w:val="00A10FD9"/>
    <w:pPr>
      <w:keepNext/>
      <w:keepLines/>
      <w:spacing w:before="120" w:after="60"/>
      <w:ind w:firstLine="0"/>
      <w:jc w:val="left"/>
      <w:outlineLvl w:val="1"/>
    </w:pPr>
    <w:rPr>
      <w:rFonts w:ascii="Times New Roman" w:hAnsi="Times New Roman" w:cs="Times New Roman" w:eastAsia="Times New Roman"/>
      <w:b w:val="0"/>
      <w:bCs w:val="0"/>
      <w:i w:val="1"/>
      <w:iCs w:val="1"/>
      <w:smallCaps w:val="0"/>
      <w:color w:val="000000"/>
      <w:sz w:val="20"/>
      <w:szCs w:val="20"/>
      <w:u w:val="none"/>
    </w:rPr>
  </w:style>
  <w:style w:styleId="Heading3" w:type="paragraph">
    <w:name w:val="heading 3"/>
    <w:basedOn w:val="Normal"/>
    <w:next w:val="BodyText"/>
    <w:link w:val="Heading3Char"/>
    <w:uiPriority w:val="9"/>
    <w:semiHidden/>
    <w:unhideWhenUsed/>
    <w:qFormat/>
    <w:rsid w:val="00A10FD9"/>
    <w:pPr>
      <w:keepNext/>
      <w:keepLines/>
      <w:spacing w:before="60" w:after="0"/>
      <w:ind w:firstLine="0"/>
      <w:jc w:val="left"/>
      <w:outlineLvl w:val="2"/>
    </w:pPr>
    <w:rPr>
      <w:rFonts w:ascii="Times New Roman" w:hAnsi="Times New Roman" w:cs="Times New Roman" w:eastAsia="Times New Roman"/>
      <w:b w:val="0"/>
      <w:bCs w:val="0"/>
      <w:i w:val="1"/>
      <w:iCs w:val="1"/>
      <w:smallCaps w:val="0"/>
      <w:color w:val="000000"/>
      <w:sz w:val="20"/>
      <w:szCs w:val="20"/>
      <w:u w:val="none"/>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ind w:firstLine="0"/>
      <w:jc w:val="both"/>
    </w:pPr>
    <w:rPr>
      <w:rFonts w:ascii="Times New Roman" w:hAnsi="Times New Roman" w:cs="Times New Roman" w:eastAsia="Times New Roman"/>
      <w:b w:val="0"/>
      <w:bCs w:val="0"/>
      <w:i w:val="0"/>
      <w:iCs w:val="0"/>
      <w:smallCaps w:val="0"/>
      <w:color w:val="000000"/>
      <w:sz w:val="16"/>
      <w:szCs w:val="16"/>
      <w:u w:val="none"/>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0" w:after="60"/>
      <w:ind w:firstLine="0"/>
      <w:jc w:val="center"/>
    </w:pPr>
    <w:rPr>
      <w:rFonts w:ascii="Times New Roman" w:hAnsi="Times New Roman" w:cs="Times New Roman" w:eastAsia="Times New Roman"/>
      <w:b w:val="0"/>
      <w:bCs w:val="0"/>
      <w:i w:val="0"/>
      <w:iCs w:val="0"/>
      <w:smallCaps w:val="0"/>
      <w:color w:val="000000"/>
      <w:sz w:val="16"/>
      <w:szCs w:val="16"/>
      <w:u w:val="none"/>
    </w:rPr>
  </w:style>
  <w:style w:customStyle="1" w:styleId="ImageCaption" w:type="paragraph">
    <w:name w:val="Image Caption"/>
    <w:basedOn w:val="Caption"/>
    <w:pPr>
      <w:spacing w:before="60" w:after="200"/>
      <w:ind w:firstLine="0"/>
      <w:jc w:val="both"/>
    </w:pPr>
    <w:rPr>
      <w:rFonts w:ascii="Times New Roman" w:hAnsi="Times New Roman" w:cs="Times New Roman" w:eastAsia="Times New Roman"/>
      <w:b w:val="0"/>
      <w:bCs w:val="0"/>
      <w:i w:val="0"/>
      <w:iCs w:val="0"/>
      <w:smallCaps w:val="0"/>
      <w:color w:val="000000"/>
      <w:sz w:val="16"/>
      <w:szCs w:val="16"/>
      <w:u w:val="none"/>
    </w:rPr>
  </w:style>
  <w:style w:customStyle="1" w:styleId="Figure" w:type="paragraph">
    <w:name w:val="Figure"/>
    <w:basedOn w:val="Normal"/>
    <w:pPr>
      <w:keepNext/>
      <w:spacing w:before="120" w:after="0"/>
      <w:ind w:firstLine="0"/>
      <w:jc w:val="center"/>
    </w:pPr>
    <w:rPr>
      <w:rFonts w:ascii="Times New Roman" w:hAnsi="Times New Roman" w:cs="Times New Roman" w:eastAsia="Times New Roman"/>
      <w:b w:val="0"/>
      <w:bCs w:val="0"/>
      <w:i w:val="0"/>
      <w:iCs w:val="0"/>
      <w:smallCaps w:val="0"/>
      <w:color w:val="000000"/>
      <w:sz w:val="20"/>
      <w:szCs w:val="20"/>
      <w:u w:val="none"/>
    </w:rPr>
  </w:style>
  <w:style w:customStyle="1" w:styleId="CaptionedFigure" w:type="paragraph">
    <w:name w:val="Captioned Figure"/>
    <w:basedOn w:val="Figure"/>
    <w:pPr>
      <w:keepNext/>
      <w:spacing w:before="120" w:after="0"/>
      <w:ind w:firstLine="0"/>
      <w:jc w:val="center"/>
    </w:pPr>
    <w:rPr>
      <w:rFonts w:ascii="Times New Roman" w:hAnsi="Times New Roman" w:cs="Times New Roman" w:eastAsia="Times New Roman"/>
      <w:b w:val="0"/>
      <w:bCs w:val="0"/>
      <w:i w:val="0"/>
      <w:iCs w:val="0"/>
      <w:smallCaps w:val="0"/>
      <w:color w:val="000000"/>
      <w:sz w:val="20"/>
      <w:szCs w:val="20"/>
      <w:u w:val="none"/>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hAnsi="Times New Roman" w:cs="Times New Roman" w:eastAsia="Times New Roman"/>
      <w:b w:val="0"/>
      <w:bCs w:val="0"/>
      <w:i w:val="0"/>
      <w:iCs w:val="0"/>
      <w:smallCaps w:val="0"/>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38" Type="http://schemas.openxmlformats.org/officeDocument/2006/relationships/image" Target="media/rId38.png"/><Relationship Id="rId62" Type="http://schemas.openxmlformats.org/officeDocument/2006/relationships/hyperlink" Target="https://doi.org/10.1007/978-3-030-02931-9_4" TargetMode="External"/><Relationship Id="rId54" Type="http://schemas.openxmlformats.org/officeDocument/2006/relationships/hyperlink" Target="https://doi.org/10.1016/j.dib.2022.108486" TargetMode="External"/><Relationship Id="rId101" Type="http://schemas.openxmlformats.org/officeDocument/2006/relationships/hyperlink" Target="https://doi.org/10.1016/j.eswa.2023.119619" TargetMode="External"/><Relationship Id="rId124" Type="http://schemas.openxmlformats.org/officeDocument/2006/relationships/hyperlink" Target="https://doi.org/10.1016/j.vlsi.2023.102097" TargetMode="External"/><Relationship Id="rId113" Type="http://schemas.openxmlformats.org/officeDocument/2006/relationships/hyperlink" Target="https://doi.org/10.1109/JIOT.2020.3013949" TargetMode="External"/><Relationship Id="rId115" Type="http://schemas.openxmlformats.org/officeDocument/2006/relationships/hyperlink" Target="https://doi.org/10.1109/JIOT.2022.3152173" TargetMode="External"/><Relationship Id="rId109" Type="http://schemas.openxmlformats.org/officeDocument/2006/relationships/hyperlink" Target="https://doi.org/10.1109/ccgrid51090.2021.00047" TargetMode="External"/><Relationship Id="rId70" Type="http://schemas.openxmlformats.org/officeDocument/2006/relationships/hyperlink" Target="https://doi.org/10.1109/icc.2019.8761710" TargetMode="External"/><Relationship Id="rId107" Type="http://schemas.openxmlformats.org/officeDocument/2006/relationships/hyperlink" Target="https://doi.org/10.1109/icccn.2007.4318006" TargetMode="External"/><Relationship Id="rId58" Type="http://schemas.openxmlformats.org/officeDocument/2006/relationships/hyperlink" Target="https://doi.org/10.1109/ipdps.2006.1639412" TargetMode="External"/><Relationship Id="rId87" Type="http://schemas.openxmlformats.org/officeDocument/2006/relationships/hyperlink" Target="https://doi.org/10.1109/jsac.2021.3065072" TargetMode="External"/><Relationship Id="rId56" Type="http://schemas.openxmlformats.org/officeDocument/2006/relationships/hyperlink" Target="https://doi.org/10.1109/lcn.2007.39" TargetMode="External"/><Relationship Id="rId68" Type="http://schemas.openxmlformats.org/officeDocument/2006/relationships/hyperlink" Target="https://doi.org/10.1109/tac.2004.834121" TargetMode="External"/><Relationship Id="rId117" Type="http://schemas.openxmlformats.org/officeDocument/2006/relationships/hyperlink" Target="https://doi.org/10.1109/tgcn.2019.2948591" TargetMode="External"/><Relationship Id="rId74" Type="http://schemas.openxmlformats.org/officeDocument/2006/relationships/hyperlink" Target="https://doi.org/10.1109/tpds.2013.269" TargetMode="External"/><Relationship Id="rId94" Type="http://schemas.openxmlformats.org/officeDocument/2006/relationships/hyperlink" Target="https://doi.org/10.1109/twc.2012.121412.120148" TargetMode="External"/><Relationship Id="rId72" Type="http://schemas.openxmlformats.org/officeDocument/2006/relationships/hyperlink" Target="https://doi.org/10.1109/twc.2020.2974225" TargetMode="External"/><Relationship Id="rId64" Type="http://schemas.openxmlformats.org/officeDocument/2006/relationships/hyperlink" Target="https://doi.org/10.1109/wcnc61545.2025.10978303" TargetMode="External"/><Relationship Id="rId92" Type="http://schemas.openxmlformats.org/officeDocument/2006/relationships/hyperlink" Target="https://doi.org/10.1145/1614320.1614337" TargetMode="External"/><Relationship Id="rId60" Type="http://schemas.openxmlformats.org/officeDocument/2006/relationships/hyperlink" Target="https://doi.org/10.1145/1689239.1689247" TargetMode="External"/><Relationship Id="rId121" Type="http://schemas.openxmlformats.org/officeDocument/2006/relationships/hyperlink" Target="https://doi.org/10.1145/2996356" TargetMode="External"/><Relationship Id="rId50" Type="http://schemas.openxmlformats.org/officeDocument/2006/relationships/hyperlink" Target="https://doi.org/10.1145/3005719" TargetMode="External"/><Relationship Id="rId90" Type="http://schemas.openxmlformats.org/officeDocument/2006/relationships/hyperlink" Target="https://doi.org/10.1145/3054977.3054978" TargetMode="External"/><Relationship Id="rId83" Type="http://schemas.openxmlformats.org/officeDocument/2006/relationships/hyperlink" Target="https://doi.org/10.1145/3419016.3431491" TargetMode="External"/><Relationship Id="rId79" Type="http://schemas.openxmlformats.org/officeDocument/2006/relationships/hyperlink" Target="https://doi.org/10.1145/3599236" TargetMode="External"/><Relationship Id="rId99" Type="http://schemas.openxmlformats.org/officeDocument/2006/relationships/hyperlink" Target="https://doi.org/10.1145/3627673.3679642" TargetMode="External"/><Relationship Id="rId103" Type="http://schemas.openxmlformats.org/officeDocument/2006/relationships/hyperlink" Target="https://doi.org/10.1145/3637528.3671751" TargetMode="External"/><Relationship Id="rId85" Type="http://schemas.openxmlformats.org/officeDocument/2006/relationships/hyperlink" Target="https://doi.org/10.1145/3736425.3771960" TargetMode="External"/><Relationship Id="rId81" Type="http://schemas.openxmlformats.org/officeDocument/2006/relationships/hyperlink" Target="https://doi.org/10.1145/958491.958493" TargetMode="External"/><Relationship Id="rId52" Type="http://schemas.openxmlformats.org/officeDocument/2006/relationships/hyperlink" Target="https://doi.org/10.1155/2020/8897126" TargetMode="External"/><Relationship Id="rId132" Type="http://schemas.openxmlformats.org/officeDocument/2006/relationships/hyperlink" Target="https://doi.org/10.1214/aos/1176344552" TargetMode="External"/><Relationship Id="rId126" Type="http://schemas.openxmlformats.org/officeDocument/2006/relationships/hyperlink" Target="https://doi.org/10.17632/krzv3g6d5f.1" TargetMode="External"/><Relationship Id="rId128" Type="http://schemas.openxmlformats.org/officeDocument/2006/relationships/hyperlink" Target="https://doi.org/10.18130/V3/RFTICK" TargetMode="External"/><Relationship Id="rId105" Type="http://schemas.openxmlformats.org/officeDocument/2006/relationships/hyperlink" Target="https://doi.org/10.1890/08-1668.1" TargetMode="External"/><Relationship Id="rId144" Type="http://schemas.openxmlformats.org/officeDocument/2006/relationships/hyperlink" Target="https://doi.org/10.2307/3001968" TargetMode="External"/><Relationship Id="rId138" Type="http://schemas.openxmlformats.org/officeDocument/2006/relationships/hyperlink" Target="https://doi.org/10.3133/tm1d3" TargetMode="External"/><Relationship Id="rId66" Type="http://schemas.openxmlformats.org/officeDocument/2006/relationships/hyperlink" Target="https://doi.org/10.3389/frcmn.2025.1505375" TargetMode="External"/><Relationship Id="rId119" Type="http://schemas.openxmlformats.org/officeDocument/2006/relationships/hyperlink" Target="https://doi.org/10.3390/electronics10182224" TargetMode="External"/><Relationship Id="rId96" Type="http://schemas.openxmlformats.org/officeDocument/2006/relationships/hyperlink" Target="https://doi.org/10.3390/s141223137" TargetMode="External"/><Relationship Id="rId111" Type="http://schemas.openxmlformats.org/officeDocument/2006/relationships/hyperlink" Target="https://doi.org/10.3390/s17102364" TargetMode="External"/><Relationship Id="rId142" Type="http://schemas.openxmlformats.org/officeDocument/2006/relationships/hyperlink" Target="https://doi.org/10.4319/lo.1984.29.3.0620" TargetMode="External"/><Relationship Id="rId140" Type="http://schemas.openxmlformats.org/officeDocument/2006/relationships/hyperlink" Target="https://doi.org/10.5066/F7P55KJN" TargetMode="External"/><Relationship Id="rId77" Type="http://schemas.openxmlformats.org/officeDocument/2006/relationships/hyperlink" Target="https://doi.org/10.52202/068431-2324" TargetMode="External"/><Relationship Id="rId147" Type="http://schemas.openxmlformats.org/officeDocument/2006/relationships/hyperlink" Target="https://doi.org/10.5281/zenodo.23455071" TargetMode="External"/><Relationship Id="rId130" Type="http://schemas.openxmlformats.org/officeDocument/2006/relationships/hyperlink" Target="https://doi.org/10.5281/zenodo.4121430" TargetMode="Externa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62" Type="http://schemas.openxmlformats.org/officeDocument/2006/relationships/hyperlink" Target="https://doi.org/10.1007/978-3-030-02931-9_4" TargetMode="External"/><Relationship Id="rId54" Type="http://schemas.openxmlformats.org/officeDocument/2006/relationships/hyperlink" Target="https://doi.org/10.1016/j.dib.2022.108486" TargetMode="External"/><Relationship Id="rId101" Type="http://schemas.openxmlformats.org/officeDocument/2006/relationships/hyperlink" Target="https://doi.org/10.1016/j.eswa.2023.119619" TargetMode="External"/><Relationship Id="rId124" Type="http://schemas.openxmlformats.org/officeDocument/2006/relationships/hyperlink" Target="https://doi.org/10.1016/j.vlsi.2023.102097" TargetMode="External"/><Relationship Id="rId113" Type="http://schemas.openxmlformats.org/officeDocument/2006/relationships/hyperlink" Target="https://doi.org/10.1109/JIOT.2020.3013949" TargetMode="External"/><Relationship Id="rId115" Type="http://schemas.openxmlformats.org/officeDocument/2006/relationships/hyperlink" Target="https://doi.org/10.1109/JIOT.2022.3152173" TargetMode="External"/><Relationship Id="rId109" Type="http://schemas.openxmlformats.org/officeDocument/2006/relationships/hyperlink" Target="https://doi.org/10.1109/ccgrid51090.2021.00047" TargetMode="External"/><Relationship Id="rId70" Type="http://schemas.openxmlformats.org/officeDocument/2006/relationships/hyperlink" Target="https://doi.org/10.1109/icc.2019.8761710" TargetMode="External"/><Relationship Id="rId107" Type="http://schemas.openxmlformats.org/officeDocument/2006/relationships/hyperlink" Target="https://doi.org/10.1109/icccn.2007.4318006" TargetMode="External"/><Relationship Id="rId58" Type="http://schemas.openxmlformats.org/officeDocument/2006/relationships/hyperlink" Target="https://doi.org/10.1109/ipdps.2006.1639412" TargetMode="External"/><Relationship Id="rId87" Type="http://schemas.openxmlformats.org/officeDocument/2006/relationships/hyperlink" Target="https://doi.org/10.1109/jsac.2021.3065072" TargetMode="External"/><Relationship Id="rId56" Type="http://schemas.openxmlformats.org/officeDocument/2006/relationships/hyperlink" Target="https://doi.org/10.1109/lcn.2007.39" TargetMode="External"/><Relationship Id="rId68" Type="http://schemas.openxmlformats.org/officeDocument/2006/relationships/hyperlink" Target="https://doi.org/10.1109/tac.2004.834121" TargetMode="External"/><Relationship Id="rId117" Type="http://schemas.openxmlformats.org/officeDocument/2006/relationships/hyperlink" Target="https://doi.org/10.1109/tgcn.2019.2948591" TargetMode="External"/><Relationship Id="rId74" Type="http://schemas.openxmlformats.org/officeDocument/2006/relationships/hyperlink" Target="https://doi.org/10.1109/tpds.2013.269" TargetMode="External"/><Relationship Id="rId94" Type="http://schemas.openxmlformats.org/officeDocument/2006/relationships/hyperlink" Target="https://doi.org/10.1109/twc.2012.121412.120148" TargetMode="External"/><Relationship Id="rId72" Type="http://schemas.openxmlformats.org/officeDocument/2006/relationships/hyperlink" Target="https://doi.org/10.1109/twc.2020.2974225" TargetMode="External"/><Relationship Id="rId64" Type="http://schemas.openxmlformats.org/officeDocument/2006/relationships/hyperlink" Target="https://doi.org/10.1109/wcnc61545.2025.10978303" TargetMode="External"/><Relationship Id="rId92" Type="http://schemas.openxmlformats.org/officeDocument/2006/relationships/hyperlink" Target="https://doi.org/10.1145/1614320.1614337" TargetMode="External"/><Relationship Id="rId60" Type="http://schemas.openxmlformats.org/officeDocument/2006/relationships/hyperlink" Target="https://doi.org/10.1145/1689239.1689247" TargetMode="External"/><Relationship Id="rId121" Type="http://schemas.openxmlformats.org/officeDocument/2006/relationships/hyperlink" Target="https://doi.org/10.1145/2996356" TargetMode="External"/><Relationship Id="rId50" Type="http://schemas.openxmlformats.org/officeDocument/2006/relationships/hyperlink" Target="https://doi.org/10.1145/3005719" TargetMode="External"/><Relationship Id="rId90" Type="http://schemas.openxmlformats.org/officeDocument/2006/relationships/hyperlink" Target="https://doi.org/10.1145/3054977.3054978" TargetMode="External"/><Relationship Id="rId83" Type="http://schemas.openxmlformats.org/officeDocument/2006/relationships/hyperlink" Target="https://doi.org/10.1145/3419016.3431491" TargetMode="External"/><Relationship Id="rId79" Type="http://schemas.openxmlformats.org/officeDocument/2006/relationships/hyperlink" Target="https://doi.org/10.1145/3599236" TargetMode="External"/><Relationship Id="rId99" Type="http://schemas.openxmlformats.org/officeDocument/2006/relationships/hyperlink" Target="https://doi.org/10.1145/3627673.3679642" TargetMode="External"/><Relationship Id="rId103" Type="http://schemas.openxmlformats.org/officeDocument/2006/relationships/hyperlink" Target="https://doi.org/10.1145/3637528.3671751" TargetMode="External"/><Relationship Id="rId85" Type="http://schemas.openxmlformats.org/officeDocument/2006/relationships/hyperlink" Target="https://doi.org/10.1145/3736425.3771960" TargetMode="External"/><Relationship Id="rId81" Type="http://schemas.openxmlformats.org/officeDocument/2006/relationships/hyperlink" Target="https://doi.org/10.1145/958491.958493" TargetMode="External"/><Relationship Id="rId52" Type="http://schemas.openxmlformats.org/officeDocument/2006/relationships/hyperlink" Target="https://doi.org/10.1155/2020/8897126" TargetMode="External"/><Relationship Id="rId132" Type="http://schemas.openxmlformats.org/officeDocument/2006/relationships/hyperlink" Target="https://doi.org/10.1214/aos/1176344552" TargetMode="External"/><Relationship Id="rId126" Type="http://schemas.openxmlformats.org/officeDocument/2006/relationships/hyperlink" Target="https://doi.org/10.17632/krzv3g6d5f.1" TargetMode="External"/><Relationship Id="rId128" Type="http://schemas.openxmlformats.org/officeDocument/2006/relationships/hyperlink" Target="https://doi.org/10.18130/V3/RFTICK" TargetMode="External"/><Relationship Id="rId105" Type="http://schemas.openxmlformats.org/officeDocument/2006/relationships/hyperlink" Target="https://doi.org/10.1890/08-1668.1" TargetMode="External"/><Relationship Id="rId144" Type="http://schemas.openxmlformats.org/officeDocument/2006/relationships/hyperlink" Target="https://doi.org/10.2307/3001968" TargetMode="External"/><Relationship Id="rId138" Type="http://schemas.openxmlformats.org/officeDocument/2006/relationships/hyperlink" Target="https://doi.org/10.3133/tm1d3" TargetMode="External"/><Relationship Id="rId66" Type="http://schemas.openxmlformats.org/officeDocument/2006/relationships/hyperlink" Target="https://doi.org/10.3389/frcmn.2025.1505375" TargetMode="External"/><Relationship Id="rId119" Type="http://schemas.openxmlformats.org/officeDocument/2006/relationships/hyperlink" Target="https://doi.org/10.3390/electronics10182224" TargetMode="External"/><Relationship Id="rId96" Type="http://schemas.openxmlformats.org/officeDocument/2006/relationships/hyperlink" Target="https://doi.org/10.3390/s141223137" TargetMode="External"/><Relationship Id="rId111" Type="http://schemas.openxmlformats.org/officeDocument/2006/relationships/hyperlink" Target="https://doi.org/10.3390/s17102364" TargetMode="External"/><Relationship Id="rId142" Type="http://schemas.openxmlformats.org/officeDocument/2006/relationships/hyperlink" Target="https://doi.org/10.4319/lo.1984.29.3.0620" TargetMode="External"/><Relationship Id="rId140" Type="http://schemas.openxmlformats.org/officeDocument/2006/relationships/hyperlink" Target="https://doi.org/10.5066/F7P55KJN" TargetMode="External"/><Relationship Id="rId77" Type="http://schemas.openxmlformats.org/officeDocument/2006/relationships/hyperlink" Target="https://doi.org/10.52202/068431-2324" TargetMode="External"/><Relationship Id="rId147" Type="http://schemas.openxmlformats.org/officeDocument/2006/relationships/hyperlink" Target="https://doi.org/10.5281/zenodo.23455071" TargetMode="External"/><Relationship Id="rId130" Type="http://schemas.openxmlformats.org/officeDocument/2006/relationships/hyperlink" Target="https://doi.org/10.5281/zenodo.41214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Outage-Aware Reporting and Loss Recovery for Energy-Efficient River Water-Quality Telemetry over LPWANs</dc:title>
  <dc:creator>Kofi Sarpong Adu-Manu and Stephen Kwaku Azongo </dc:creator>
  <cp:keywords/>
  <dcterms:created xsi:type="dcterms:W3CDTF">2026-10-23T08:44:11Z</dcterms:created>
  <dcterms:modified xsi:type="dcterms:W3CDTF">2026-10-23T08:44:11Z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Battery-powered river water-quality nodes lose data, yet retransmission, buffering, and reconstruction are analysed for short, independent losses. This study measures the loss in four real systems: two water-quality deployments and two LoRaWAN networks. Losses fall into short radio losses and rarer long delivery gaps, which hold most of the missing data in the water-quality deployments; a geometric gap-length model fits worst on every record. Replayed through a measurement-parameterised LoRaWAN and NB-IoT energy model, retransmission recovers under a fifth of the missing readings even under optimistic retry timing, at 2.3\times–7.3\times the energy of unconfirmed reporting on LoRaWAN, whereas buffering with back-off recovers every generated reading at an energy close to that of recovering nothing. Neither simple nor deep reconstruction keeps most day-long gaps within tolerance. Bounded event-driven batching combines hourly batches, immediate alarms, a bounded-error trigger, and buffering with back-off. Tested with frozen rules on held-out data from 33 river sites, it matches per-reading reporting on alarm latency and on the real-time picture, while per-reading retransmission uses 1.34\times–2.55\times as much energy. Recovery of many nodes after a shared outage requires randomised probes, and large SF12 cells are limited by the gateway’s acknowledgements.</vt:lpwstr>
  </property>
  <property fmtid="{D5CDD505-2E9C-101B-9397-08002B2CF9AE}" pid="3" name="bibliography">
    <vt:lpwstr/>
  </property>
  <property fmtid="{D5CDD505-2E9C-101B-9397-08002B2CF9AE}" pid="4" name="csl">
    <vt:lpwstr>ieee.csl</vt:lpwstr>
  </property>
  <property fmtid="{D5CDD505-2E9C-101B-9397-08002B2CF9AE}" pid="5" name="reference-section-title">
    <vt:lpwstr>References</vt:lpwstr>
  </property>
</Properties>
</file>