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577D08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BC4019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C4019">
        <w:rPr>
          <w:rFonts w:ascii="Arial" w:hAnsi="Arial" w:cs="Arial"/>
          <w:b/>
          <w:bCs/>
          <w:sz w:val="24"/>
          <w:szCs w:val="24"/>
        </w:rPr>
        <w:t>Desarrollo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 w:rsidRPr="00BB1B28">
        <w:rPr>
          <w:rFonts w:ascii="Arial" w:hAnsi="Arial" w:cs="Arial"/>
          <w:b/>
          <w:bCs/>
          <w:sz w:val="24"/>
          <w:szCs w:val="24"/>
        </w:rPr>
        <w:t>jul</w:t>
      </w:r>
      <w:r w:rsidR="00907948" w:rsidRPr="00BB1B28">
        <w:rPr>
          <w:rFonts w:ascii="Arial" w:hAnsi="Arial" w:cs="Arial"/>
          <w:b/>
          <w:bCs/>
          <w:sz w:val="24"/>
          <w:szCs w:val="24"/>
        </w:rPr>
        <w:t>io</w:t>
      </w:r>
      <w:r w:rsidR="00F451AC" w:rsidRPr="00BB1B28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4AA0B996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5A4ECD34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0DC7979D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2CB73888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0A6EA879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41E7735F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626013B0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264A41F4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1C1E99D6" w14:textId="3194BCD1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063D2DA2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180AED82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04A36EC0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01923F81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69749A9C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20F645D3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3C7C50F6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51947274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2434908A" w:rsidR="007F620D" w:rsidRDefault="00CA0951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1B1C2759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7E973B71" w:rsidR="007F620D" w:rsidRDefault="00CA0951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577D08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88857C9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AA5B52" w:rsidRPr="00B86EE7">
        <w:rPr>
          <w:rFonts w:ascii="Arial" w:hAnsi="Arial" w:cs="Arial"/>
          <w:bCs/>
          <w:sz w:val="24"/>
          <w:szCs w:val="24"/>
        </w:rPr>
        <w:t>jul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io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6C3266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6C3AB27F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3048125A" w:rsidR="006154C8" w:rsidRDefault="00E145AF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ha puesto la meta de desarrollar un dispositivo electromecánico capaz de medir y dispensar con precisión distintos alimentos para cada animal del hato lechero. Los alimentos se calculan en un software especializado en nutrición bovina.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7EA9D711" w14:textId="2A3DF8FD" w:rsidR="00DB287E" w:rsidRPr="00DB287E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Desplazamiento del carro.</w:t>
      </w:r>
    </w:p>
    <w:p w14:paraId="1C7912DC" w14:textId="5A796370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 xml:space="preserve">ontención de </w:t>
      </w:r>
      <w:r>
        <w:rPr>
          <w:rFonts w:ascii="Arial" w:hAnsi="Arial" w:cs="Arial"/>
          <w:bCs/>
          <w:sz w:val="24"/>
          <w:szCs w:val="24"/>
        </w:rPr>
        <w:t>alimentos.</w:t>
      </w:r>
    </w:p>
    <w:p w14:paraId="613757A6" w14:textId="2E5B95C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Medición de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65BB6F6" w14:textId="366289A5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Mezclado.</w:t>
      </w:r>
    </w:p>
    <w:p w14:paraId="5270EA1C" w14:textId="78B3D85B" w:rsidR="00DB287E" w:rsidRPr="00B86EE7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6801199" w14:textId="03DE6797" w:rsidR="00B86EE7" w:rsidRPr="00B86EE7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Software.</w:t>
      </w:r>
    </w:p>
    <w:p w14:paraId="0638C99A" w14:textId="6EAE57BF" w:rsidR="00B86EE7" w:rsidRPr="003530E2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Alimentación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>
        <w:rPr>
          <w:rFonts w:ascii="Arial" w:hAnsi="Arial" w:cs="Arial"/>
          <w:bCs/>
          <w:sz w:val="24"/>
          <w:szCs w:val="24"/>
        </w:rPr>
        <w:t>.</w:t>
      </w:r>
    </w:p>
    <w:p w14:paraId="79F3A128" w14:textId="058AB21D" w:rsidR="003530E2" w:rsidRDefault="003530E2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17B7B">
        <w:rPr>
          <w:rFonts w:ascii="Arial" w:hAnsi="Arial" w:cs="Arial"/>
          <w:bCs/>
          <w:sz w:val="24"/>
          <w:szCs w:val="24"/>
        </w:rPr>
        <w:t>Actualmente el proceso de alimentación es ejecutado en forma manual por parte de los opera</w:t>
      </w:r>
      <w:r w:rsidR="00B86EE7" w:rsidRPr="00E17B7B">
        <w:rPr>
          <w:rFonts w:ascii="Arial" w:hAnsi="Arial" w:cs="Arial"/>
          <w:bCs/>
          <w:sz w:val="24"/>
          <w:szCs w:val="24"/>
        </w:rPr>
        <w:t>rios de las fincas, esto genera</w:t>
      </w:r>
      <w:r w:rsidRPr="00E17B7B">
        <w:rPr>
          <w:rFonts w:ascii="Arial" w:hAnsi="Arial" w:cs="Arial"/>
          <w:bCs/>
          <w:sz w:val="24"/>
          <w:szCs w:val="24"/>
        </w:rPr>
        <w:t xml:space="preserve"> imprecisión. A partir de una lista de vacas y sus alimentos, el operario debe utilizar recipientes graduados para medir kilos o gramos y </w:t>
      </w:r>
      <w:r w:rsidR="00E17B7B" w:rsidRPr="00E17B7B">
        <w:rPr>
          <w:rFonts w:ascii="Arial" w:hAnsi="Arial" w:cs="Arial"/>
          <w:bCs/>
          <w:sz w:val="24"/>
          <w:szCs w:val="24"/>
        </w:rPr>
        <w:t>depositarlos en el comedero de</w:t>
      </w:r>
      <w:r w:rsidRPr="00E17B7B">
        <w:rPr>
          <w:rFonts w:ascii="Arial" w:hAnsi="Arial" w:cs="Arial"/>
          <w:bCs/>
          <w:sz w:val="24"/>
          <w:szCs w:val="24"/>
        </w:rPr>
        <w:t xml:space="preserve"> cada animal; la deposición del alimento requiere que el operario se agache o lo tire desde su propia altura</w:t>
      </w:r>
      <w:r w:rsidR="00E17B7B" w:rsidRPr="00E17B7B">
        <w:rPr>
          <w:rFonts w:ascii="Arial" w:hAnsi="Arial" w:cs="Arial"/>
          <w:bCs/>
          <w:sz w:val="24"/>
          <w:szCs w:val="24"/>
        </w:rPr>
        <w:t>,</w:t>
      </w:r>
      <w:r w:rsidRPr="00E17B7B">
        <w:rPr>
          <w:rFonts w:ascii="Arial" w:hAnsi="Arial" w:cs="Arial"/>
          <w:bCs/>
          <w:sz w:val="24"/>
          <w:szCs w:val="24"/>
        </w:rPr>
        <w:t xml:space="preserve"> lo cual genera esfuerzo y mayor imprecisión.</w:t>
      </w:r>
    </w:p>
    <w:p w14:paraId="051CB94F" w14:textId="445E6504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 empresa lechera.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6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6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7" w:name="_Toc432944434"/>
      <w:bookmarkStart w:id="8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7"/>
      <w:bookmarkEnd w:id="8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9" w:name="_Toc432944435"/>
      <w:bookmarkStart w:id="10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9"/>
      <w:bookmarkEnd w:id="10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109179BD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682A1DAE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la masa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192849BB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EndPr/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lang w:val="es-ES"/>
            </w:rPr>
            <w:t>[2]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EndPr/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[3]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0184309A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EndPr/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[4]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0F381FBE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B0BDD">
        <w:rPr>
          <w:rFonts w:cs="Arial"/>
          <w:lang w:val="es-CR"/>
        </w:rPr>
        <w:t xml:space="preserve">la empresa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</w:t>
      </w:r>
      <w:r w:rsidR="00826352">
        <w:rPr>
          <w:rFonts w:cs="Arial"/>
          <w:lang w:val="es-CR"/>
        </w:rPr>
        <w:lastRenderedPageBreak/>
        <w:t>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6"/>
      <w:bookmarkStart w:id="1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1"/>
      <w:bookmarkEnd w:id="12"/>
    </w:p>
    <w:p w14:paraId="5D9F13F1" w14:textId="74BAEAD7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distribución e imprecisiones en la dosificación 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3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4" w:name="_Toc517767889"/>
      <w:bookmarkStart w:id="15" w:name="_GoBack"/>
      <w:bookmarkEnd w:id="15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3"/>
      <w:bookmarkEnd w:id="1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78D5E1E3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en </w:t>
      </w:r>
      <w:r w:rsidR="00BC7457">
        <w:rPr>
          <w:rFonts w:ascii="Arial" w:hAnsi="Arial" w:cs="Arial"/>
          <w:bCs/>
          <w:sz w:val="24"/>
          <w:szCs w:val="24"/>
        </w:rPr>
        <w:t xml:space="preserve">el desarrollo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3B7DD4">
        <w:rPr>
          <w:rFonts w:ascii="Arial" w:hAnsi="Arial" w:cs="Arial"/>
          <w:bCs/>
          <w:sz w:val="24"/>
          <w:szCs w:val="24"/>
        </w:rPr>
        <w:t>,</w:t>
      </w:r>
      <w:r w:rsidR="00BC7457">
        <w:rPr>
          <w:rFonts w:ascii="Arial" w:hAnsi="Arial" w:cs="Arial"/>
          <w:bCs/>
          <w:sz w:val="24"/>
          <w:szCs w:val="24"/>
        </w:rPr>
        <w:t xml:space="preserve"> depositado en recipientes e identificación del animal</w:t>
      </w:r>
      <w:r>
        <w:rPr>
          <w:rFonts w:ascii="Arial" w:hAnsi="Arial" w:cs="Arial"/>
          <w:bCs/>
          <w:sz w:val="24"/>
          <w:szCs w:val="24"/>
        </w:rPr>
        <w:t>.</w:t>
      </w:r>
    </w:p>
    <w:p w14:paraId="091F3B0B" w14:textId="0F731D5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851EC7">
        <w:rPr>
          <w:rFonts w:ascii="Arial" w:hAnsi="Arial" w:cs="Arial"/>
          <w:bCs/>
          <w:sz w:val="24"/>
          <w:szCs w:val="24"/>
        </w:rPr>
        <w:t xml:space="preserve">la masa de 4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de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>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41"/>
        <w:gridCol w:w="2218"/>
      </w:tblGrid>
      <w:tr w:rsidR="000F2CAC" w14:paraId="0BF960C7" w14:textId="4CD9A250" w:rsidTr="000F2CAC">
        <w:trPr>
          <w:jc w:val="center"/>
        </w:trPr>
        <w:tc>
          <w:tcPr>
            <w:tcW w:w="2344" w:type="dxa"/>
          </w:tcPr>
          <w:p w14:paraId="0304AA4E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141" w:type="dxa"/>
          </w:tcPr>
          <w:p w14:paraId="65062BA7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218" w:type="dxa"/>
          </w:tcPr>
          <w:p w14:paraId="38C5A426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0F2CAC" w14:paraId="7099C9A5" w14:textId="041D2379" w:rsidTr="000F2CAC">
        <w:trPr>
          <w:jc w:val="center"/>
        </w:trPr>
        <w:tc>
          <w:tcPr>
            <w:tcW w:w="2344" w:type="dxa"/>
          </w:tcPr>
          <w:p w14:paraId="790278B9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141" w:type="dxa"/>
          </w:tcPr>
          <w:p w14:paraId="6EDE4784" w14:textId="226F9CC6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1,0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606A8BF6" w14:textId="00D7E28D" w:rsidR="000F2CAC" w:rsidRPr="00CF0D5C" w:rsidRDefault="00864C9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0F2CAC" w14:paraId="07DF3DE9" w14:textId="64DCC207" w:rsidTr="000F2CAC">
        <w:trPr>
          <w:jc w:val="center"/>
        </w:trPr>
        <w:tc>
          <w:tcPr>
            <w:tcW w:w="2344" w:type="dxa"/>
          </w:tcPr>
          <w:p w14:paraId="56D9B1F5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141" w:type="dxa"/>
          </w:tcPr>
          <w:p w14:paraId="788CD6F2" w14:textId="0F94C03D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0,2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2,0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218" w:type="dxa"/>
          </w:tcPr>
          <w:p w14:paraId="4E1F050A" w14:textId="081EAA48" w:rsidR="000F2CAC" w:rsidRPr="00CF0D5C" w:rsidRDefault="00864C9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0F2CAC" w14:paraId="16AF742E" w14:textId="6C194768" w:rsidTr="000F2CAC">
        <w:trPr>
          <w:jc w:val="center"/>
        </w:trPr>
        <w:tc>
          <w:tcPr>
            <w:tcW w:w="2344" w:type="dxa"/>
          </w:tcPr>
          <w:p w14:paraId="1A56C1E1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141" w:type="dxa"/>
          </w:tcPr>
          <w:p w14:paraId="0D588AFD" w14:textId="100381BC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0,15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18D8D2DF" w14:textId="45620899" w:rsidR="000F2CAC" w:rsidRPr="00CF0D5C" w:rsidRDefault="00864C9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F2CAC" w14:paraId="0F330D89" w14:textId="321C5625" w:rsidTr="000F2CAC">
        <w:trPr>
          <w:jc w:val="center"/>
        </w:trPr>
        <w:tc>
          <w:tcPr>
            <w:tcW w:w="2344" w:type="dxa"/>
          </w:tcPr>
          <w:p w14:paraId="6408C540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141" w:type="dxa"/>
          </w:tcPr>
          <w:p w14:paraId="3F841F76" w14:textId="6EF6CCF0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  <w:r w:rsidR="00864C9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4AB7CB55" w14:textId="5E2898EB" w:rsidR="000F2CAC" w:rsidRPr="00CF0D5C" w:rsidRDefault="00864C9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1D530A2B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</w:t>
      </w:r>
      <w:r w:rsidR="001055C5">
        <w:rPr>
          <w:rFonts w:ascii="Arial" w:hAnsi="Arial" w:cs="Arial"/>
          <w:bCs/>
          <w:sz w:val="24"/>
          <w:szCs w:val="24"/>
        </w:rPr>
        <w:t xml:space="preserve">contención (esclusas) </w:t>
      </w:r>
      <w:r w:rsidR="003F5488">
        <w:rPr>
          <w:rFonts w:ascii="Arial" w:hAnsi="Arial" w:cs="Arial"/>
          <w:bCs/>
          <w:sz w:val="24"/>
          <w:szCs w:val="24"/>
        </w:rPr>
        <w:t xml:space="preserve">soportado por células de carga. </w:t>
      </w:r>
      <w:r w:rsidR="00F13DA3">
        <w:rPr>
          <w:rFonts w:ascii="Arial" w:hAnsi="Arial" w:cs="Arial"/>
          <w:bCs/>
          <w:sz w:val="24"/>
          <w:szCs w:val="24"/>
        </w:rPr>
        <w:t xml:space="preserve">El </w:t>
      </w:r>
      <w:r w:rsidR="00E91840">
        <w:rPr>
          <w:rFonts w:ascii="Arial" w:hAnsi="Arial" w:cs="Arial"/>
          <w:bCs/>
          <w:sz w:val="24"/>
          <w:szCs w:val="24"/>
        </w:rPr>
        <w:t>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la levadura y el mineral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una compuerta </w:t>
      </w:r>
      <w:r w:rsidR="00800630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abrir</w:t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</w:t>
      </w:r>
      <w:r w:rsidR="00584C4C">
        <w:rPr>
          <w:rFonts w:ascii="Arial" w:hAnsi="Arial" w:cs="Arial"/>
          <w:bCs/>
          <w:sz w:val="24"/>
          <w:szCs w:val="24"/>
        </w:rPr>
        <w:t xml:space="preserve">a unos recipientes </w:t>
      </w:r>
      <w:r w:rsidR="003F5488">
        <w:rPr>
          <w:rFonts w:ascii="Arial" w:hAnsi="Arial" w:cs="Arial"/>
          <w:bCs/>
          <w:sz w:val="24"/>
          <w:szCs w:val="24"/>
        </w:rPr>
        <w:t>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5BCC8C49" w14:textId="06D47767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</w:t>
      </w:r>
      <w:r w:rsidR="00162961">
        <w:rPr>
          <w:rFonts w:ascii="Arial" w:hAnsi="Arial" w:cs="Arial"/>
          <w:bCs/>
          <w:sz w:val="24"/>
          <w:szCs w:val="24"/>
        </w:rPr>
        <w:t>un USB,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4F51C2">
        <w:rPr>
          <w:rFonts w:ascii="Arial" w:hAnsi="Arial" w:cs="Arial"/>
          <w:bCs/>
          <w:sz w:val="24"/>
          <w:szCs w:val="24"/>
        </w:rPr>
        <w:t xml:space="preserve"> junto a </w:t>
      </w:r>
      <w:r w:rsidR="00041E12">
        <w:rPr>
          <w:rFonts w:ascii="Arial" w:hAnsi="Arial" w:cs="Arial"/>
          <w:bCs/>
          <w:sz w:val="24"/>
          <w:szCs w:val="24"/>
        </w:rPr>
        <w:t xml:space="preserve">sus </w:t>
      </w:r>
      <w:r w:rsidR="004F51C2">
        <w:rPr>
          <w:rFonts w:ascii="Arial" w:hAnsi="Arial" w:cs="Arial"/>
          <w:bCs/>
          <w:sz w:val="24"/>
          <w:szCs w:val="24"/>
        </w:rPr>
        <w:t>requerimientos de alimentación.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 xml:space="preserve">el número de identificación de la vaca </w:t>
      </w:r>
      <w:r w:rsidR="003143A2">
        <w:rPr>
          <w:rFonts w:ascii="Arial" w:hAnsi="Arial" w:cs="Arial"/>
          <w:bCs/>
          <w:sz w:val="24"/>
          <w:szCs w:val="24"/>
        </w:rPr>
        <w:t xml:space="preserve">e iniciará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1E4168">
        <w:rPr>
          <w:rFonts w:ascii="Arial" w:hAnsi="Arial" w:cs="Arial"/>
          <w:bCs/>
          <w:sz w:val="24"/>
          <w:szCs w:val="24"/>
        </w:rPr>
        <w:t xml:space="preserve">. La </w:t>
      </w:r>
      <w:r w:rsidR="001C6E95">
        <w:rPr>
          <w:rFonts w:ascii="Arial" w:hAnsi="Arial" w:cs="Arial"/>
          <w:bCs/>
          <w:sz w:val="24"/>
          <w:szCs w:val="24"/>
        </w:rPr>
        <w:t xml:space="preserve">interfaz con el usuario </w:t>
      </w:r>
      <w:r w:rsidR="001E4168">
        <w:rPr>
          <w:rFonts w:ascii="Arial" w:hAnsi="Arial" w:cs="Arial"/>
          <w:bCs/>
          <w:sz w:val="24"/>
          <w:szCs w:val="24"/>
        </w:rPr>
        <w:t xml:space="preserve">contendrá </w:t>
      </w:r>
      <w:r w:rsidR="00BD6B9F">
        <w:rPr>
          <w:rFonts w:ascii="Arial" w:hAnsi="Arial" w:cs="Arial"/>
          <w:bCs/>
          <w:sz w:val="24"/>
          <w:szCs w:val="24"/>
        </w:rPr>
        <w:t>también una pantalla que mo</w:t>
      </w:r>
      <w:r w:rsidR="001E4168"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 w:rsidR="001E4168">
        <w:rPr>
          <w:rFonts w:ascii="Arial" w:hAnsi="Arial" w:cs="Arial"/>
          <w:bCs/>
          <w:sz w:val="24"/>
          <w:szCs w:val="24"/>
        </w:rPr>
        <w:t xml:space="preserve"> información sobre </w:t>
      </w:r>
      <w:r w:rsidR="007356EC">
        <w:rPr>
          <w:rFonts w:ascii="Arial" w:hAnsi="Arial" w:cs="Arial"/>
          <w:bCs/>
          <w:sz w:val="24"/>
          <w:szCs w:val="24"/>
        </w:rPr>
        <w:t>el estado actual del sistema.</w:t>
      </w:r>
    </w:p>
    <w:p w14:paraId="314019D8" w14:textId="369DE51F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 y </w:t>
      </w:r>
      <w:r w:rsidR="003727BD">
        <w:rPr>
          <w:rFonts w:ascii="Arial" w:hAnsi="Arial" w:cs="Arial"/>
          <w:bCs/>
          <w:sz w:val="24"/>
          <w:szCs w:val="24"/>
        </w:rPr>
        <w:t xml:space="preserve">la información a </w:t>
      </w:r>
      <w:r w:rsidR="005C78F3">
        <w:rPr>
          <w:rFonts w:ascii="Arial" w:hAnsi="Arial" w:cs="Arial"/>
          <w:bCs/>
          <w:sz w:val="24"/>
          <w:szCs w:val="24"/>
        </w:rPr>
        <w:t>la interfaz de usuario</w:t>
      </w:r>
      <w:r w:rsidR="00F47DB4">
        <w:rPr>
          <w:rFonts w:ascii="Arial" w:hAnsi="Arial" w:cs="Arial"/>
          <w:bCs/>
          <w:sz w:val="24"/>
          <w:szCs w:val="24"/>
        </w:rPr>
        <w:t>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se muestra en la figura 2.</w:t>
      </w:r>
    </w:p>
    <w:p w14:paraId="62E7D5CA" w14:textId="1D9AED8D" w:rsidR="009876A5" w:rsidRDefault="00577D08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lastRenderedPageBreak/>
        <w:pict w14:anchorId="28873388">
          <v:shape id="_x0000_i1026" type="#_x0000_t75" style="width:441.75pt;height:192.75pt">
            <v:imagedata r:id="rId10" o:title="Diagrama Bloques PFG EMF"/>
          </v:shape>
        </w:pict>
      </w:r>
    </w:p>
    <w:p w14:paraId="2477F6CC" w14:textId="477EAE7D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6" w:name="_Toc432944438"/>
      <w:bookmarkStart w:id="17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6"/>
      <w:bookmarkEnd w:id="17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C0D384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764EA4">
        <w:rPr>
          <w:rFonts w:ascii="Arial" w:hAnsi="Arial" w:cs="Arial"/>
          <w:bCs/>
          <w:sz w:val="24"/>
          <w:szCs w:val="24"/>
        </w:rPr>
        <w:t>Crear</w:t>
      </w:r>
      <w:r w:rsidR="00F02869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5A324B">
        <w:rPr>
          <w:rFonts w:ascii="Arial" w:hAnsi="Arial" w:cs="Arial"/>
          <w:bCs/>
          <w:sz w:val="24"/>
          <w:szCs w:val="24"/>
        </w:rPr>
        <w:t xml:space="preserve">de distintos alimentos definidos por los datos de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AF6E72">
        <w:rPr>
          <w:rFonts w:ascii="Arial" w:hAnsi="Arial" w:cs="Arial"/>
          <w:bCs/>
          <w:sz w:val="24"/>
          <w:szCs w:val="24"/>
        </w:rPr>
        <w:t>6</w:t>
      </w:r>
      <w:r w:rsidR="0068731F">
        <w:rPr>
          <w:rFonts w:ascii="Arial" w:hAnsi="Arial" w:cs="Arial"/>
          <w:bCs/>
          <w:sz w:val="24"/>
          <w:szCs w:val="24"/>
        </w:rPr>
        <w:t>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8" w:name="_Toc432944439"/>
      <w:bookmarkStart w:id="19" w:name="_Toc517767891"/>
      <w:r w:rsidRPr="00FB7CE8">
        <w:rPr>
          <w:rFonts w:ascii="Arial" w:hAnsi="Arial" w:cs="Arial"/>
          <w:color w:val="auto"/>
        </w:rPr>
        <w:t>Objetivos Específicos</w:t>
      </w:r>
      <w:bookmarkEnd w:id="18"/>
      <w:bookmarkEnd w:id="19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39D4E8F7" w:rsidR="00A408FF" w:rsidRPr="00B50726" w:rsidRDefault="00FE3B4D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Desarrollar </w:t>
      </w:r>
      <w:r w:rsidR="001B2791">
        <w:rPr>
          <w:rFonts w:ascii="Arial" w:hAnsi="Arial" w:cs="Arial"/>
          <w:bCs/>
          <w:sz w:val="24"/>
          <w:szCs w:val="24"/>
        </w:rPr>
        <w:t xml:space="preserve">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 w:rsidR="001B2791"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01C701E8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</w:t>
      </w:r>
      <w:r w:rsidR="00705420">
        <w:rPr>
          <w:rFonts w:ascii="Arial" w:hAnsi="Arial" w:cs="Arial"/>
          <w:bCs/>
          <w:sz w:val="24"/>
          <w:szCs w:val="24"/>
        </w:rPr>
        <w:t>indicadas en la</w:t>
      </w:r>
      <w:r w:rsidR="00D20C55">
        <w:rPr>
          <w:rFonts w:ascii="Arial" w:hAnsi="Arial" w:cs="Arial"/>
          <w:bCs/>
          <w:sz w:val="24"/>
          <w:szCs w:val="24"/>
        </w:rPr>
        <w:t xml:space="preserve"> tabla 1 en </w:t>
      </w:r>
      <w:r w:rsidR="00AC5F1C">
        <w:rPr>
          <w:rFonts w:ascii="Arial" w:hAnsi="Arial" w:cs="Arial"/>
          <w:bCs/>
          <w:sz w:val="24"/>
          <w:szCs w:val="24"/>
        </w:rPr>
        <w:t>el 9</w:t>
      </w:r>
      <w:r w:rsidR="00BC4019">
        <w:rPr>
          <w:rFonts w:ascii="Arial" w:hAnsi="Arial" w:cs="Arial"/>
          <w:bCs/>
          <w:sz w:val="24"/>
          <w:szCs w:val="24"/>
        </w:rPr>
        <w:t>0</w:t>
      </w:r>
      <w:r w:rsidR="00AC5F1C">
        <w:rPr>
          <w:rFonts w:ascii="Arial" w:hAnsi="Arial" w:cs="Arial"/>
          <w:bCs/>
          <w:sz w:val="24"/>
          <w:szCs w:val="24"/>
        </w:rPr>
        <w:t xml:space="preserve">% de los casos </w:t>
      </w:r>
      <w:r w:rsidR="004502A4">
        <w:rPr>
          <w:rFonts w:ascii="Arial" w:hAnsi="Arial" w:cs="Arial"/>
          <w:bCs/>
          <w:sz w:val="24"/>
          <w:szCs w:val="24"/>
        </w:rPr>
        <w:t xml:space="preserve">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2ACE10C7" w:rsidR="00F11384" w:rsidRDefault="00A725B6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B40F39">
        <w:rPr>
          <w:rFonts w:ascii="Arial" w:hAnsi="Arial" w:cs="Arial"/>
          <w:bCs/>
          <w:sz w:val="24"/>
          <w:szCs w:val="24"/>
        </w:rPr>
        <w:t xml:space="preserve">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>la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materia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prima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</w:t>
      </w:r>
      <w:r w:rsidR="00F02869">
        <w:rPr>
          <w:rFonts w:ascii="Arial" w:hAnsi="Arial" w:cs="Arial"/>
          <w:bCs/>
          <w:sz w:val="24"/>
          <w:szCs w:val="24"/>
        </w:rPr>
        <w:t xml:space="preserve">desde </w:t>
      </w:r>
      <w:r w:rsidR="005E7D7B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>
        <w:rPr>
          <w:rFonts w:ascii="Arial" w:hAnsi="Arial" w:cs="Arial"/>
          <w:bCs/>
          <w:sz w:val="24"/>
          <w:szCs w:val="24"/>
        </w:rPr>
        <w:t>hasta un</w:t>
      </w:r>
      <w:r w:rsidR="003517AB">
        <w:rPr>
          <w:rFonts w:ascii="Arial" w:hAnsi="Arial" w:cs="Arial"/>
          <w:bCs/>
          <w:sz w:val="24"/>
          <w:szCs w:val="24"/>
        </w:rPr>
        <w:t>os</w:t>
      </w:r>
      <w:r w:rsidR="00B01C39">
        <w:rPr>
          <w:rFonts w:ascii="Arial" w:hAnsi="Arial" w:cs="Arial"/>
          <w:bCs/>
          <w:sz w:val="24"/>
          <w:szCs w:val="24"/>
        </w:rPr>
        <w:t xml:space="preserve"> recipiente</w:t>
      </w:r>
      <w:r w:rsidR="003517AB">
        <w:rPr>
          <w:rFonts w:ascii="Arial" w:hAnsi="Arial" w:cs="Arial"/>
          <w:bCs/>
          <w:sz w:val="24"/>
          <w:szCs w:val="24"/>
        </w:rPr>
        <w:t>s</w:t>
      </w:r>
      <w:r w:rsidR="00F11384">
        <w:rPr>
          <w:rFonts w:ascii="Arial" w:hAnsi="Arial" w:cs="Arial"/>
          <w:bCs/>
          <w:sz w:val="24"/>
          <w:szCs w:val="24"/>
        </w:rPr>
        <w:t>.</w:t>
      </w:r>
    </w:p>
    <w:p w14:paraId="327D501D" w14:textId="4C0744F3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</w:t>
      </w:r>
      <w:r w:rsidR="00C526DB">
        <w:rPr>
          <w:rFonts w:ascii="Arial" w:hAnsi="Arial" w:cs="Arial"/>
          <w:bCs/>
          <w:sz w:val="24"/>
          <w:szCs w:val="24"/>
        </w:rPr>
        <w:t>activados</w:t>
      </w:r>
      <w:r w:rsidR="007D2C44">
        <w:rPr>
          <w:rFonts w:ascii="Arial" w:hAnsi="Arial" w:cs="Arial"/>
          <w:bCs/>
          <w:sz w:val="24"/>
          <w:szCs w:val="24"/>
        </w:rPr>
        <w:t xml:space="preserve">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todos los </w:t>
      </w:r>
      <w:r w:rsidR="00097F05">
        <w:rPr>
          <w:rFonts w:ascii="Arial" w:hAnsi="Arial" w:cs="Arial"/>
          <w:bCs/>
          <w:sz w:val="24"/>
          <w:szCs w:val="24"/>
        </w:rPr>
        <w:t xml:space="preserve">elementos en </w:t>
      </w:r>
      <w:r w:rsidR="003517AB">
        <w:rPr>
          <w:rFonts w:ascii="Arial" w:hAnsi="Arial" w:cs="Arial"/>
          <w:bCs/>
          <w:sz w:val="24"/>
          <w:szCs w:val="24"/>
        </w:rPr>
        <w:t xml:space="preserve">unos recipientes </w:t>
      </w:r>
      <w:r w:rsidR="00097F05">
        <w:rPr>
          <w:rFonts w:ascii="Arial" w:hAnsi="Arial" w:cs="Arial"/>
          <w:bCs/>
          <w:sz w:val="24"/>
          <w:szCs w:val="24"/>
        </w:rPr>
        <w:t>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1EDF66BA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>Ante una entrada ingresada</w:t>
      </w:r>
      <w:r w:rsidR="00651858">
        <w:rPr>
          <w:rFonts w:ascii="Arial" w:hAnsi="Arial" w:cs="Arial"/>
          <w:bCs/>
          <w:sz w:val="24"/>
          <w:szCs w:val="24"/>
        </w:rPr>
        <w:t xml:space="preserve"> externamente,</w:t>
      </w:r>
      <w:r w:rsidR="00AB2DD7">
        <w:rPr>
          <w:rFonts w:ascii="Arial" w:hAnsi="Arial" w:cs="Arial"/>
          <w:bCs/>
          <w:sz w:val="24"/>
          <w:szCs w:val="24"/>
        </w:rPr>
        <w:t xml:space="preserve"> con </w:t>
      </w:r>
      <w:r w:rsidR="00651858">
        <w:rPr>
          <w:rFonts w:ascii="Arial" w:hAnsi="Arial" w:cs="Arial"/>
          <w:bCs/>
          <w:sz w:val="24"/>
          <w:szCs w:val="24"/>
        </w:rPr>
        <w:t>los contenedores vacío</w:t>
      </w:r>
      <w:r w:rsidR="00AB2DD7">
        <w:rPr>
          <w:rFonts w:ascii="Arial" w:hAnsi="Arial" w:cs="Arial"/>
          <w:bCs/>
          <w:sz w:val="24"/>
          <w:szCs w:val="24"/>
        </w:rPr>
        <w:t>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CF3214">
        <w:rPr>
          <w:rFonts w:ascii="Arial" w:hAnsi="Arial" w:cs="Arial"/>
          <w:bCs/>
          <w:sz w:val="24"/>
          <w:szCs w:val="24"/>
        </w:rPr>
        <w:t xml:space="preserve">los actuadores </w:t>
      </w:r>
      <w:r w:rsidR="00EC7880">
        <w:rPr>
          <w:rFonts w:ascii="Arial" w:hAnsi="Arial" w:cs="Arial"/>
          <w:bCs/>
          <w:sz w:val="24"/>
          <w:szCs w:val="24"/>
        </w:rPr>
        <w:t xml:space="preserve">deberán ser activados </w:t>
      </w:r>
      <w:r w:rsidR="00CF3214">
        <w:rPr>
          <w:rFonts w:ascii="Arial" w:hAnsi="Arial" w:cs="Arial"/>
          <w:bCs/>
          <w:sz w:val="24"/>
          <w:szCs w:val="24"/>
        </w:rPr>
        <w:t>en la secuencia requerida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0E9397F1" w:rsidR="006005A4" w:rsidRDefault="002A6972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Combinar</w:t>
      </w:r>
      <w:r w:rsidR="008B7D3B">
        <w:rPr>
          <w:rFonts w:ascii="Arial" w:hAnsi="Arial" w:cs="Arial"/>
          <w:bCs/>
          <w:sz w:val="24"/>
          <w:szCs w:val="24"/>
        </w:rPr>
        <w:t xml:space="preserve">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28D205B3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</w:t>
      </w:r>
      <w:r w:rsidR="000A724B">
        <w:rPr>
          <w:rFonts w:ascii="Arial" w:hAnsi="Arial" w:cs="Arial"/>
          <w:bCs/>
          <w:sz w:val="24"/>
          <w:szCs w:val="24"/>
        </w:rPr>
        <w:t>ingresada externamente</w:t>
      </w:r>
      <w:r w:rsidRPr="00E06078">
        <w:rPr>
          <w:rFonts w:ascii="Arial" w:hAnsi="Arial" w:cs="Arial"/>
          <w:bCs/>
          <w:sz w:val="24"/>
          <w:szCs w:val="24"/>
        </w:rPr>
        <w:t xml:space="preserve">, con alimento en </w:t>
      </w:r>
      <w:r w:rsidR="003B2317">
        <w:rPr>
          <w:rFonts w:ascii="Arial" w:hAnsi="Arial" w:cs="Arial"/>
          <w:bCs/>
          <w:sz w:val="24"/>
          <w:szCs w:val="24"/>
        </w:rPr>
        <w:t>los contenedores</w:t>
      </w:r>
      <w:r w:rsidRPr="00E06078">
        <w:rPr>
          <w:rFonts w:ascii="Arial" w:hAnsi="Arial" w:cs="Arial"/>
          <w:bCs/>
          <w:sz w:val="24"/>
          <w:szCs w:val="24"/>
        </w:rPr>
        <w:t xml:space="preserve">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</w:t>
      </w:r>
      <w:r w:rsidR="0040743A">
        <w:rPr>
          <w:rFonts w:ascii="Arial" w:hAnsi="Arial" w:cs="Arial"/>
          <w:bCs/>
          <w:sz w:val="24"/>
          <w:szCs w:val="24"/>
        </w:rPr>
        <w:t>unos recipientes los alimentos con las precisiones requeridas.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40"/>
      <w:bookmarkStart w:id="21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0"/>
      <w:bookmarkEnd w:id="21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0B2D2202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B517E">
        <w:rPr>
          <w:rFonts w:ascii="Arial" w:hAnsi="Arial" w:cs="Arial"/>
          <w:bCs/>
          <w:sz w:val="24"/>
          <w:szCs w:val="24"/>
        </w:rPr>
        <w:t xml:space="preserve">re el proceso de nutrición 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3FD353A4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07CFA60A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</w:t>
      </w:r>
      <w:r w:rsidR="000853CD">
        <w:rPr>
          <w:rFonts w:ascii="Arial" w:hAnsi="Arial" w:cs="Arial"/>
          <w:bCs/>
          <w:sz w:val="24"/>
          <w:szCs w:val="24"/>
        </w:rPr>
        <w:lastRenderedPageBreak/>
        <w:t>la verificación del diseño mediante herramientas de software. Finalmente se construirá el diseño y se verificará su funcionamiento.</w:t>
      </w:r>
    </w:p>
    <w:p w14:paraId="5D01BA08" w14:textId="0D5BE7CC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8D7C84">
        <w:rPr>
          <w:rFonts w:ascii="Arial" w:hAnsi="Arial" w:cs="Arial"/>
          <w:bCs/>
          <w:sz w:val="24"/>
          <w:szCs w:val="24"/>
        </w:rPr>
        <w:t xml:space="preserve"> se plantearán propuestas de solución y se seleccionará la mejor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8D7C84">
        <w:rPr>
          <w:rFonts w:ascii="Arial" w:hAnsi="Arial" w:cs="Arial"/>
          <w:bCs/>
          <w:sz w:val="24"/>
          <w:szCs w:val="24"/>
        </w:rPr>
        <w:t xml:space="preserve">criterio técnico. Se procederá con el diseño </w:t>
      </w:r>
      <w:r w:rsidR="00623C6C">
        <w:rPr>
          <w:rFonts w:ascii="Arial" w:hAnsi="Arial" w:cs="Arial"/>
          <w:bCs/>
          <w:sz w:val="24"/>
          <w:szCs w:val="24"/>
        </w:rPr>
        <w:t xml:space="preserve">y verificación </w:t>
      </w:r>
      <w:r w:rsidR="00A75E45">
        <w:rPr>
          <w:rFonts w:ascii="Arial" w:hAnsi="Arial" w:cs="Arial"/>
          <w:bCs/>
          <w:sz w:val="24"/>
          <w:szCs w:val="24"/>
        </w:rPr>
        <w:t xml:space="preserve">de los </w:t>
      </w:r>
      <w:r w:rsidR="00E37106">
        <w:rPr>
          <w:rFonts w:ascii="Arial" w:hAnsi="Arial" w:cs="Arial"/>
          <w:bCs/>
          <w:sz w:val="24"/>
          <w:szCs w:val="24"/>
        </w:rPr>
        <w:t>elementos,</w:t>
      </w:r>
      <w:r w:rsidR="00A75E45">
        <w:rPr>
          <w:rFonts w:ascii="Arial" w:hAnsi="Arial" w:cs="Arial"/>
          <w:bCs/>
          <w:sz w:val="24"/>
          <w:szCs w:val="24"/>
        </w:rPr>
        <w:t xml:space="preserve"> así como </w:t>
      </w:r>
      <w:r w:rsidR="008D7C84">
        <w:rPr>
          <w:rFonts w:ascii="Arial" w:hAnsi="Arial" w:cs="Arial"/>
          <w:bCs/>
          <w:sz w:val="24"/>
          <w:szCs w:val="24"/>
        </w:rPr>
        <w:t xml:space="preserve">la selección de los sensores y actuadores de acuerdo con las especificaciones requeridas. </w:t>
      </w:r>
      <w:r w:rsidR="00B2703D">
        <w:rPr>
          <w:rFonts w:ascii="Arial" w:hAnsi="Arial" w:cs="Arial"/>
          <w:bCs/>
          <w:sz w:val="24"/>
          <w:szCs w:val="24"/>
        </w:rPr>
        <w:t>Al final se manufacturará el diseño y se verificará su funcionamiento.</w:t>
      </w:r>
    </w:p>
    <w:p w14:paraId="7177EB69" w14:textId="03DA890E" w:rsidR="00656BD1" w:rsidRDefault="003440D9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diseñar</w:t>
      </w:r>
      <w:r w:rsidR="00090D66">
        <w:rPr>
          <w:rFonts w:ascii="Arial" w:hAnsi="Arial" w:cs="Arial"/>
          <w:bCs/>
          <w:sz w:val="24"/>
          <w:szCs w:val="24"/>
        </w:rPr>
        <w:t>á la interfaz</w:t>
      </w:r>
      <w:r>
        <w:rPr>
          <w:rFonts w:ascii="Arial" w:hAnsi="Arial" w:cs="Arial"/>
          <w:bCs/>
          <w:sz w:val="24"/>
          <w:szCs w:val="24"/>
        </w:rPr>
        <w:t xml:space="preserve"> con el </w:t>
      </w:r>
      <w:r w:rsidR="00CC7A37">
        <w:rPr>
          <w:rFonts w:ascii="Arial" w:hAnsi="Arial" w:cs="Arial"/>
          <w:bCs/>
          <w:sz w:val="24"/>
          <w:szCs w:val="24"/>
        </w:rPr>
        <w:t xml:space="preserve">usuario 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códigos para la comunicación entre la interfaz y el controlador central serán escritos y verificados.</w:t>
      </w:r>
    </w:p>
    <w:p w14:paraId="3F3B4A50" w14:textId="4083F942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esto se diseñarán e implementarán los circuitos electrónicos que permitan la comunicación de los sensores y actuadores con el controlador central, luego 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diseñados y construidos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lo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 xml:space="preserve">s circuitos impresos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 xml:space="preserve">necesarios, así como las cajas de protección contra los </w:t>
      </w:r>
      <w:r w:rsidR="00E37106">
        <w:rPr>
          <w:rFonts w:ascii="Arial" w:hAnsi="Arial" w:cs="Arial"/>
          <w:bCs/>
          <w:color w:val="000000" w:themeColor="text1"/>
          <w:sz w:val="24"/>
          <w:szCs w:val="24"/>
        </w:rPr>
        <w:t xml:space="preserve">agentes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externos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necesarios para la comunicación de los sensores y actuadores con el controlador.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2" w:name="_Toc432944441"/>
      <w:bookmarkStart w:id="23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2"/>
      <w:bookmarkEnd w:id="23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4" w:name="_Toc432944442"/>
      <w:bookmarkStart w:id="25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4"/>
      <w:bookmarkEnd w:id="25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0D7E18BE" w:rsidR="00F06438" w:rsidRPr="005F0CF7" w:rsidRDefault="00F06438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</w:t>
            </w:r>
            <w:r w:rsidR="00F11F74" w:rsidRPr="00F11F74">
              <w:rPr>
                <w:rFonts w:ascii="Arial" w:hAnsi="Arial" w:cs="Arial"/>
                <w:lang w:eastAsia="es-ES"/>
              </w:rPr>
              <w:t>Desarrollar un sistema de medición de masas para cada materia prima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4ABF75E1" w:rsidR="001C3F8B" w:rsidRPr="001C3F8B" w:rsidRDefault="00891EEC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</w:t>
            </w:r>
            <w:r w:rsidR="00312F47">
              <w:rPr>
                <w:rFonts w:ascii="Arial" w:hAnsi="Arial" w:cs="Arial"/>
                <w:lang w:eastAsia="es-ES"/>
              </w:rPr>
              <w:t>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5C5CA641" w:rsidR="00F06438" w:rsidRPr="005F0CF7" w:rsidRDefault="00891EEC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1.5</w:t>
            </w:r>
            <w:r w:rsidR="00F06438"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 w:rsidR="00F06438"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17621F02" w:rsidR="00F06438" w:rsidRPr="005F0CF7" w:rsidRDefault="00891EEC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1.6</w:t>
            </w:r>
            <w:r w:rsidR="00F06438"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00D49105" w:rsidR="00F06438" w:rsidRPr="005F0CF7" w:rsidRDefault="00891EEC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1.7</w:t>
            </w:r>
            <w:r w:rsidR="00F06438">
              <w:rPr>
                <w:rFonts w:ascii="Arial" w:hAnsi="Arial" w:cs="Arial"/>
                <w:lang w:eastAsia="es-ES"/>
              </w:rPr>
              <w:t>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8C2853" w14:textId="1CE6C6B0" w:rsidR="003A35E5" w:rsidRDefault="003A35E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2B6FC717" w:rsidR="00B26661" w:rsidRPr="005F0CF7" w:rsidRDefault="00B26661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="002A5891" w:rsidRPr="002A5891">
              <w:rPr>
                <w:rFonts w:ascii="Arial" w:hAnsi="Arial" w:cs="Arial"/>
                <w:lang w:eastAsia="es-ES"/>
              </w:rPr>
              <w:t>Diseñar el sistema encargado de transportar la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materia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prima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desde los contenedores hasta unos recipientes.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60F121BF" w:rsidR="00B26661" w:rsidRPr="00B26661" w:rsidRDefault="00B26661" w:rsidP="00005F9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005F9E">
              <w:rPr>
                <w:rFonts w:ascii="Arial" w:hAnsi="Arial" w:cs="Arial"/>
                <w:lang w:eastAsia="es-ES"/>
              </w:rPr>
              <w:t>los contenedores y el transportador y el dispensador.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396754E0" w:rsidR="00B26661" w:rsidRPr="005F0CF7" w:rsidRDefault="00B26661" w:rsidP="00005F9E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2.2. Manufacturar </w:t>
            </w:r>
            <w:r w:rsidR="00005F9E">
              <w:rPr>
                <w:rFonts w:ascii="Arial" w:hAnsi="Arial" w:cs="Arial"/>
                <w:lang w:eastAsia="es-ES"/>
              </w:rPr>
              <w:t>los componentes.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3122F6D3" w:rsidR="00B26661" w:rsidRPr="005F0CF7" w:rsidRDefault="00B26661" w:rsidP="0009142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091420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091236A8" w:rsidR="00945909" w:rsidRPr="005F0CF7" w:rsidRDefault="00651B0F" w:rsidP="00005F9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005F9E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72382BD" w:rsidR="00357E83" w:rsidRPr="005F0CF7" w:rsidRDefault="00357E83" w:rsidP="000642D5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="000642D5" w:rsidRPr="000642D5">
              <w:rPr>
                <w:rFonts w:ascii="Arial" w:hAnsi="Arial" w:cs="Arial"/>
                <w:lang w:eastAsia="es-ES"/>
              </w:rPr>
              <w:t>Elaborar el sistema de control delegado de gobernar el funcionamiento del sistema general.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1A3AFE4C" w:rsidR="00357E83" w:rsidRPr="005F0CF7" w:rsidRDefault="00357E83" w:rsidP="0009142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>Comprar los componentes necesarios</w:t>
            </w:r>
            <w:r w:rsidR="000642D5">
              <w:rPr>
                <w:rFonts w:ascii="Arial" w:hAnsi="Arial" w:cs="Arial"/>
                <w:lang w:eastAsia="es-ES"/>
              </w:rPr>
              <w:t>.</w:t>
            </w:r>
            <w:r w:rsidR="00752585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6C087810" w:rsidR="00357E83" w:rsidRPr="005F0CF7" w:rsidRDefault="00FF4872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interfaz.</w:t>
            </w:r>
          </w:p>
        </w:tc>
      </w:tr>
      <w:tr w:rsidR="000642D5" w:rsidRPr="005F0CF7" w14:paraId="04E16E83" w14:textId="77777777" w:rsidTr="008104A3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042E6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385333D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6AF99BF8" w14:textId="793D4466" w:rsidR="000642D5" w:rsidRDefault="000642D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3.3. Implementar los circuitos electrónicos necesarios.</w:t>
            </w:r>
          </w:p>
        </w:tc>
      </w:tr>
      <w:tr w:rsidR="000642D5" w:rsidRPr="005F0CF7" w14:paraId="2E404693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08F50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0166CBDB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5FA73F9D" w14:textId="2974C8C5" w:rsidR="000642D5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3.4</w:t>
            </w:r>
            <w:r w:rsidR="000642D5">
              <w:rPr>
                <w:rFonts w:ascii="Arial" w:hAnsi="Arial" w:cs="Arial"/>
                <w:lang w:eastAsia="es-ES"/>
              </w:rPr>
              <w:t>. Generar el código para la comunicación entre los sensores, actuadores y el controlador.</w:t>
            </w:r>
          </w:p>
        </w:tc>
      </w:tr>
      <w:tr w:rsidR="00891EEC" w:rsidRPr="005F0CF7" w14:paraId="49DB4027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ABCFD0" w14:textId="77777777" w:rsidR="00891EEC" w:rsidRDefault="00891EEC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6C503B8C" w14:textId="77777777" w:rsidR="00891EEC" w:rsidRPr="005F0CF7" w:rsidRDefault="00891EEC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0953A8" w14:textId="08B5CD5E" w:rsidR="00891EEC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3.5. Programar las secuencia de movimientos.</w:t>
            </w:r>
          </w:p>
        </w:tc>
      </w:tr>
      <w:tr w:rsidR="000642D5" w:rsidRPr="005F0CF7" w14:paraId="5F2DD761" w14:textId="77777777" w:rsidTr="000642D5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EDDF8E" w14:textId="500AC400" w:rsidR="000642D5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A60E8C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8E109" w14:textId="1D163AE1" w:rsidR="000642D5" w:rsidRPr="005F0CF7" w:rsidRDefault="000642D5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4.1. Verificar el funcionamiento general del sistema.</w:t>
            </w:r>
          </w:p>
        </w:tc>
      </w:tr>
      <w:tr w:rsidR="000642D5" w:rsidRPr="005F0CF7" w14:paraId="188ACBBD" w14:textId="77777777" w:rsidTr="000642D5">
        <w:trPr>
          <w:trHeight w:val="5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7EB6F39E" w:rsidR="000642D5" w:rsidRPr="005F0CF7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70A40E7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FBF249" w14:textId="79A99AF2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0642D5" w:rsidRPr="005F0CF7" w14:paraId="18E6CA8E" w14:textId="77777777" w:rsidTr="000642D5">
        <w:trPr>
          <w:trHeight w:val="50"/>
        </w:trPr>
        <w:tc>
          <w:tcPr>
            <w:tcW w:w="3686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071CF538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445C02DE" w14:textId="6D24C314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Ejecutar el experimento diseñado. </w:t>
            </w:r>
          </w:p>
        </w:tc>
      </w:tr>
      <w:tr w:rsidR="000642D5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DB183FD" w14:textId="77777777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  <w:p w14:paraId="0F929FFC" w14:textId="3E213CDA" w:rsidR="000642D5" w:rsidRPr="005F0CF7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4.5. Elaboración del informe final.</w:t>
            </w:r>
          </w:p>
        </w:tc>
      </w:tr>
      <w:tr w:rsidR="000642D5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71DCAFE1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3"/>
      <w:bookmarkStart w:id="27" w:name="_Toc517767895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26"/>
      <w:bookmarkEnd w:id="27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AD3C61" w:rsidR="006D634E" w:rsidRPr="006D634E" w:rsidRDefault="00EB072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EB072C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47E2FAF8" wp14:editId="7988A5A4">
            <wp:extent cx="5612130" cy="2164477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8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9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28"/>
      <w:bookmarkEnd w:id="29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5179131A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0472F526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0" w:name="_Toc432944445"/>
      <w:bookmarkStart w:id="31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0"/>
      <w:bookmarkEnd w:id="31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B2749B" w:rsidR="00C671D8" w:rsidRPr="006D65ED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Equipo electromecánico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23AB9E0E" w:rsidR="00C671D8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4EAA9B8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7FC9E76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196E328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584C53" w:rsidRPr="00732517" w14:paraId="3DFD8B3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57B093" w14:textId="144C95E7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Osciloscopio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1DE552" w14:textId="7F98EBCF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36689" w14:textId="7E8004E3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B17740" w14:textId="64BA77C0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8B826" w14:textId="3D9F4629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5C47891A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17F1934B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F5691" w:rsidRPr="00732517" w14:paraId="02DBDBE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69707" w14:textId="6A3A8424" w:rsidR="004F5691" w:rsidRPr="006D65ED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CA9A2" w14:textId="2B33BBA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46745" w14:textId="4FAD0E08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AA8FB" w14:textId="28C3422D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17E6D" w14:textId="2107AAF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2140E1A7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09223834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517BCE62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0FF727C6" w:rsidR="00FC4D30" w:rsidRPr="0042777A" w:rsidRDefault="001942E8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2.059.080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72573CD5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C60CF7">
        <w:rPr>
          <w:rFonts w:ascii="Arial" w:hAnsi="Arial" w:cs="Arial"/>
          <w:bCs/>
          <w:color w:val="000000" w:themeColor="text1"/>
          <w:sz w:val="24"/>
          <w:szCs w:val="24"/>
        </w:rPr>
        <w:t xml:space="preserve">únicamente un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osciloscopio y un multímetro están disponibles en la empresa.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2" w:name="_Toc419055355"/>
      <w:bookmarkStart w:id="33" w:name="_Toc432944446"/>
      <w:bookmarkStart w:id="34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2"/>
      <w:bookmarkEnd w:id="33"/>
      <w:bookmarkEnd w:id="34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EndPr/>
          <w:sdtContent>
            <w:p w14:paraId="0BAEF375" w14:textId="77777777" w:rsidR="005429BC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496"/>
              </w:tblGrid>
              <w:tr w:rsidR="005429BC" w14:paraId="12362D67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EAB59" w14:textId="31FB2B0A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06A9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5429BC" w14:paraId="5D1FDEE0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87646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3B8F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M. Barquero, «Pollo, arroz y lácteos entran en ruta a libre comercio con EE. UU.,» </w:t>
                    </w:r>
                    <w:r w:rsidRPr="005429BC">
                      <w:rPr>
                        <w:rFonts w:ascii="Arial" w:hAnsi="Arial" w:cs="Arial"/>
                        <w:i/>
                        <w:iCs/>
                        <w:noProof/>
                        <w:sz w:val="24"/>
                        <w:szCs w:val="24"/>
                      </w:rPr>
                      <w:t xml:space="preserve">La Nación, </w:t>
                    </w: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18 Julio 2015. </w:t>
                    </w:r>
                  </w:p>
                </w:tc>
              </w:tr>
              <w:tr w:rsidR="005429BC" w14:paraId="50200DCE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B61004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13EB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5429BC" w14:paraId="408C1A7F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E866D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807B2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</w:tbl>
            <w:p w14:paraId="59E14404" w14:textId="77777777" w:rsidR="005429BC" w:rsidRDefault="005429BC">
              <w:pPr>
                <w:divId w:val="873733839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5" w:name="_Toc432944447" w:displacedByCustomXml="prev"/>
    <w:bookmarkStart w:id="36" w:name="_Toc517767899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6"/>
      <w:bookmarkEnd w:id="35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37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37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 w:rsidRPr="00A86AD7">
        <w:rPr>
          <w:rFonts w:ascii="Arial" w:hAnsi="Arial" w:cs="Arial"/>
          <w:sz w:val="24"/>
        </w:rPr>
        <w:t>Jul</w:t>
      </w:r>
      <w:r w:rsidR="00FF20B2" w:rsidRPr="00A86AD7">
        <w:rPr>
          <w:rFonts w:ascii="Arial" w:hAnsi="Arial" w:cs="Arial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6058218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38" w:name="_Toc432944448"/>
      <w:bookmarkStart w:id="39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38"/>
      <w:bookmarkEnd w:id="39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338E3C19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AE0D4C" w:rsidRPr="00091420">
        <w:rPr>
          <w:rFonts w:cs="Arial"/>
        </w:rPr>
        <w:t>300 m sur del antiguo emergencias del hospital Max Peralta de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3A0FD3E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4C78D67D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77777777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7514F976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091420">
        <w:rPr>
          <w:rFonts w:cs="Arial"/>
        </w:rPr>
        <w:t>consultoresagrogestion@gmail.com</w:t>
      </w:r>
    </w:p>
    <w:sectPr w:rsidR="00E44F5B" w:rsidRPr="00091420" w:rsidSect="00F77C50"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61F46" w14:textId="77777777" w:rsidR="00CA0951" w:rsidRDefault="00CA0951" w:rsidP="006D634E">
      <w:pPr>
        <w:spacing w:after="0" w:line="240" w:lineRule="auto"/>
      </w:pPr>
      <w:r>
        <w:separator/>
      </w:r>
    </w:p>
  </w:endnote>
  <w:endnote w:type="continuationSeparator" w:id="0">
    <w:p w14:paraId="509A04F4" w14:textId="77777777" w:rsidR="00CA0951" w:rsidRDefault="00CA0951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EndPr/>
    <w:sdtContent>
      <w:p w14:paraId="2783CD61" w14:textId="7273DC5D" w:rsidR="00AE3C68" w:rsidRDefault="00AE3C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D08" w:rsidRPr="00577D08">
          <w:rPr>
            <w:noProof/>
            <w:lang w:val="es-ES"/>
          </w:rPr>
          <w:t>21</w:t>
        </w:r>
        <w:r>
          <w:fldChar w:fldCharType="end"/>
        </w:r>
      </w:p>
    </w:sdtContent>
  </w:sdt>
  <w:p w14:paraId="066ADA95" w14:textId="77777777" w:rsidR="00AE3C68" w:rsidRDefault="00AE3C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AE3C68" w:rsidRDefault="00AE3C68">
    <w:pPr>
      <w:pStyle w:val="Piedepgina"/>
      <w:jc w:val="right"/>
    </w:pPr>
  </w:p>
  <w:p w14:paraId="04B8E3F0" w14:textId="77777777" w:rsidR="00AE3C68" w:rsidRDefault="00AE3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7FE10" w14:textId="77777777" w:rsidR="00CA0951" w:rsidRDefault="00CA0951" w:rsidP="006D634E">
      <w:pPr>
        <w:spacing w:after="0" w:line="240" w:lineRule="auto"/>
      </w:pPr>
      <w:r>
        <w:separator/>
      </w:r>
    </w:p>
  </w:footnote>
  <w:footnote w:type="continuationSeparator" w:id="0">
    <w:p w14:paraId="73744860" w14:textId="77777777" w:rsidR="00CA0951" w:rsidRDefault="00CA0951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F9E"/>
    <w:rsid w:val="00007E18"/>
    <w:rsid w:val="000118E5"/>
    <w:rsid w:val="00012BBF"/>
    <w:rsid w:val="000131EF"/>
    <w:rsid w:val="00013567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1E12"/>
    <w:rsid w:val="00042E90"/>
    <w:rsid w:val="00050428"/>
    <w:rsid w:val="00050F20"/>
    <w:rsid w:val="00051FA3"/>
    <w:rsid w:val="0005315A"/>
    <w:rsid w:val="000534ED"/>
    <w:rsid w:val="00057EC7"/>
    <w:rsid w:val="00062045"/>
    <w:rsid w:val="0006332E"/>
    <w:rsid w:val="000637B1"/>
    <w:rsid w:val="000642D5"/>
    <w:rsid w:val="00065D8F"/>
    <w:rsid w:val="00065FC0"/>
    <w:rsid w:val="0007645D"/>
    <w:rsid w:val="00080E1D"/>
    <w:rsid w:val="000819B9"/>
    <w:rsid w:val="0008484A"/>
    <w:rsid w:val="00085347"/>
    <w:rsid w:val="000853CD"/>
    <w:rsid w:val="0009060B"/>
    <w:rsid w:val="00090D66"/>
    <w:rsid w:val="000911FF"/>
    <w:rsid w:val="00091420"/>
    <w:rsid w:val="0009397C"/>
    <w:rsid w:val="0009423C"/>
    <w:rsid w:val="00094CE3"/>
    <w:rsid w:val="00097204"/>
    <w:rsid w:val="000978DE"/>
    <w:rsid w:val="00097EBF"/>
    <w:rsid w:val="00097F05"/>
    <w:rsid w:val="000A0627"/>
    <w:rsid w:val="000A0AA8"/>
    <w:rsid w:val="000A2E8A"/>
    <w:rsid w:val="000A724B"/>
    <w:rsid w:val="000B2A2B"/>
    <w:rsid w:val="000B3D75"/>
    <w:rsid w:val="000B4BF8"/>
    <w:rsid w:val="000B69A3"/>
    <w:rsid w:val="000B723F"/>
    <w:rsid w:val="000C03BB"/>
    <w:rsid w:val="000C0427"/>
    <w:rsid w:val="000C175E"/>
    <w:rsid w:val="000C3F3A"/>
    <w:rsid w:val="000C46B1"/>
    <w:rsid w:val="000C57EA"/>
    <w:rsid w:val="000C5A66"/>
    <w:rsid w:val="000C6077"/>
    <w:rsid w:val="000D0C56"/>
    <w:rsid w:val="000D4408"/>
    <w:rsid w:val="000E0D59"/>
    <w:rsid w:val="000E1C62"/>
    <w:rsid w:val="000F18DF"/>
    <w:rsid w:val="000F2CAC"/>
    <w:rsid w:val="000F4C0F"/>
    <w:rsid w:val="000F4F01"/>
    <w:rsid w:val="000F6741"/>
    <w:rsid w:val="001002B3"/>
    <w:rsid w:val="00103176"/>
    <w:rsid w:val="001055C5"/>
    <w:rsid w:val="001105D3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3F19"/>
    <w:rsid w:val="0015554A"/>
    <w:rsid w:val="001558AD"/>
    <w:rsid w:val="00160B4F"/>
    <w:rsid w:val="001614B4"/>
    <w:rsid w:val="00162961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2E8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12B5"/>
    <w:rsid w:val="001B2791"/>
    <w:rsid w:val="001B28A4"/>
    <w:rsid w:val="001B704B"/>
    <w:rsid w:val="001B798F"/>
    <w:rsid w:val="001C02DA"/>
    <w:rsid w:val="001C1C2A"/>
    <w:rsid w:val="001C3F8B"/>
    <w:rsid w:val="001C59B4"/>
    <w:rsid w:val="001C667C"/>
    <w:rsid w:val="001C6E95"/>
    <w:rsid w:val="001C7A83"/>
    <w:rsid w:val="001D64C8"/>
    <w:rsid w:val="001D7077"/>
    <w:rsid w:val="001D7390"/>
    <w:rsid w:val="001E2E9F"/>
    <w:rsid w:val="001E4168"/>
    <w:rsid w:val="001E6B55"/>
    <w:rsid w:val="001F13D8"/>
    <w:rsid w:val="001F43CF"/>
    <w:rsid w:val="001F49DA"/>
    <w:rsid w:val="001F5B07"/>
    <w:rsid w:val="001F6425"/>
    <w:rsid w:val="001F6FE4"/>
    <w:rsid w:val="001F705A"/>
    <w:rsid w:val="00200B7B"/>
    <w:rsid w:val="002012B5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1A50"/>
    <w:rsid w:val="002950BD"/>
    <w:rsid w:val="00295943"/>
    <w:rsid w:val="00296198"/>
    <w:rsid w:val="002A426B"/>
    <w:rsid w:val="002A5891"/>
    <w:rsid w:val="002A5CFE"/>
    <w:rsid w:val="002A6972"/>
    <w:rsid w:val="002B5332"/>
    <w:rsid w:val="002B59A6"/>
    <w:rsid w:val="002B7F49"/>
    <w:rsid w:val="002C007C"/>
    <w:rsid w:val="002C2234"/>
    <w:rsid w:val="002C45FE"/>
    <w:rsid w:val="002C4A46"/>
    <w:rsid w:val="002D2AD6"/>
    <w:rsid w:val="002D3DDA"/>
    <w:rsid w:val="002D5C6E"/>
    <w:rsid w:val="002D5DC6"/>
    <w:rsid w:val="002D5E20"/>
    <w:rsid w:val="002E2265"/>
    <w:rsid w:val="002E64F2"/>
    <w:rsid w:val="002E73A8"/>
    <w:rsid w:val="002F31AC"/>
    <w:rsid w:val="002F4AB5"/>
    <w:rsid w:val="002F517B"/>
    <w:rsid w:val="0030015D"/>
    <w:rsid w:val="00303256"/>
    <w:rsid w:val="00303474"/>
    <w:rsid w:val="00303DA4"/>
    <w:rsid w:val="00312F47"/>
    <w:rsid w:val="003143A2"/>
    <w:rsid w:val="00316DF7"/>
    <w:rsid w:val="003170DF"/>
    <w:rsid w:val="00317414"/>
    <w:rsid w:val="003179F1"/>
    <w:rsid w:val="00317F28"/>
    <w:rsid w:val="00322673"/>
    <w:rsid w:val="003230FF"/>
    <w:rsid w:val="00325796"/>
    <w:rsid w:val="00326753"/>
    <w:rsid w:val="00334286"/>
    <w:rsid w:val="00335A5E"/>
    <w:rsid w:val="0033781F"/>
    <w:rsid w:val="00343783"/>
    <w:rsid w:val="003440D9"/>
    <w:rsid w:val="00347409"/>
    <w:rsid w:val="003504D0"/>
    <w:rsid w:val="003517AB"/>
    <w:rsid w:val="00352EAB"/>
    <w:rsid w:val="003530E2"/>
    <w:rsid w:val="00353118"/>
    <w:rsid w:val="003536E8"/>
    <w:rsid w:val="00354094"/>
    <w:rsid w:val="0035434D"/>
    <w:rsid w:val="00356667"/>
    <w:rsid w:val="00357E83"/>
    <w:rsid w:val="00362B00"/>
    <w:rsid w:val="00362B8C"/>
    <w:rsid w:val="00363C43"/>
    <w:rsid w:val="00363F97"/>
    <w:rsid w:val="00367680"/>
    <w:rsid w:val="003714E8"/>
    <w:rsid w:val="00371BD6"/>
    <w:rsid w:val="00371C0E"/>
    <w:rsid w:val="00371F6B"/>
    <w:rsid w:val="0037278E"/>
    <w:rsid w:val="003727BD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03C"/>
    <w:rsid w:val="00397C3E"/>
    <w:rsid w:val="003A35E5"/>
    <w:rsid w:val="003A6431"/>
    <w:rsid w:val="003B03B2"/>
    <w:rsid w:val="003B2317"/>
    <w:rsid w:val="003B376C"/>
    <w:rsid w:val="003B5BD8"/>
    <w:rsid w:val="003B6638"/>
    <w:rsid w:val="003B7DD4"/>
    <w:rsid w:val="003C24FB"/>
    <w:rsid w:val="003C507D"/>
    <w:rsid w:val="003D009A"/>
    <w:rsid w:val="003D3064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677C"/>
    <w:rsid w:val="00406E99"/>
    <w:rsid w:val="0040743A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1928"/>
    <w:rsid w:val="00443B13"/>
    <w:rsid w:val="00443E09"/>
    <w:rsid w:val="0044671F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6315"/>
    <w:rsid w:val="00467274"/>
    <w:rsid w:val="00473394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20E1"/>
    <w:rsid w:val="004D740A"/>
    <w:rsid w:val="004E0A1A"/>
    <w:rsid w:val="004E36AE"/>
    <w:rsid w:val="004E424D"/>
    <w:rsid w:val="004E687D"/>
    <w:rsid w:val="004E6A01"/>
    <w:rsid w:val="004E7CDF"/>
    <w:rsid w:val="004F437A"/>
    <w:rsid w:val="004F51C2"/>
    <w:rsid w:val="004F5691"/>
    <w:rsid w:val="005005C3"/>
    <w:rsid w:val="00501097"/>
    <w:rsid w:val="005013BA"/>
    <w:rsid w:val="00505BF3"/>
    <w:rsid w:val="00511CB1"/>
    <w:rsid w:val="00512EAA"/>
    <w:rsid w:val="00520B08"/>
    <w:rsid w:val="0052215B"/>
    <w:rsid w:val="00523220"/>
    <w:rsid w:val="0053060D"/>
    <w:rsid w:val="00530CB6"/>
    <w:rsid w:val="00531633"/>
    <w:rsid w:val="005317EE"/>
    <w:rsid w:val="00535C3D"/>
    <w:rsid w:val="005429BC"/>
    <w:rsid w:val="0054589A"/>
    <w:rsid w:val="00546BB6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77D08"/>
    <w:rsid w:val="00580635"/>
    <w:rsid w:val="00580B01"/>
    <w:rsid w:val="00581148"/>
    <w:rsid w:val="00584243"/>
    <w:rsid w:val="00584C4C"/>
    <w:rsid w:val="00584C5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02B"/>
    <w:rsid w:val="005A074E"/>
    <w:rsid w:val="005A22A1"/>
    <w:rsid w:val="005A324B"/>
    <w:rsid w:val="005A3488"/>
    <w:rsid w:val="005A3DD3"/>
    <w:rsid w:val="005A6F35"/>
    <w:rsid w:val="005A7C7C"/>
    <w:rsid w:val="005B1D98"/>
    <w:rsid w:val="005B2A0B"/>
    <w:rsid w:val="005B3B31"/>
    <w:rsid w:val="005B517E"/>
    <w:rsid w:val="005B5374"/>
    <w:rsid w:val="005B7CCA"/>
    <w:rsid w:val="005B7DD2"/>
    <w:rsid w:val="005C145F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7AD5"/>
    <w:rsid w:val="00613324"/>
    <w:rsid w:val="006154C8"/>
    <w:rsid w:val="006219BE"/>
    <w:rsid w:val="00623C6C"/>
    <w:rsid w:val="00625706"/>
    <w:rsid w:val="006265B3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50D0E"/>
    <w:rsid w:val="006516F2"/>
    <w:rsid w:val="00651858"/>
    <w:rsid w:val="00651B0F"/>
    <w:rsid w:val="00652581"/>
    <w:rsid w:val="0065368E"/>
    <w:rsid w:val="0065383D"/>
    <w:rsid w:val="00654641"/>
    <w:rsid w:val="00656BD1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15D"/>
    <w:rsid w:val="006F6532"/>
    <w:rsid w:val="00705420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356EC"/>
    <w:rsid w:val="007427A6"/>
    <w:rsid w:val="0074409D"/>
    <w:rsid w:val="007453D1"/>
    <w:rsid w:val="00745963"/>
    <w:rsid w:val="00746FE7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3126"/>
    <w:rsid w:val="007868AD"/>
    <w:rsid w:val="0079043F"/>
    <w:rsid w:val="00791F49"/>
    <w:rsid w:val="00795ADC"/>
    <w:rsid w:val="007968C2"/>
    <w:rsid w:val="00796DFF"/>
    <w:rsid w:val="0079787B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4C9E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D6878"/>
    <w:rsid w:val="008D7C84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41F7"/>
    <w:rsid w:val="00915CDF"/>
    <w:rsid w:val="009163AA"/>
    <w:rsid w:val="00917C81"/>
    <w:rsid w:val="00921347"/>
    <w:rsid w:val="009226C5"/>
    <w:rsid w:val="00927999"/>
    <w:rsid w:val="00927AD4"/>
    <w:rsid w:val="00927C33"/>
    <w:rsid w:val="00930E25"/>
    <w:rsid w:val="00932A92"/>
    <w:rsid w:val="00932C5B"/>
    <w:rsid w:val="009373AA"/>
    <w:rsid w:val="00944F8B"/>
    <w:rsid w:val="00945909"/>
    <w:rsid w:val="00950338"/>
    <w:rsid w:val="00951BEF"/>
    <w:rsid w:val="0095215C"/>
    <w:rsid w:val="00952CC1"/>
    <w:rsid w:val="0095669A"/>
    <w:rsid w:val="0096001A"/>
    <w:rsid w:val="00961D7C"/>
    <w:rsid w:val="00961D84"/>
    <w:rsid w:val="00965543"/>
    <w:rsid w:val="0096645C"/>
    <w:rsid w:val="00970381"/>
    <w:rsid w:val="009725DD"/>
    <w:rsid w:val="009743A9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C1DF7"/>
    <w:rsid w:val="009C4825"/>
    <w:rsid w:val="009C6331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5404"/>
    <w:rsid w:val="009E799B"/>
    <w:rsid w:val="009F0064"/>
    <w:rsid w:val="009F3579"/>
    <w:rsid w:val="009F666B"/>
    <w:rsid w:val="009F6B47"/>
    <w:rsid w:val="00A04478"/>
    <w:rsid w:val="00A0669D"/>
    <w:rsid w:val="00A0694D"/>
    <w:rsid w:val="00A1432D"/>
    <w:rsid w:val="00A15979"/>
    <w:rsid w:val="00A2007F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0577"/>
    <w:rsid w:val="00A715DD"/>
    <w:rsid w:val="00A71BDB"/>
    <w:rsid w:val="00A7243A"/>
    <w:rsid w:val="00A725B6"/>
    <w:rsid w:val="00A7423E"/>
    <w:rsid w:val="00A74D9A"/>
    <w:rsid w:val="00A75A6C"/>
    <w:rsid w:val="00A75E45"/>
    <w:rsid w:val="00A7602D"/>
    <w:rsid w:val="00A8443B"/>
    <w:rsid w:val="00A85E52"/>
    <w:rsid w:val="00A86AD7"/>
    <w:rsid w:val="00A904A0"/>
    <w:rsid w:val="00A909AA"/>
    <w:rsid w:val="00AA5872"/>
    <w:rsid w:val="00AA5A19"/>
    <w:rsid w:val="00AA5B52"/>
    <w:rsid w:val="00AA6B3D"/>
    <w:rsid w:val="00AB2DD7"/>
    <w:rsid w:val="00AB4848"/>
    <w:rsid w:val="00AB53C6"/>
    <w:rsid w:val="00AC4961"/>
    <w:rsid w:val="00AC49F5"/>
    <w:rsid w:val="00AC58AC"/>
    <w:rsid w:val="00AC5F1C"/>
    <w:rsid w:val="00AC6315"/>
    <w:rsid w:val="00AD18C2"/>
    <w:rsid w:val="00AD26E2"/>
    <w:rsid w:val="00AD4F01"/>
    <w:rsid w:val="00AD53C1"/>
    <w:rsid w:val="00AD5913"/>
    <w:rsid w:val="00AD63C2"/>
    <w:rsid w:val="00AE0B12"/>
    <w:rsid w:val="00AE0D4C"/>
    <w:rsid w:val="00AE2FCD"/>
    <w:rsid w:val="00AE3C68"/>
    <w:rsid w:val="00AE50C5"/>
    <w:rsid w:val="00AE58D3"/>
    <w:rsid w:val="00AE785A"/>
    <w:rsid w:val="00AF07BC"/>
    <w:rsid w:val="00AF3DCF"/>
    <w:rsid w:val="00AF4583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13CA7"/>
    <w:rsid w:val="00B178CC"/>
    <w:rsid w:val="00B17B4B"/>
    <w:rsid w:val="00B214BD"/>
    <w:rsid w:val="00B25797"/>
    <w:rsid w:val="00B26661"/>
    <w:rsid w:val="00B2703D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224A"/>
    <w:rsid w:val="00B65E5F"/>
    <w:rsid w:val="00B71056"/>
    <w:rsid w:val="00B72910"/>
    <w:rsid w:val="00B757DB"/>
    <w:rsid w:val="00B81A5A"/>
    <w:rsid w:val="00B82830"/>
    <w:rsid w:val="00B86EE7"/>
    <w:rsid w:val="00B870E3"/>
    <w:rsid w:val="00B90260"/>
    <w:rsid w:val="00B90AE0"/>
    <w:rsid w:val="00B94E57"/>
    <w:rsid w:val="00BA0082"/>
    <w:rsid w:val="00BA3495"/>
    <w:rsid w:val="00BA6624"/>
    <w:rsid w:val="00BA6EE2"/>
    <w:rsid w:val="00BA7694"/>
    <w:rsid w:val="00BA7BB9"/>
    <w:rsid w:val="00BB1B28"/>
    <w:rsid w:val="00BB1D72"/>
    <w:rsid w:val="00BB282B"/>
    <w:rsid w:val="00BB396E"/>
    <w:rsid w:val="00BB5140"/>
    <w:rsid w:val="00BB5A14"/>
    <w:rsid w:val="00BB76F2"/>
    <w:rsid w:val="00BC3340"/>
    <w:rsid w:val="00BC4019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26DB"/>
    <w:rsid w:val="00C52A9C"/>
    <w:rsid w:val="00C53D51"/>
    <w:rsid w:val="00C56CF9"/>
    <w:rsid w:val="00C56E6A"/>
    <w:rsid w:val="00C60CF7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EC2"/>
    <w:rsid w:val="00C82FCE"/>
    <w:rsid w:val="00C83960"/>
    <w:rsid w:val="00C83A8C"/>
    <w:rsid w:val="00C841E9"/>
    <w:rsid w:val="00C84A14"/>
    <w:rsid w:val="00C84A58"/>
    <w:rsid w:val="00C87AA7"/>
    <w:rsid w:val="00C87CB8"/>
    <w:rsid w:val="00C92174"/>
    <w:rsid w:val="00C936ED"/>
    <w:rsid w:val="00C93A75"/>
    <w:rsid w:val="00C95F15"/>
    <w:rsid w:val="00C96F88"/>
    <w:rsid w:val="00CA0170"/>
    <w:rsid w:val="00CA024A"/>
    <w:rsid w:val="00CA0951"/>
    <w:rsid w:val="00CA16D7"/>
    <w:rsid w:val="00CA1F23"/>
    <w:rsid w:val="00CA7894"/>
    <w:rsid w:val="00CA7C72"/>
    <w:rsid w:val="00CB1A4E"/>
    <w:rsid w:val="00CB3218"/>
    <w:rsid w:val="00CB7884"/>
    <w:rsid w:val="00CC0684"/>
    <w:rsid w:val="00CC2275"/>
    <w:rsid w:val="00CC3A82"/>
    <w:rsid w:val="00CC535F"/>
    <w:rsid w:val="00CC5843"/>
    <w:rsid w:val="00CC5C40"/>
    <w:rsid w:val="00CC6385"/>
    <w:rsid w:val="00CC7A37"/>
    <w:rsid w:val="00CD0239"/>
    <w:rsid w:val="00CD1974"/>
    <w:rsid w:val="00CD2ABF"/>
    <w:rsid w:val="00CD6ACF"/>
    <w:rsid w:val="00CD7824"/>
    <w:rsid w:val="00CD7A8B"/>
    <w:rsid w:val="00CE0FC1"/>
    <w:rsid w:val="00CE61C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6ACD"/>
    <w:rsid w:val="00D20C55"/>
    <w:rsid w:val="00D21224"/>
    <w:rsid w:val="00D27E6D"/>
    <w:rsid w:val="00D30200"/>
    <w:rsid w:val="00D3072D"/>
    <w:rsid w:val="00D31CE8"/>
    <w:rsid w:val="00D335AC"/>
    <w:rsid w:val="00D338D1"/>
    <w:rsid w:val="00D36265"/>
    <w:rsid w:val="00D36E0B"/>
    <w:rsid w:val="00D36E25"/>
    <w:rsid w:val="00D428EA"/>
    <w:rsid w:val="00D44919"/>
    <w:rsid w:val="00D50472"/>
    <w:rsid w:val="00D50A5B"/>
    <w:rsid w:val="00D530DC"/>
    <w:rsid w:val="00D54BB4"/>
    <w:rsid w:val="00D563EB"/>
    <w:rsid w:val="00D56766"/>
    <w:rsid w:val="00D56D3C"/>
    <w:rsid w:val="00D65E59"/>
    <w:rsid w:val="00D70D62"/>
    <w:rsid w:val="00D727D7"/>
    <w:rsid w:val="00D7422D"/>
    <w:rsid w:val="00D832A3"/>
    <w:rsid w:val="00D8516C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2934"/>
    <w:rsid w:val="00DB6885"/>
    <w:rsid w:val="00DC087C"/>
    <w:rsid w:val="00DC325E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275CA"/>
    <w:rsid w:val="00E3070F"/>
    <w:rsid w:val="00E31488"/>
    <w:rsid w:val="00E33B07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22C7"/>
    <w:rsid w:val="00E55C96"/>
    <w:rsid w:val="00E61047"/>
    <w:rsid w:val="00E632B3"/>
    <w:rsid w:val="00E75791"/>
    <w:rsid w:val="00E76873"/>
    <w:rsid w:val="00E76F59"/>
    <w:rsid w:val="00E770B4"/>
    <w:rsid w:val="00E81CF6"/>
    <w:rsid w:val="00E84963"/>
    <w:rsid w:val="00E8570C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072C"/>
    <w:rsid w:val="00EB2C96"/>
    <w:rsid w:val="00EB5C1E"/>
    <w:rsid w:val="00EC0F64"/>
    <w:rsid w:val="00EC1CB3"/>
    <w:rsid w:val="00EC3B22"/>
    <w:rsid w:val="00EC3F9E"/>
    <w:rsid w:val="00EC7880"/>
    <w:rsid w:val="00ED1FC9"/>
    <w:rsid w:val="00ED45F8"/>
    <w:rsid w:val="00ED613F"/>
    <w:rsid w:val="00EE1C38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2869"/>
    <w:rsid w:val="00F06210"/>
    <w:rsid w:val="00F06438"/>
    <w:rsid w:val="00F1075A"/>
    <w:rsid w:val="00F10AB6"/>
    <w:rsid w:val="00F11384"/>
    <w:rsid w:val="00F11F74"/>
    <w:rsid w:val="00F13DA3"/>
    <w:rsid w:val="00F15F42"/>
    <w:rsid w:val="00F170FD"/>
    <w:rsid w:val="00F1761C"/>
    <w:rsid w:val="00F23E57"/>
    <w:rsid w:val="00F317BE"/>
    <w:rsid w:val="00F3212B"/>
    <w:rsid w:val="00F33624"/>
    <w:rsid w:val="00F3423A"/>
    <w:rsid w:val="00F35C18"/>
    <w:rsid w:val="00F366DB"/>
    <w:rsid w:val="00F37332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7C50"/>
    <w:rsid w:val="00F80D2C"/>
    <w:rsid w:val="00F81332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B5C18"/>
    <w:rsid w:val="00FB7CE8"/>
    <w:rsid w:val="00FC096D"/>
    <w:rsid w:val="00FC1E10"/>
    <w:rsid w:val="00FC3695"/>
    <w:rsid w:val="00FC4D30"/>
    <w:rsid w:val="00FD2B43"/>
    <w:rsid w:val="00FD42FA"/>
    <w:rsid w:val="00FE344B"/>
    <w:rsid w:val="00FE3B4D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2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3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A230215-58D4-4F38-A9CB-64CAF09F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3229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5</cp:revision>
  <cp:lastPrinted>2018-09-19T19:47:00Z</cp:lastPrinted>
  <dcterms:created xsi:type="dcterms:W3CDTF">2018-09-19T19:43:00Z</dcterms:created>
  <dcterms:modified xsi:type="dcterms:W3CDTF">2018-09-19T19:48:00Z</dcterms:modified>
</cp:coreProperties>
</file>