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Course Delivery Method</w:t>
      </w:r>
    </w:p>
    <w:p>
      <w:pPr>
        <w:spacing w:after="120"/>
        <w:jc w:val="center"/>
      </w:pPr>
      <w:r>
        <w:rPr>
          <w:sz w:val="24"/>
          <w:szCs w:val="24"/>
        </w:rPr>
        <w:t xml:space="preserve">Broker Pre-Licensing Course (Course II) – 72 Hours</w:t>
      </w:r>
    </w:p>
    <w:p>
      <w:pPr>
        <w:spacing w:after="120"/>
        <w:jc w:val="center"/>
      </w:pPr>
      <w:r>
        <w:rPr>
          <w:sz w:val="22"/>
          <w:szCs w:val="22"/>
        </w:rPr>
        <w:t xml:space="preserve">Distance Education</w:t>
      </w:r>
    </w:p>
    <w:p>
      <w:pPr>
        <w:spacing w:after="120"/>
        <w:jc w:val="center"/>
      </w:pPr>
      <w:r>
        <w:rPr>
          <w:sz w:val="22"/>
          <w:szCs w:val="22"/>
        </w:rPr>
        <w:t xml:space="preserve">Foundation CE</w:t>
      </w:r>
    </w:p>
    <w:p>
      <w:pPr>
        <w:spacing w:after="480"/>
        <w:jc w:val="center"/>
      </w:pPr>
      <w:r>
        <w:rPr>
          <w:sz w:val="22"/>
          <w:szCs w:val="22"/>
        </w:rPr>
        <w:t xml:space="preserve">foundationce.com</w:t>
      </w:r>
    </w:p>
    <w:p>
      <w:pPr>
        <w:pStyle w:val="Heading1"/>
      </w:pPr>
      <w:r>
        <w:t xml:space="preserve">LMS Security &amp; Compliance Addendum</w:t>
      </w:r>
    </w:p>
    <w:p>
      <w:pPr>
        <w:pStyle w:val="Heading2"/>
      </w:pPr>
      <w:r>
        <w:t xml:space="preserve">Delivery Platform</w:t>
      </w:r>
    </w:p>
    <w:p>
      <w:pPr>
        <w:spacing w:after="200"/>
      </w:pPr>
      <w:r>
        <w:t xml:space="preserve">Courses are delivered via the internet through a custom-built Learning Management System (LMS) accessible at foundationce.com.</w:t>
      </w:r>
    </w:p>
    <w:p>
      <w:pPr>
        <w:pStyle w:val="Heading2"/>
      </w:pPr>
      <w:r>
        <w:t xml:space="preserve">Technical Processes</w:t>
      </w:r>
    </w:p>
    <w:p>
      <w:pPr>
        <w:spacing w:after="200"/>
      </w:pPr>
      <w:r>
        <w:t xml:space="preserve">The LMS technical processes operate correctly and support the instructional strategies used in course delivery. The system provides reliable content delivery, progress tracking, and examination administration.</w:t>
      </w:r>
    </w:p>
    <w:p>
      <w:pPr>
        <w:pStyle w:val="Heading2"/>
      </w:pPr>
      <w:r>
        <w:t xml:space="preserve">System Backup and Continuity</w:t>
      </w:r>
    </w:p>
    <w:p>
      <w:pPr>
        <w:spacing w:after="200"/>
      </w:pPr>
      <w:r>
        <w:t xml:space="preserve">Foundation CE maintains alternative plans for the provision of uninterrupted learner services and technical support in the event of primary system failure. Students may contact technical support via email or telephone during posted support hours.</w:t>
      </w:r>
    </w:p>
    <w:p>
      <w:pPr>
        <w:pStyle w:val="Heading2"/>
      </w:pPr>
      <w:r>
        <w:t xml:space="preserve">Student Identity Verification</w:t>
      </w:r>
    </w:p>
    <w:p>
      <w:pPr>
        <w:spacing w:after="200"/>
      </w:pPr>
      <w:r>
        <w:t xml:space="preserve">Foundation CE has policies and technical processes in place to verify and document student identity for enrollment, course participation, and course completion. Each student creates a unique account with verified email address and logs in using registered credentials to access course materials.</w:t>
      </w:r>
    </w:p>
    <w:p>
      <w:pPr>
        <w:pStyle w:val="Heading1"/>
      </w:pPr>
      <w:r>
        <w:t xml:space="preserve">Student Policies and Disclosure</w:t>
      </w:r>
    </w:p>
    <w:p>
      <w:pPr>
        <w:pStyle w:val="Heading2"/>
      </w:pPr>
      <w:r>
        <w:t xml:space="preserve">Course Standards and Requirements</w:t>
      </w:r>
    </w:p>
    <w:p>
      <w:pPr>
        <w:spacing w:after="200"/>
      </w:pPr>
      <w:r>
        <w:t xml:space="preserve">Per Rule 61J2-3.008(5)(a), F.A.C., students are informed of the following standards and requirements at the commencement of the course:</w:t>
      </w:r>
    </w:p>
    <w:p>
      <w:pPr>
        <w:pStyle w:val="ListParagraph"/>
        <w:numPr>
          <w:ilvl w:val="0"/>
          <w:numId w:val="2"/>
        </w:numPr>
      </w:pPr>
      <w:r>
        <w:t xml:space="preserve">A minimum passing score of 70% is required on the end-of-course examination</w:t>
      </w:r>
    </w:p>
    <w:p>
      <w:pPr>
        <w:pStyle w:val="ListParagraph"/>
        <w:numPr>
          <w:ilvl w:val="0"/>
          <w:numId w:val="2"/>
        </w:numPr>
      </w:pPr>
      <w:r>
        <w:t xml:space="preserve">Students failing the examination must wait at least 30 days from the date of the original examination to retest</w:t>
      </w:r>
    </w:p>
    <w:p>
      <w:pPr>
        <w:pStyle w:val="ListParagraph"/>
        <w:numPr>
          <w:ilvl w:val="0"/>
          <w:numId w:val="2"/>
        </w:numPr>
      </w:pPr>
      <w:r>
        <w:t xml:space="preserve">Within one year of the original examination, a student may retest a maximum of one time</w:t>
      </w:r>
    </w:p>
    <w:p>
      <w:pPr>
        <w:pStyle w:val="ListParagraph"/>
        <w:numPr>
          <w:ilvl w:val="0"/>
          <w:numId w:val="2"/>
        </w:numPr>
        <w:spacing w:after="200"/>
      </w:pPr>
      <w:r>
        <w:t xml:space="preserve">Students failing the end-of-course examination after retesting must repeat the course prior to being eligible to take the examination again</w:t>
      </w:r>
    </w:p>
    <w:p>
      <w:pPr>
        <w:pStyle w:val="Heading2"/>
      </w:pPr>
      <w:r>
        <w:t xml:space="preserve">Instructor Access</w:t>
      </w:r>
    </w:p>
    <w:p>
      <w:pPr>
        <w:spacing w:after="200"/>
      </w:pPr>
      <w:r>
        <w:t xml:space="preserve">Per Rule 61J2-3.008(5)(b), F.A.C., students are provided with the name, address, email address, and telephone number of a permitted instructor registered with Foundation CE who is available to assist with instruction. Instructor availability hours are communicated to all students.</w:t>
      </w:r>
    </w:p>
    <w:p>
      <w:pPr>
        <w:pStyle w:val="Heading2"/>
      </w:pPr>
      <w:r>
        <w:t xml:space="preserve">Course Timeline</w:t>
      </w:r>
    </w:p>
    <w:p>
      <w:pPr>
        <w:spacing w:after="200"/>
      </w:pPr>
      <w:r>
        <w:t xml:space="preserve">A detailed course timeline is provided to students prior to enrollment and is available within the LMS.</w:t>
      </w:r>
    </w:p>
    <w:p>
      <w:pPr>
        <w:pStyle w:val="Heading2"/>
      </w:pPr>
      <w:r>
        <w:t xml:space="preserve">Course Hour Equivalency</w:t>
      </w:r>
    </w:p>
    <w:p>
      <w:pPr>
        <w:spacing w:after="200"/>
      </w:pPr>
      <w:r>
        <w:t xml:space="preserve">The 72-hour Broker Pre-Licensing course is offered on a classroom hour per classroom hour basis. A 50-minute distance learning hour is equivalent to a 50-minute classroom hour.</w:t>
      </w:r>
    </w:p>
    <w:p>
      <w:pPr>
        <w:pStyle w:val="Heading2"/>
      </w:pPr>
      <w:r>
        <w:t xml:space="preserve">Course Expiration Notice</w:t>
      </w:r>
    </w:p>
    <w:p>
      <w:pPr>
        <w:spacing w:after="200"/>
      </w:pPr>
      <w:r>
        <w:t xml:space="preserve">Students are notified of the course number and course expiration date upon enrollment.</w:t>
      </w:r>
    </w:p>
    <w:p>
      <w:pPr>
        <w:pStyle w:val="Heading1"/>
      </w:pPr>
      <w:r>
        <w:t xml:space="preserve">Course Completion &amp; Reporting Workflow</w:t>
      </w:r>
    </w:p>
    <w:p>
      <w:pPr>
        <w:pStyle w:val="Heading2"/>
      </w:pPr>
      <w:r>
        <w:t xml:space="preserve">Completion Requirements</w:t>
      </w:r>
    </w:p>
    <w:p>
      <w:pPr>
        <w:spacing w:after="200"/>
      </w:pPr>
      <w:r>
        <w:t xml:space="preserve">A student satisfactorily completes the course by achieving a grade of 70% or higher on the Commission-prescribed end-of-course examination upon completion of the required instruction.</w:t>
      </w:r>
    </w:p>
    <w:p>
      <w:pPr>
        <w:pStyle w:val="Heading2"/>
      </w:pPr>
      <w:r>
        <w:t xml:space="preserve">Notice of Course Completion</w:t>
      </w:r>
    </w:p>
    <w:p>
      <w:pPr>
        <w:spacing w:after="200"/>
      </w:pPr>
      <w:r>
        <w:t xml:space="preserve">Upon satisfactory completion, Foundation CE issues a notice of course completion in compliance with Rule 61J2-3.015, F.A.C.</w:t>
      </w:r>
    </w:p>
    <w:p>
      <w:pPr>
        <w:pStyle w:val="Heading2"/>
      </w:pPr>
      <w:r>
        <w:t xml:space="preserve">Reporting to DBPR</w:t>
      </w:r>
    </w:p>
    <w:p>
      <w:pPr>
        <w:spacing w:after="200"/>
      </w:pPr>
      <w:r>
        <w:t xml:space="preserve">Course completions are reported to DBPR in accordance with applicable reporting requirements.</w:t>
      </w:r>
    </w:p>
    <w:p>
      <w:pPr>
        <w:spacing w:before="480"/>
      </w:pPr>
      <w:r>
        <w:rPr>
          <w:i/>
          <w:iCs/>
          <w:sz w:val="20"/>
          <w:szCs w:val="20"/>
        </w:rPr>
        <w:t xml:space="preserve">Submitted in accordance with Rule 61J2-3.008, Florida Administrative Code.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Foundation CE – Broker Pre-Licensing Course Delivery Method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6"/>
      <w:szCs w:val="36"/>
    </w:rPr>
  </w:style>
  <w:style w:type="paragraph" w:styleId="Heading1">
    <w:name w:val="Heading 1"/>
    <w:basedOn w:val="Normal"/>
    <w:next w:val="Normal"/>
    <w:qFormat/>
    <w:pPr>
      <w:spacing w:before="36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2025-12-10T19:43:35.327Z</dcterms:created>
  <dcterms:modified xsi:type="dcterms:W3CDTF">2025-12-10T19:43:35.327Z</dcterms:modified>
</cp:coreProperties>
</file>

<file path=docProps/custom.xml><?xml version="1.0" encoding="utf-8"?>
<Properties xmlns="http://schemas.openxmlformats.org/officeDocument/2006/custom-properties" xmlns:vt="http://schemas.openxmlformats.org/officeDocument/2006/docPropsVTypes"/>
</file>