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D49F" w14:textId="08E7A442" w:rsidR="002B3D95" w:rsidRPr="006E4EF5" w:rsidRDefault="00000000" w:rsidP="00192562">
      <w:pPr>
        <w:pStyle w:val="PlainText"/>
        <w:rPr>
          <w:rFonts w:asciiTheme="minorHAnsi" w:hAnsiTheme="minorHAnsi" w:cs="Courier New"/>
          <w:sz w:val="36"/>
          <w:szCs w:val="36"/>
        </w:rPr>
      </w:pPr>
      <w:r w:rsidRPr="006E4EF5">
        <w:rPr>
          <w:rFonts w:asciiTheme="minorHAnsi" w:hAnsiTheme="minorHAnsi" w:cs="Courier New"/>
          <w:sz w:val="36"/>
          <w:szCs w:val="36"/>
        </w:rPr>
        <w:t xml:space="preserve"> M&amp;A Readiness Dashboard PRD</w:t>
      </w:r>
    </w:p>
    <w:p w14:paraId="4735C1CA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4582DAF" w14:textId="2A0A1A51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6E4EF5">
        <w:rPr>
          <w:rFonts w:asciiTheme="minorHAnsi" w:hAnsiTheme="minorHAnsi" w:cs="Courier New"/>
          <w:b/>
          <w:bCs/>
          <w:sz w:val="32"/>
          <w:szCs w:val="32"/>
        </w:rPr>
        <w:t xml:space="preserve"> Product Objective</w:t>
      </w:r>
    </w:p>
    <w:p w14:paraId="75DD817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DBCABD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Build a buyer-style M&amp;A Readiness Dashboard that helps SMB leadership assess deal readiness using accounting and operational data already available in Corelytics.</w:t>
      </w:r>
    </w:p>
    <w:p w14:paraId="5A192973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258128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>The dashboard must:</w:t>
      </w:r>
    </w:p>
    <w:p w14:paraId="57CB47D0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Separate EBITDA normalization from cash-flow and working-capital diligence.</w:t>
      </w:r>
    </w:p>
    <w:p w14:paraId="2C8EEC0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Explain every metric with transparent formulas and data lineage.</w:t>
      </w:r>
    </w:p>
    <w:p w14:paraId="0202815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Surface actionable risk signals, not just descriptive KPIs.</w:t>
      </w:r>
    </w:p>
    <w:p w14:paraId="3529DA6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Produce an overall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score with a visible confidence level.</w:t>
      </w:r>
    </w:p>
    <w:p w14:paraId="21AC6070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FC69F3" w14:textId="015B891C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</w:t>
      </w:r>
      <w:r w:rsidRPr="006E4EF5">
        <w:rPr>
          <w:rFonts w:asciiTheme="minorHAnsi" w:hAnsiTheme="minorHAnsi" w:cs="Courier New"/>
          <w:b/>
          <w:bCs/>
          <w:sz w:val="24"/>
          <w:szCs w:val="24"/>
        </w:rPr>
        <w:t>Users and Use Cases</w:t>
      </w:r>
    </w:p>
    <w:p w14:paraId="2A797123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FF607E3" w14:textId="6CE171DB" w:rsidR="002B3D95" w:rsidRPr="006E4EF5" w:rsidRDefault="00000000" w:rsidP="006E4EF5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Company admin: Understand valuation readiness before outreach to buyers.</w:t>
      </w:r>
    </w:p>
    <w:p w14:paraId="6C993D78" w14:textId="3AA3BE83" w:rsidR="002B3D95" w:rsidRPr="006E4EF5" w:rsidRDefault="00000000" w:rsidP="006E4EF5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Consultant: Identify diligence risks and build remediation plans.</w:t>
      </w:r>
    </w:p>
    <w:p w14:paraId="4DD812AA" w14:textId="36D06EB3" w:rsidR="002B3D95" w:rsidRPr="006E4EF5" w:rsidRDefault="00000000" w:rsidP="006E4EF5">
      <w:pPr>
        <w:pStyle w:val="PlainText"/>
        <w:numPr>
          <w:ilvl w:val="0"/>
          <w:numId w:val="3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Internal operator/finance lead: Track month-to-month movement in deal-critical metrics.</w:t>
      </w:r>
    </w:p>
    <w:p w14:paraId="7550D72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95AD360" w14:textId="77777777" w:rsidR="002B3D95" w:rsidRPr="006E4EF5" w:rsidRDefault="00000000" w:rsidP="006E4EF5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Primary use cases:</w:t>
      </w:r>
    </w:p>
    <w:p w14:paraId="6C6BEC67" w14:textId="5265CEC0" w:rsidR="002B3D95" w:rsidRPr="006E4EF5" w:rsidRDefault="00000000" w:rsidP="006E4EF5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Monthly M&amp;A readiness check-in.</w:t>
      </w:r>
    </w:p>
    <w:p w14:paraId="03592628" w14:textId="18DFB14E" w:rsidR="002B3D95" w:rsidRPr="006E4EF5" w:rsidRDefault="00000000" w:rsidP="006E4EF5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Pre-LOI quality review.</w:t>
      </w:r>
    </w:p>
    <w:p w14:paraId="0E196E07" w14:textId="58A1B216" w:rsidR="002B3D95" w:rsidRPr="006E4EF5" w:rsidRDefault="00000000" w:rsidP="006E4EF5">
      <w:pPr>
        <w:pStyle w:val="PlainText"/>
        <w:numPr>
          <w:ilvl w:val="0"/>
          <w:numId w:val="6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Diligence prep packet generation.</w:t>
      </w:r>
    </w:p>
    <w:p w14:paraId="009EBD7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4D642AF" w14:textId="4E0B36D3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6E4EF5">
        <w:rPr>
          <w:rFonts w:asciiTheme="minorHAnsi" w:hAnsiTheme="minorHAnsi" w:cs="Courier New"/>
          <w:b/>
          <w:bCs/>
          <w:sz w:val="32"/>
          <w:szCs w:val="32"/>
        </w:rPr>
        <w:t xml:space="preserve"> Scope</w:t>
      </w:r>
    </w:p>
    <w:p w14:paraId="0AC91AFB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1CC13C" w14:textId="4306D641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6E4EF5">
        <w:rPr>
          <w:rFonts w:asciiTheme="minorHAnsi" w:hAnsiTheme="minorHAnsi" w:cs="Courier New"/>
          <w:sz w:val="24"/>
          <w:szCs w:val="24"/>
          <w:u w:val="single"/>
        </w:rPr>
        <w:t xml:space="preserve"> In Scope (MVP)</w:t>
      </w:r>
    </w:p>
    <w:p w14:paraId="4A2E018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FD4CA4" w14:textId="1F61097F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Four </w:t>
      </w:r>
      <w:proofErr w:type="spellStart"/>
      <w:r w:rsidRPr="006E4EF5">
        <w:rPr>
          <w:rFonts w:asciiTheme="minorHAnsi" w:hAnsiTheme="minorHAnsi" w:cs="Courier New"/>
          <w:b/>
          <w:bCs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modules:</w:t>
      </w:r>
    </w:p>
    <w:p w14:paraId="4D721D0C" w14:textId="46B3C685" w:rsidR="002B3D95" w:rsidRPr="006E4EF5" w:rsidRDefault="00000000" w:rsidP="006E4EF5">
      <w:pPr>
        <w:pStyle w:val="PlainText"/>
        <w:numPr>
          <w:ilvl w:val="0"/>
          <w:numId w:val="9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EBITDA Adjustments</w:t>
      </w:r>
    </w:p>
    <w:p w14:paraId="2DD13DA9" w14:textId="23C0B140" w:rsidR="002B3D95" w:rsidRPr="006E4EF5" w:rsidRDefault="00000000" w:rsidP="006E4EF5">
      <w:pPr>
        <w:pStyle w:val="PlainText"/>
        <w:numPr>
          <w:ilvl w:val="0"/>
          <w:numId w:val="9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Revenue Quality</w:t>
      </w:r>
    </w:p>
    <w:p w14:paraId="4F37503D" w14:textId="27ADEFCB" w:rsidR="002B3D95" w:rsidRPr="006E4EF5" w:rsidRDefault="00000000" w:rsidP="006E4EF5">
      <w:pPr>
        <w:pStyle w:val="PlainText"/>
        <w:numPr>
          <w:ilvl w:val="0"/>
          <w:numId w:val="9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Working Capital</w:t>
      </w:r>
    </w:p>
    <w:p w14:paraId="180E17D1" w14:textId="44686ED7" w:rsidR="002B3D95" w:rsidRPr="006E4EF5" w:rsidRDefault="00000000" w:rsidP="006E4EF5">
      <w:pPr>
        <w:pStyle w:val="PlainText"/>
        <w:numPr>
          <w:ilvl w:val="0"/>
          <w:numId w:val="9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Cash Flow Quality</w:t>
      </w:r>
    </w:p>
    <w:p w14:paraId="6FB476BA" w14:textId="4369C37C" w:rsidR="002B3D95" w:rsidRPr="006E4EF5" w:rsidRDefault="00000000" w:rsidP="006E4EF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>Executive snapshot cards.</w:t>
      </w:r>
    </w:p>
    <w:p w14:paraId="793BBA8C" w14:textId="4E6DA75E" w:rsidR="002B3D95" w:rsidRPr="006E4EF5" w:rsidRDefault="00000000" w:rsidP="006E4EF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>Metric-level trends and threshold-based risk flags.</w:t>
      </w:r>
    </w:p>
    <w:p w14:paraId="03708C2B" w14:textId="5FBAB1FD" w:rsidR="002B3D95" w:rsidRPr="006E4EF5" w:rsidRDefault="00000000" w:rsidP="006E4EF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proofErr w:type="spellStart"/>
      <w:r w:rsidRPr="006E4EF5">
        <w:rPr>
          <w:rFonts w:asciiTheme="minorHAnsi" w:hAnsiTheme="minorHAnsi" w:cs="Courier New"/>
          <w:b/>
          <w:bCs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score and data-confidence score.</w:t>
      </w:r>
    </w:p>
    <w:p w14:paraId="0FBDF21D" w14:textId="184B25E2" w:rsidR="002B3D95" w:rsidRPr="006E4EF5" w:rsidRDefault="00000000" w:rsidP="006E4EF5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CSV </w:t>
      </w:r>
      <w:proofErr w:type="gramStart"/>
      <w:r w:rsidRPr="006E4EF5">
        <w:rPr>
          <w:rFonts w:asciiTheme="minorHAnsi" w:hAnsiTheme="minorHAnsi" w:cs="Courier New"/>
          <w:b/>
          <w:bCs/>
          <w:sz w:val="24"/>
          <w:szCs w:val="24"/>
        </w:rPr>
        <w:t>export</w:t>
      </w:r>
      <w:proofErr w:type="gramEnd"/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of metric audit trail.</w:t>
      </w:r>
    </w:p>
    <w:p w14:paraId="04FE079F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077245F" w14:textId="62A3149C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  <w:u w:val="single"/>
        </w:rPr>
      </w:pPr>
      <w:r w:rsidRPr="006E4EF5">
        <w:rPr>
          <w:rFonts w:asciiTheme="minorHAnsi" w:hAnsiTheme="minorHAnsi" w:cs="Courier New"/>
          <w:sz w:val="24"/>
          <w:szCs w:val="24"/>
          <w:u w:val="single"/>
        </w:rPr>
        <w:t xml:space="preserve"> Out of Scope (MVP)</w:t>
      </w:r>
    </w:p>
    <w:p w14:paraId="15BB208A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6DC014F" w14:textId="40BCD0AD" w:rsidR="002B3D95" w:rsidRPr="006E4EF5" w:rsidRDefault="00000000" w:rsidP="006E4EF5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Full accounting-policy automation for all revenue methods.</w:t>
      </w:r>
    </w:p>
    <w:p w14:paraId="012B0FDD" w14:textId="1D602BB0" w:rsidR="002B3D95" w:rsidRPr="006E4EF5" w:rsidRDefault="00000000" w:rsidP="006E4EF5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lastRenderedPageBreak/>
        <w:t>AI-only scoring without deterministic rules.</w:t>
      </w:r>
    </w:p>
    <w:p w14:paraId="6C0C54CB" w14:textId="0D78BA22" w:rsidR="002B3D95" w:rsidRPr="006E4EF5" w:rsidRDefault="00000000" w:rsidP="006E4EF5">
      <w:pPr>
        <w:pStyle w:val="PlainText"/>
        <w:numPr>
          <w:ilvl w:val="0"/>
          <w:numId w:val="10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Industry benchmarking packs beyond baseline defaults.</w:t>
      </w:r>
    </w:p>
    <w:p w14:paraId="301DE2D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5941120" w14:textId="20C49EF0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Data Inputs and Dependencies</w:t>
      </w:r>
    </w:p>
    <w:p w14:paraId="1C61A2E3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B2A306" w14:textId="0F57B811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Core Financial Inputs</w:t>
      </w:r>
    </w:p>
    <w:p w14:paraId="2824FEBD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E4D5F2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From canonical monthly data:</w:t>
      </w:r>
    </w:p>
    <w:p w14:paraId="6948CB8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Revenue and expense fields</w:t>
      </w:r>
    </w:p>
    <w:p w14:paraId="28B53B9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COGS fields</w:t>
      </w:r>
    </w:p>
    <w:p w14:paraId="4BBBA3C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Balance sheet fields (AR, inventory, AP, current liabilities, fixed assets, etc.)</w:t>
      </w:r>
    </w:p>
    <w:p w14:paraId="78873BF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Depreciation and interest fields</w:t>
      </w:r>
    </w:p>
    <w:p w14:paraId="771587A4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018EE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Primary source objects:</w:t>
      </w:r>
    </w:p>
    <w:p w14:paraId="26D3CBD2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  <w:lang w:val="es-ES"/>
        </w:rPr>
      </w:pPr>
      <w:r w:rsidRPr="006E4EF5">
        <w:rPr>
          <w:rFonts w:asciiTheme="minorHAnsi" w:hAnsiTheme="minorHAnsi" w:cs="Courier New"/>
          <w:sz w:val="24"/>
          <w:szCs w:val="24"/>
          <w:lang w:val="es-ES"/>
        </w:rPr>
        <w:t>- `</w:t>
      </w:r>
      <w:proofErr w:type="spellStart"/>
      <w:r w:rsidRPr="006E4EF5">
        <w:rPr>
          <w:rFonts w:asciiTheme="minorHAnsi" w:hAnsiTheme="minorHAnsi" w:cs="Courier New"/>
          <w:sz w:val="24"/>
          <w:szCs w:val="24"/>
          <w:lang w:val="es-ES"/>
        </w:rPr>
        <w:t>MonthlyFinancial</w:t>
      </w:r>
      <w:proofErr w:type="spellEnd"/>
      <w:r w:rsidRPr="006E4EF5">
        <w:rPr>
          <w:rFonts w:asciiTheme="minorHAnsi" w:hAnsiTheme="minorHAnsi" w:cs="Courier New"/>
          <w:sz w:val="24"/>
          <w:szCs w:val="24"/>
          <w:lang w:val="es-ES"/>
        </w:rPr>
        <w:t xml:space="preserve">` </w:t>
      </w:r>
      <w:proofErr w:type="spellStart"/>
      <w:r w:rsidRPr="006E4EF5">
        <w:rPr>
          <w:rFonts w:asciiTheme="minorHAnsi" w:hAnsiTheme="minorHAnsi" w:cs="Courier New"/>
          <w:sz w:val="24"/>
          <w:szCs w:val="24"/>
          <w:lang w:val="es-ES"/>
        </w:rPr>
        <w:t>model</w:t>
      </w:r>
      <w:proofErr w:type="spellEnd"/>
      <w:r w:rsidRPr="006E4EF5">
        <w:rPr>
          <w:rFonts w:asciiTheme="minorHAnsi" w:hAnsiTheme="minorHAnsi" w:cs="Courier New"/>
          <w:sz w:val="24"/>
          <w:szCs w:val="24"/>
          <w:lang w:val="es-ES"/>
        </w:rPr>
        <w:t xml:space="preserve"> (`prisma/</w:t>
      </w:r>
      <w:proofErr w:type="spellStart"/>
      <w:r w:rsidRPr="006E4EF5">
        <w:rPr>
          <w:rFonts w:asciiTheme="minorHAnsi" w:hAnsiTheme="minorHAnsi" w:cs="Courier New"/>
          <w:sz w:val="24"/>
          <w:szCs w:val="24"/>
          <w:lang w:val="es-ES"/>
        </w:rPr>
        <w:t>schema.prisma</w:t>
      </w:r>
      <w:proofErr w:type="spellEnd"/>
      <w:r w:rsidRPr="006E4EF5">
        <w:rPr>
          <w:rFonts w:asciiTheme="minorHAnsi" w:hAnsiTheme="minorHAnsi" w:cs="Courier New"/>
          <w:sz w:val="24"/>
          <w:szCs w:val="24"/>
          <w:lang w:val="es-ES"/>
        </w:rPr>
        <w:t>`)</w:t>
      </w:r>
    </w:p>
    <w:p w14:paraId="263F0EF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canonical mapping helpers (`lib/financial-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canonical.ts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>`)</w:t>
      </w:r>
    </w:p>
    <w:p w14:paraId="5C2D946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monthly dataset in app state (`app/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page.tsx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>`)</w:t>
      </w:r>
    </w:p>
    <w:p w14:paraId="5BA35DF4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558435E" w14:textId="2D117341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Optional Inputs (Phase 1.5 / Phase 2)</w:t>
      </w:r>
    </w:p>
    <w:p w14:paraId="461D2BF0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82B784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Invoice-level records</w:t>
      </w:r>
    </w:p>
    <w:p w14:paraId="66B1BFF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Cash receipt timing</w:t>
      </w:r>
    </w:p>
    <w:p w14:paraId="4C1F2D5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Contract/project milestones</w:t>
      </w:r>
    </w:p>
    <w:p w14:paraId="631B5A0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Customer-level revenue rollups</w:t>
      </w:r>
    </w:p>
    <w:p w14:paraId="2B5A200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B8A8F32" w14:textId="5CC7CBCA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6E4EF5">
        <w:rPr>
          <w:rFonts w:asciiTheme="minorHAnsi" w:hAnsiTheme="minorHAnsi" w:cs="Courier New"/>
          <w:b/>
          <w:bCs/>
          <w:sz w:val="32"/>
          <w:szCs w:val="32"/>
        </w:rPr>
        <w:t xml:space="preserve"> Functional Requirements</w:t>
      </w:r>
    </w:p>
    <w:p w14:paraId="4DA439EB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04ED486" w14:textId="2EA127AF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Module A: EBITDA Adjustments</w:t>
      </w:r>
    </w:p>
    <w:p w14:paraId="5B3BDE9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2D70C6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Purpose: Normalize earnings for buyer comparability.</w:t>
      </w:r>
    </w:p>
    <w:p w14:paraId="2F032162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6248A4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Metrics:</w:t>
      </w:r>
    </w:p>
    <w:p w14:paraId="62D90820" w14:textId="658C735C" w:rsidR="002B3D95" w:rsidRPr="006E4EF5" w:rsidRDefault="00000000" w:rsidP="006E4EF5">
      <w:pPr>
        <w:pStyle w:val="PlainText"/>
        <w:numPr>
          <w:ilvl w:val="0"/>
          <w:numId w:val="12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Reported EBITDA</w:t>
      </w:r>
    </w:p>
    <w:p w14:paraId="3B19A105" w14:textId="58327AF8" w:rsidR="002B3D95" w:rsidRPr="006E4EF5" w:rsidRDefault="00000000" w:rsidP="006E4EF5">
      <w:pPr>
        <w:pStyle w:val="PlainText"/>
        <w:numPr>
          <w:ilvl w:val="0"/>
          <w:numId w:val="12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Addbacks total</w:t>
      </w:r>
    </w:p>
    <w:p w14:paraId="61431E26" w14:textId="23A4612D" w:rsidR="002B3D95" w:rsidRPr="006E4EF5" w:rsidRDefault="00000000" w:rsidP="006E4EF5">
      <w:pPr>
        <w:pStyle w:val="PlainText"/>
        <w:numPr>
          <w:ilvl w:val="0"/>
          <w:numId w:val="12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Negative adjustments total</w:t>
      </w:r>
    </w:p>
    <w:p w14:paraId="66E86FC5" w14:textId="7430B018" w:rsidR="002B3D95" w:rsidRPr="006E4EF5" w:rsidRDefault="00000000" w:rsidP="006E4EF5">
      <w:pPr>
        <w:pStyle w:val="PlainText"/>
        <w:numPr>
          <w:ilvl w:val="0"/>
          <w:numId w:val="12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Adjusted EBITDA</w:t>
      </w:r>
    </w:p>
    <w:p w14:paraId="7E14BBD8" w14:textId="0AE08421" w:rsidR="002B3D95" w:rsidRPr="006E4EF5" w:rsidRDefault="00000000" w:rsidP="006E4EF5">
      <w:pPr>
        <w:pStyle w:val="PlainText"/>
        <w:numPr>
          <w:ilvl w:val="0"/>
          <w:numId w:val="12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Adjustment %</w:t>
      </w:r>
    </w:p>
    <w:p w14:paraId="7C774128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60B86C2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Formulas:</w:t>
      </w:r>
    </w:p>
    <w:p w14:paraId="033D7142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Reported EBITDA = Operating income + D&amp;A (or trusted EBITDA source)</w:t>
      </w:r>
    </w:p>
    <w:p w14:paraId="672EADF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Adjusted EBITDA = Reported EBITDA + Addbacks - Negative Adjustments</w:t>
      </w:r>
    </w:p>
    <w:p w14:paraId="04D4D76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Adjustment % = (Adjusted EBITDA - Reported EBITDA) / Reported EBITDA</w:t>
      </w:r>
    </w:p>
    <w:p w14:paraId="7457EF1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7B53E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Outputs:</w:t>
      </w:r>
    </w:p>
    <w:p w14:paraId="524F11D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Current period value</w:t>
      </w:r>
    </w:p>
    <w:p w14:paraId="3E6C839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TTM value</w:t>
      </w:r>
    </w:p>
    <w:p w14:paraId="6400A51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- 12- to 36-month trend</w:t>
      </w:r>
    </w:p>
    <w:p w14:paraId="07CB86B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risk tier</w:t>
      </w:r>
    </w:p>
    <w:p w14:paraId="25FC8010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2C9AE44" w14:textId="70F82245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Module B: Revenue Quality</w:t>
      </w:r>
    </w:p>
    <w:p w14:paraId="6E2F595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9835B5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Purpose: Evaluate reliability and repeatability of revenue.</w:t>
      </w:r>
    </w:p>
    <w:p w14:paraId="2F54C2E5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1C5A94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Metrics:</w:t>
      </w:r>
    </w:p>
    <w:p w14:paraId="76FCCE34" w14:textId="3764ED81" w:rsidR="002B3D95" w:rsidRPr="006E4EF5" w:rsidRDefault="00000000" w:rsidP="006E4EF5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Top customer concentration %</w:t>
      </w:r>
    </w:p>
    <w:p w14:paraId="5B7F9BEC" w14:textId="35F846BB" w:rsidR="002B3D95" w:rsidRPr="006E4EF5" w:rsidRDefault="00000000" w:rsidP="006E4EF5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Top 5 concentration %</w:t>
      </w:r>
    </w:p>
    <w:p w14:paraId="498D9077" w14:textId="10BE37BF" w:rsidR="002B3D95" w:rsidRPr="006E4EF5" w:rsidRDefault="00000000" w:rsidP="006E4EF5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Recurring revenue %</w:t>
      </w:r>
    </w:p>
    <w:p w14:paraId="56EBF601" w14:textId="6C6D5C9F" w:rsidR="002B3D95" w:rsidRPr="006E4EF5" w:rsidRDefault="00000000" w:rsidP="006E4EF5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Revenue-to-cash gap %</w:t>
      </w:r>
    </w:p>
    <w:p w14:paraId="354956DC" w14:textId="3A872F7B" w:rsidR="002B3D95" w:rsidRPr="006E4EF5" w:rsidRDefault="00000000" w:rsidP="006E4EF5">
      <w:pPr>
        <w:pStyle w:val="PlainText"/>
        <w:numPr>
          <w:ilvl w:val="0"/>
          <w:numId w:val="15"/>
        </w:numPr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Recognition anomaly count</w:t>
      </w:r>
    </w:p>
    <w:p w14:paraId="59960F3C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D35E6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Detection rules (MVP deterministic):</w:t>
      </w:r>
    </w:p>
    <w:p w14:paraId="03D9FEC0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Revenue growth materially exceeds customer cash collections.</w:t>
      </w:r>
    </w:p>
    <w:p w14:paraId="5D0EB123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DSO trend spike beyond threshold.</w:t>
      </w:r>
    </w:p>
    <w:p w14:paraId="17AE7E0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AR growth outpaces revenue growth over rolling window.</w:t>
      </w:r>
    </w:p>
    <w:p w14:paraId="1C26BFF9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59F619E" w14:textId="275224E4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Module C: Working Capital</w:t>
      </w:r>
    </w:p>
    <w:p w14:paraId="1E7099AE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0C4734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Purpose: Estimate normalized operating working capital and likely close adjustment.</w:t>
      </w:r>
    </w:p>
    <w:p w14:paraId="6B87B7DF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0A5C59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Metrics:</w:t>
      </w:r>
    </w:p>
    <w:p w14:paraId="029B35E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Operating working capital</w:t>
      </w:r>
    </w:p>
    <w:p w14:paraId="176FFA9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Normalized WC target</w:t>
      </w:r>
    </w:p>
    <w:p w14:paraId="3DEE6A7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Closing WC proxy</w:t>
      </w:r>
    </w:p>
    <w:p w14:paraId="7E77841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WC surplus/deficit adjustment</w:t>
      </w:r>
    </w:p>
    <w:p w14:paraId="4A1341E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Working capital intensity %</w:t>
      </w:r>
    </w:p>
    <w:p w14:paraId="5FD4AD02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Cash conversion cycle</w:t>
      </w:r>
    </w:p>
    <w:p w14:paraId="7CFE215B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C52950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Formulas:</w:t>
      </w:r>
    </w:p>
    <w:p w14:paraId="472BCF7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Operating WC = AR + Inventory + Contract Assets - AP - Accrued Op Liabilities</w:t>
      </w:r>
    </w:p>
    <w:p w14:paraId="76C3ACB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Normalized WC target = average Operating WC over trailing N months (default N=12)</w:t>
      </w:r>
    </w:p>
    <w:p w14:paraId="4BC72062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WC adjustment = Closing WC (or latest proxy) - Normalized WC target</w:t>
      </w:r>
    </w:p>
    <w:p w14:paraId="3132395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Working capital intensity = Operating WC / Revenue</w:t>
      </w:r>
    </w:p>
    <w:p w14:paraId="6ECE0A4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CCC = DSO + DIO - DPO</w:t>
      </w:r>
    </w:p>
    <w:p w14:paraId="716E346A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BDDBDDF" w14:textId="51B7D9E7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</w:t>
      </w:r>
      <w:r w:rsidRPr="006E4EF5">
        <w:rPr>
          <w:rFonts w:asciiTheme="minorHAnsi" w:hAnsiTheme="minorHAnsi" w:cs="Courier New"/>
          <w:b/>
          <w:bCs/>
          <w:sz w:val="24"/>
          <w:szCs w:val="24"/>
        </w:rPr>
        <w:t>Module D: Cash Flow Quality</w:t>
      </w:r>
    </w:p>
    <w:p w14:paraId="74C9D51F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E02008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Purpose: Assess whether earnings translate into durable free cash flow.</w:t>
      </w:r>
    </w:p>
    <w:p w14:paraId="2DDBBF1F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23FCE0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Metrics:</w:t>
      </w:r>
    </w:p>
    <w:p w14:paraId="44CF73C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Cash conversion %</w:t>
      </w:r>
    </w:p>
    <w:p w14:paraId="65996A9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Maintenance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estimate</w:t>
      </w:r>
    </w:p>
    <w:p w14:paraId="499AFFC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Maintenance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/ EBITDA %</w:t>
      </w:r>
    </w:p>
    <w:p w14:paraId="5A52E50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gap</w:t>
      </w:r>
    </w:p>
    <w:p w14:paraId="3929542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18E136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Formulas:</w:t>
      </w:r>
    </w:p>
    <w:p w14:paraId="428AB82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Cash conversion % = Operating Cash Flow / EBITDA</w:t>
      </w:r>
    </w:p>
    <w:p w14:paraId="5EC754F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Maintenance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estimate = max(Depreciation proxy, historical average proxy)</w:t>
      </w:r>
    </w:p>
    <w:p w14:paraId="2013276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gap = Maintenance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estimate - Reported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</w:p>
    <w:p w14:paraId="19DC5412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491F75A" w14:textId="5255C383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6E4EF5">
        <w:rPr>
          <w:rFonts w:asciiTheme="minorHAnsi" w:hAnsiTheme="minorHAnsi" w:cs="Courier New"/>
          <w:b/>
          <w:bCs/>
          <w:sz w:val="32"/>
          <w:szCs w:val="32"/>
        </w:rPr>
        <w:t xml:space="preserve"> Scoring and Risk Framework</w:t>
      </w:r>
    </w:p>
    <w:p w14:paraId="5ECB161A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01BDE8E" w14:textId="3A37261E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</w:t>
      </w:r>
      <w:proofErr w:type="spellStart"/>
      <w:r w:rsidRPr="006E4EF5">
        <w:rPr>
          <w:rFonts w:asciiTheme="minorHAnsi" w:hAnsiTheme="minorHAnsi" w:cs="Courier New"/>
          <w:b/>
          <w:bCs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b/>
          <w:bCs/>
          <w:sz w:val="24"/>
          <w:szCs w:val="24"/>
        </w:rPr>
        <w:t xml:space="preserve"> Score</w:t>
      </w:r>
    </w:p>
    <w:p w14:paraId="3835B1C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EF1B7A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Scale: 0 to 100</w:t>
      </w:r>
    </w:p>
    <w:p w14:paraId="1A1F100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Weighted categories:</w:t>
      </w:r>
    </w:p>
    <w:p w14:paraId="34B7BE21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Earnings Quality: 30%</w:t>
      </w:r>
    </w:p>
    <w:p w14:paraId="0805D80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Revenue Quality: 25%</w:t>
      </w:r>
    </w:p>
    <w:p w14:paraId="633E18F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Working Capital Quality: 20%</w:t>
      </w:r>
    </w:p>
    <w:p w14:paraId="60502540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Cash Flow Quality: 25%</w:t>
      </w:r>
    </w:p>
    <w:p w14:paraId="7DB1F591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Missing metric policy: remove unavailable metric weight from denominator.</w:t>
      </w:r>
    </w:p>
    <w:p w14:paraId="2F26BC6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C1697A7" w14:textId="49FDB10A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</w:t>
      </w:r>
      <w:r w:rsidRPr="006E4EF5">
        <w:rPr>
          <w:rFonts w:asciiTheme="minorHAnsi" w:hAnsiTheme="minorHAnsi" w:cs="Courier New"/>
          <w:b/>
          <w:bCs/>
          <w:sz w:val="24"/>
          <w:szCs w:val="24"/>
        </w:rPr>
        <w:t>Confidence Score</w:t>
      </w:r>
    </w:p>
    <w:p w14:paraId="09C4D283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CCB45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Separate from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score; reflects data sufficiency and consistency:</w:t>
      </w:r>
    </w:p>
    <w:p w14:paraId="6E2F7C1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history length coverage</w:t>
      </w:r>
    </w:p>
    <w:p w14:paraId="2EB9772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field completeness</w:t>
      </w:r>
    </w:p>
    <w:p w14:paraId="1C1D989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anomaly reliability</w:t>
      </w:r>
    </w:p>
    <w:p w14:paraId="3673CF3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recency of data</w:t>
      </w:r>
    </w:p>
    <w:p w14:paraId="13E2571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D32DCF9" w14:textId="02E9C753" w:rsidR="002B3D95" w:rsidRPr="006E4EF5" w:rsidRDefault="00000000" w:rsidP="00192562">
      <w:pPr>
        <w:pStyle w:val="PlainText"/>
        <w:rPr>
          <w:rFonts w:asciiTheme="minorHAnsi" w:hAnsiTheme="minorHAnsi" w:cs="Courier New"/>
          <w:b/>
          <w:bCs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</w:t>
      </w:r>
      <w:r w:rsidRPr="006E4EF5">
        <w:rPr>
          <w:rFonts w:asciiTheme="minorHAnsi" w:hAnsiTheme="minorHAnsi" w:cs="Courier New"/>
          <w:b/>
          <w:bCs/>
          <w:sz w:val="24"/>
          <w:szCs w:val="24"/>
        </w:rPr>
        <w:t>Default Risk Thresholds (MVP)</w:t>
      </w:r>
    </w:p>
    <w:p w14:paraId="53542654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E4F57A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EBITDA adjustment %: `&lt;10 low`, `10-25 medium`, `&gt;25 high`</w:t>
      </w:r>
    </w:p>
    <w:p w14:paraId="24E38F0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Top customer concentration: `&lt;15 low`, `15-25 medium`, `&gt;25 high`</w:t>
      </w:r>
    </w:p>
    <w:p w14:paraId="48F2805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Recurring revenue %: `&gt;70 low risk`, `40-70 medium`, `&lt;40 high`</w:t>
      </w:r>
    </w:p>
    <w:p w14:paraId="1A336FE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Cash conversion %: `&gt;80 low`, `60-80 medium`, `&lt;60 high`</w:t>
      </w:r>
    </w:p>
    <w:p w14:paraId="42592EB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CCC YoY deterioration: `&gt;15 days` triggers risk</w:t>
      </w:r>
    </w:p>
    <w:p w14:paraId="7261D9A0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Maintenance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/ EBITDA: `&lt;10 low`, `10-20 medium`, `&gt;20 high` (initial generic profile)</w:t>
      </w:r>
    </w:p>
    <w:p w14:paraId="2EE6C35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5E0AFF4" w14:textId="074D3B0C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UX Requirements</w:t>
      </w:r>
    </w:p>
    <w:p w14:paraId="77CB0B30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37931B0" w14:textId="5D0CE770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Executive Snapshot</w:t>
      </w:r>
    </w:p>
    <w:p w14:paraId="1B741384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4F1D7BF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Must display:</w:t>
      </w:r>
    </w:p>
    <w:p w14:paraId="392A1B8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Estimated Enterprise Value (if valuation module enabled)</w:t>
      </w:r>
    </w:p>
    <w:p w14:paraId="1F6F17F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Score</w:t>
      </w:r>
    </w:p>
    <w:p w14:paraId="03F6ECE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Adjusted EBITDA (TTM)</w:t>
      </w:r>
    </w:p>
    <w:p w14:paraId="32EACD5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Expected WC close adjustment</w:t>
      </w:r>
    </w:p>
    <w:p w14:paraId="74D3FBEF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374F9A9" w14:textId="49F0A1F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Module Cards</w:t>
      </w:r>
    </w:p>
    <w:p w14:paraId="399A895C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894546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Each card must include:</w:t>
      </w:r>
    </w:p>
    <w:p w14:paraId="6D76E64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current value</w:t>
      </w:r>
    </w:p>
    <w:p w14:paraId="056D438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trend sparkline</w:t>
      </w:r>
    </w:p>
    <w:p w14:paraId="4BC4771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risk badge</w:t>
      </w:r>
    </w:p>
    <w:p w14:paraId="4B1ABB60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one-line "why </w:t>
      </w:r>
      <w:proofErr w:type="gramStart"/>
      <w:r w:rsidRPr="006E4EF5">
        <w:rPr>
          <w:rFonts w:asciiTheme="minorHAnsi" w:hAnsiTheme="minorHAnsi" w:cs="Courier New"/>
          <w:sz w:val="24"/>
          <w:szCs w:val="24"/>
        </w:rPr>
        <w:t>this matters</w:t>
      </w:r>
      <w:proofErr w:type="gramEnd"/>
      <w:r w:rsidRPr="006E4EF5">
        <w:rPr>
          <w:rFonts w:asciiTheme="minorHAnsi" w:hAnsiTheme="minorHAnsi" w:cs="Courier New"/>
          <w:sz w:val="24"/>
          <w:szCs w:val="24"/>
        </w:rPr>
        <w:t>"</w:t>
      </w:r>
    </w:p>
    <w:p w14:paraId="5B9326E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drill-down action</w:t>
      </w:r>
    </w:p>
    <w:p w14:paraId="3748E56E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0296818F" w14:textId="361E8D1E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Drill-Down View</w:t>
      </w:r>
    </w:p>
    <w:p w14:paraId="62F50132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C3BC87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Must include:</w:t>
      </w:r>
    </w:p>
    <w:p w14:paraId="4C872E6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formula used</w:t>
      </w:r>
    </w:p>
    <w:p w14:paraId="790C6B9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source fields and period window</w:t>
      </w:r>
    </w:p>
    <w:p w14:paraId="6C88DDA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threshold comparison</w:t>
      </w:r>
    </w:p>
    <w:p w14:paraId="59ABCF9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evidence table for flags</w:t>
      </w:r>
    </w:p>
    <w:p w14:paraId="2F47CD2A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export action</w:t>
      </w:r>
    </w:p>
    <w:p w14:paraId="7096A104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5DAC11B5" w14:textId="6575BF5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API and Data Contract Requirements</w:t>
      </w:r>
    </w:p>
    <w:p w14:paraId="2D30455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FDFF1DE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Deterministic metric engine endpoint for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calculations.</w:t>
      </w:r>
    </w:p>
    <w:p w14:paraId="3D4EA96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Response must include:</w:t>
      </w:r>
    </w:p>
    <w:p w14:paraId="0DC52FB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metric values</w:t>
      </w:r>
    </w:p>
    <w:p w14:paraId="60C3E61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trend arrays</w:t>
      </w:r>
    </w:p>
    <w:p w14:paraId="565E775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risk flags</w:t>
      </w:r>
    </w:p>
    <w:p w14:paraId="01160C6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score breakdown</w:t>
      </w:r>
    </w:p>
    <w:p w14:paraId="45E7325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confidence score</w:t>
      </w:r>
    </w:p>
    <w:p w14:paraId="51835321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 - data lineage metadata</w:t>
      </w:r>
    </w:p>
    <w:p w14:paraId="3618F347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639BFE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Example response sections:</w:t>
      </w:r>
    </w:p>
    <w:p w14:paraId="208434AC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`snapshot`</w:t>
      </w:r>
    </w:p>
    <w:p w14:paraId="0AE57B0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`modules`</w:t>
      </w:r>
    </w:p>
    <w:p w14:paraId="20ADC5D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`flags`</w:t>
      </w:r>
    </w:p>
    <w:p w14:paraId="458C6E99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qoeScore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>`</w:t>
      </w:r>
    </w:p>
    <w:p w14:paraId="377BD01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`confidence`</w:t>
      </w:r>
    </w:p>
    <w:p w14:paraId="23EA69B5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`lineage`</w:t>
      </w:r>
    </w:p>
    <w:p w14:paraId="72E60171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7CD25132" w14:textId="681CC200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Non-Functional Requirements</w:t>
      </w:r>
    </w:p>
    <w:p w14:paraId="2B81E2D3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30E795A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Multi-tenant access control must be enforced via existing tenant-security patterns.</w:t>
      </w:r>
    </w:p>
    <w:p w14:paraId="3F64780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Calculations should </w:t>
      </w:r>
      <w:proofErr w:type="gramStart"/>
      <w:r w:rsidRPr="006E4EF5">
        <w:rPr>
          <w:rFonts w:asciiTheme="minorHAnsi" w:hAnsiTheme="minorHAnsi" w:cs="Courier New"/>
          <w:sz w:val="24"/>
          <w:szCs w:val="24"/>
        </w:rPr>
        <w:t>complete</w:t>
      </w:r>
      <w:proofErr w:type="gramEnd"/>
      <w:r w:rsidRPr="006E4EF5">
        <w:rPr>
          <w:rFonts w:asciiTheme="minorHAnsi" w:hAnsiTheme="minorHAnsi" w:cs="Courier New"/>
          <w:sz w:val="24"/>
          <w:szCs w:val="24"/>
        </w:rPr>
        <w:t xml:space="preserve"> under 2 seconds for normal company datasets.</w:t>
      </w:r>
    </w:p>
    <w:p w14:paraId="0C5CF737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Every displayed metric must be reproducible from stored fields.</w:t>
      </w:r>
    </w:p>
    <w:p w14:paraId="6584B093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Alerting logic must avoid one-period noise (require persistence for severe alerts).</w:t>
      </w:r>
    </w:p>
    <w:p w14:paraId="2E76EF10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3BE15BA" w14:textId="12124BCB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Success Metrics</w:t>
      </w:r>
    </w:p>
    <w:p w14:paraId="4E543D09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0B67284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- 80%+ of active companies can compute all core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metrics with available data.</w:t>
      </w:r>
    </w:p>
    <w:p w14:paraId="4253E92D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Users can inspect </w:t>
      </w:r>
      <w:proofErr w:type="gramStart"/>
      <w:r w:rsidRPr="006E4EF5">
        <w:rPr>
          <w:rFonts w:asciiTheme="minorHAnsi" w:hAnsiTheme="minorHAnsi" w:cs="Courier New"/>
          <w:sz w:val="24"/>
          <w:szCs w:val="24"/>
        </w:rPr>
        <w:t>formula</w:t>
      </w:r>
      <w:proofErr w:type="gramEnd"/>
      <w:r w:rsidRPr="006E4EF5">
        <w:rPr>
          <w:rFonts w:asciiTheme="minorHAnsi" w:hAnsiTheme="minorHAnsi" w:cs="Courier New"/>
          <w:sz w:val="24"/>
          <w:szCs w:val="24"/>
        </w:rPr>
        <w:t xml:space="preserve"> and inputs for 100% of displayed metrics.</w:t>
      </w:r>
    </w:p>
    <w:p w14:paraId="2825382B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Consultant adoption: repeated monthly usage by pilot firms.</w:t>
      </w:r>
    </w:p>
    <w:p w14:paraId="36E894C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3A050E4" w14:textId="089C70CB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Release Plan</w:t>
      </w:r>
    </w:p>
    <w:p w14:paraId="084BEFF5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64413529" w14:textId="2D2E946B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 MVP</w:t>
      </w:r>
    </w:p>
    <w:p w14:paraId="34A157B6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2CAEB796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Deterministic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metric engine</w:t>
      </w:r>
    </w:p>
    <w:p w14:paraId="45C5C07F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Dashboard module cards and drill-down</w:t>
      </w:r>
    </w:p>
    <w:p w14:paraId="4E769B28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 xml:space="preserve">- </w:t>
      </w:r>
      <w:proofErr w:type="spellStart"/>
      <w:r w:rsidRPr="006E4EF5">
        <w:rPr>
          <w:rFonts w:asciiTheme="minorHAnsi" w:hAnsiTheme="minorHAnsi" w:cs="Courier New"/>
          <w:sz w:val="24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 w:val="24"/>
          <w:szCs w:val="24"/>
        </w:rPr>
        <w:t xml:space="preserve"> score and confidence</w:t>
      </w:r>
    </w:p>
    <w:p w14:paraId="372B3143" w14:textId="77777777" w:rsidR="002B3D95" w:rsidRPr="006E4EF5" w:rsidRDefault="00000000" w:rsidP="00192562">
      <w:pPr>
        <w:pStyle w:val="PlainText"/>
        <w:rPr>
          <w:rFonts w:asciiTheme="minorHAnsi" w:hAnsiTheme="minorHAnsi" w:cs="Courier New"/>
          <w:sz w:val="24"/>
          <w:szCs w:val="24"/>
        </w:rPr>
      </w:pPr>
      <w:r w:rsidRPr="006E4EF5">
        <w:rPr>
          <w:rFonts w:asciiTheme="minorHAnsi" w:hAnsiTheme="minorHAnsi" w:cs="Courier New"/>
          <w:sz w:val="24"/>
          <w:szCs w:val="24"/>
        </w:rPr>
        <w:t>- CSV export</w:t>
      </w:r>
    </w:p>
    <w:p w14:paraId="0F0DA81E" w14:textId="77777777" w:rsidR="002B3D95" w:rsidRPr="006E4EF5" w:rsidRDefault="002B3D95" w:rsidP="00192562">
      <w:pPr>
        <w:pStyle w:val="PlainText"/>
        <w:rPr>
          <w:rFonts w:asciiTheme="minorHAnsi" w:hAnsiTheme="minorHAnsi" w:cs="Courier New"/>
          <w:sz w:val="24"/>
          <w:szCs w:val="24"/>
        </w:rPr>
      </w:pPr>
    </w:p>
    <w:p w14:paraId="1F0AD98E" w14:textId="7E48D873" w:rsidR="006E4EF5" w:rsidRDefault="00000000" w:rsidP="00192562">
      <w:pPr>
        <w:pStyle w:val="PlainText"/>
        <w:rPr>
          <w:rFonts w:asciiTheme="minorHAnsi" w:hAnsiTheme="minorHAnsi" w:cs="Courier New"/>
          <w:b/>
          <w:bCs/>
          <w:sz w:val="32"/>
          <w:szCs w:val="32"/>
        </w:rPr>
      </w:pPr>
      <w:r w:rsidRPr="006E4EF5">
        <w:rPr>
          <w:rFonts w:asciiTheme="minorHAnsi" w:hAnsiTheme="minorHAnsi" w:cs="Courier New"/>
          <w:b/>
          <w:bCs/>
          <w:sz w:val="32"/>
          <w:szCs w:val="32"/>
        </w:rPr>
        <w:t xml:space="preserve"> </w:t>
      </w:r>
    </w:p>
    <w:p w14:paraId="4FFF41A8" w14:textId="77777777" w:rsidR="006E4EF5" w:rsidRPr="005249E3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 w:val="32"/>
        </w:rPr>
      </w:pPr>
      <w:r w:rsidRPr="005249E3">
        <w:rPr>
          <w:rFonts w:asciiTheme="minorHAnsi" w:hAnsiTheme="minorHAnsi" w:cs="Courier New"/>
          <w:b/>
          <w:bCs/>
          <w:sz w:val="32"/>
        </w:rPr>
        <w:t>Agentic recommendations for value creation</w:t>
      </w:r>
    </w:p>
    <w:p w14:paraId="0E8698DC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Use a 3-layer model:</w:t>
      </w:r>
    </w:p>
    <w:p w14:paraId="5CA2E6B1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70790C09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b/>
          <w:bCs/>
          <w:szCs w:val="24"/>
        </w:rPr>
        <w:t>Layer 1: Deterministic signals (ground truth</w:t>
      </w:r>
      <w:r w:rsidRPr="006E4EF5">
        <w:rPr>
          <w:rFonts w:asciiTheme="minorHAnsi" w:hAnsiTheme="minorHAnsi" w:cs="Courier New"/>
          <w:szCs w:val="24"/>
        </w:rPr>
        <w:t>)</w:t>
      </w:r>
    </w:p>
    <w:p w14:paraId="6ECF9925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2D332597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 xml:space="preserve">Your </w:t>
      </w:r>
      <w:proofErr w:type="spellStart"/>
      <w:r w:rsidRPr="006E4EF5">
        <w:rPr>
          <w:rFonts w:asciiTheme="minorHAnsi" w:hAnsiTheme="minorHAnsi" w:cs="Courier New"/>
          <w:szCs w:val="24"/>
        </w:rPr>
        <w:t>QoE</w:t>
      </w:r>
      <w:proofErr w:type="spellEnd"/>
      <w:r w:rsidRPr="006E4EF5">
        <w:rPr>
          <w:rFonts w:asciiTheme="minorHAnsi" w:hAnsiTheme="minorHAnsi" w:cs="Courier New"/>
          <w:szCs w:val="24"/>
        </w:rPr>
        <w:t xml:space="preserve"> metrics, thresholds, trends, and anomalies.</w:t>
      </w:r>
    </w:p>
    <w:p w14:paraId="1E35E328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This is the “facts engine.”</w:t>
      </w:r>
    </w:p>
    <w:p w14:paraId="4462A597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14582C15" w14:textId="1F240864" w:rsidR="006E4EF5" w:rsidRPr="005249E3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5249E3">
        <w:rPr>
          <w:rFonts w:asciiTheme="minorHAnsi" w:hAnsiTheme="minorHAnsi" w:cs="Courier New"/>
          <w:b/>
          <w:bCs/>
          <w:szCs w:val="24"/>
        </w:rPr>
        <w:t>Layer 2: Agentic reasoning</w:t>
      </w:r>
    </w:p>
    <w:p w14:paraId="159FDE19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31182EF6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 xml:space="preserve">AI agents interpret those signals by module (pricing, WC, customer concentration, margin, </w:t>
      </w:r>
      <w:proofErr w:type="spellStart"/>
      <w:r w:rsidRPr="006E4EF5">
        <w:rPr>
          <w:rFonts w:asciiTheme="minorHAnsi" w:hAnsiTheme="minorHAnsi" w:cs="Courier New"/>
          <w:szCs w:val="24"/>
        </w:rPr>
        <w:t>CapEx</w:t>
      </w:r>
      <w:proofErr w:type="spellEnd"/>
      <w:r w:rsidRPr="006E4EF5">
        <w:rPr>
          <w:rFonts w:asciiTheme="minorHAnsi" w:hAnsiTheme="minorHAnsi" w:cs="Courier New"/>
          <w:szCs w:val="24"/>
        </w:rPr>
        <w:t>).</w:t>
      </w:r>
    </w:p>
    <w:p w14:paraId="07CE70F5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Each agent outputs: issue -&gt; likely root cause -&gt; recommended actions -&gt; expected value impact -&gt; confidence.</w:t>
      </w:r>
    </w:p>
    <w:p w14:paraId="5C9EEF7F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1440EBC7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71BB57C8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15D01576" w14:textId="19A1DD81" w:rsidR="006E4EF5" w:rsidRPr="005249E3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5249E3">
        <w:rPr>
          <w:rFonts w:asciiTheme="minorHAnsi" w:hAnsiTheme="minorHAnsi" w:cs="Courier New"/>
          <w:b/>
          <w:bCs/>
          <w:szCs w:val="24"/>
        </w:rPr>
        <w:t>Layer 3: Execution planning</w:t>
      </w:r>
    </w:p>
    <w:p w14:paraId="6AD41B05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661D6FC6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Convert recommendations into 30/60/90-day playbooks with owners, milestones, and KPI targets.</w:t>
      </w:r>
    </w:p>
    <w:p w14:paraId="1255DA92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Track expected vs actual impact over time.</w:t>
      </w:r>
    </w:p>
    <w:p w14:paraId="02AECC23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Best way to do this safely</w:t>
      </w:r>
    </w:p>
    <w:p w14:paraId="06DA1DEE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Keep recommendations evidence-linked (“because DSO rose 14 days and AR&gt;90 grew 22%…”).</w:t>
      </w:r>
    </w:p>
    <w:p w14:paraId="78BAE450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Require confidence score + assumptions on every recommendation.</w:t>
      </w:r>
    </w:p>
    <w:p w14:paraId="34D5D261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Never let AI alter core metrics; AI can only explain and prioritize.</w:t>
      </w:r>
    </w:p>
    <w:p w14:paraId="5B8537C7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09F4B194" w14:textId="3B237D28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Add human approval workflow for “</w:t>
      </w:r>
      <w:proofErr w:type="gramStart"/>
      <w:r w:rsidRPr="006E4EF5">
        <w:rPr>
          <w:rFonts w:asciiTheme="minorHAnsi" w:hAnsiTheme="minorHAnsi" w:cs="Courier New"/>
          <w:szCs w:val="24"/>
        </w:rPr>
        <w:t>high-impact</w:t>
      </w:r>
      <w:proofErr w:type="gramEnd"/>
      <w:r w:rsidRPr="006E4EF5">
        <w:rPr>
          <w:rFonts w:asciiTheme="minorHAnsi" w:hAnsiTheme="minorHAnsi" w:cs="Courier New"/>
          <w:szCs w:val="24"/>
        </w:rPr>
        <w:t>” recommendations.</w:t>
      </w:r>
    </w:p>
    <w:p w14:paraId="0B4D222E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Recommendation types that increase enterprise value</w:t>
      </w:r>
    </w:p>
    <w:p w14:paraId="29250705" w14:textId="77777777" w:rsidR="006E4EF5" w:rsidRPr="005249E3" w:rsidRDefault="006E4EF5" w:rsidP="005249E3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EBITDA lift: pricing changes, cost structure cleanup, owner expense normalization.</w:t>
      </w:r>
    </w:p>
    <w:p w14:paraId="0C8B0929" w14:textId="77777777" w:rsidR="006E4EF5" w:rsidRPr="005249E3" w:rsidRDefault="006E4EF5" w:rsidP="005249E3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Multiple expansion: reduce concentration, increase recurring revenue quality, improve reporting quality.</w:t>
      </w:r>
    </w:p>
    <w:p w14:paraId="4CEB222A" w14:textId="77777777" w:rsidR="006E4EF5" w:rsidRPr="005249E3" w:rsidRDefault="006E4EF5" w:rsidP="005249E3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Cash release: DSO reduction, inventory optimization, AP term discipline.</w:t>
      </w:r>
    </w:p>
    <w:p w14:paraId="738A8EE7" w14:textId="77777777" w:rsidR="006E4EF5" w:rsidRPr="005249E3" w:rsidRDefault="006E4EF5" w:rsidP="005249E3">
      <w:pPr>
        <w:pStyle w:val="ListParagraph"/>
        <w:numPr>
          <w:ilvl w:val="0"/>
          <w:numId w:val="16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 xml:space="preserve">FCF durability: realistic maintenance </w:t>
      </w:r>
      <w:proofErr w:type="spellStart"/>
      <w:r w:rsidRPr="005249E3">
        <w:rPr>
          <w:rFonts w:asciiTheme="minorHAnsi" w:hAnsiTheme="minorHAnsi" w:cs="Courier New"/>
          <w:szCs w:val="24"/>
        </w:rPr>
        <w:t>CapEx</w:t>
      </w:r>
      <w:proofErr w:type="spellEnd"/>
      <w:r w:rsidRPr="005249E3">
        <w:rPr>
          <w:rFonts w:asciiTheme="minorHAnsi" w:hAnsiTheme="minorHAnsi" w:cs="Courier New"/>
          <w:szCs w:val="24"/>
        </w:rPr>
        <w:t xml:space="preserve"> planning and better cash conversion.</w:t>
      </w:r>
    </w:p>
    <w:p w14:paraId="15EBC0C8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25993878" w14:textId="40F86FF4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Example recommendation output</w:t>
      </w:r>
    </w:p>
    <w:p w14:paraId="02181383" w14:textId="77777777" w:rsidR="006E4EF5" w:rsidRPr="005249E3" w:rsidRDefault="006E4EF5" w:rsidP="005249E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Finding: Top customer concentration is 31% (high risk).</w:t>
      </w:r>
    </w:p>
    <w:p w14:paraId="70B139BD" w14:textId="77777777" w:rsidR="006E4EF5" w:rsidRPr="005249E3" w:rsidRDefault="006E4EF5" w:rsidP="005249E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 xml:space="preserve">Action plan: Reduce to &lt;22% in 12 months via </w:t>
      </w:r>
      <w:proofErr w:type="gramStart"/>
      <w:r w:rsidRPr="005249E3">
        <w:rPr>
          <w:rFonts w:asciiTheme="minorHAnsi" w:hAnsiTheme="minorHAnsi" w:cs="Courier New"/>
          <w:szCs w:val="24"/>
        </w:rPr>
        <w:t>top-10</w:t>
      </w:r>
      <w:proofErr w:type="gramEnd"/>
      <w:r w:rsidRPr="005249E3">
        <w:rPr>
          <w:rFonts w:asciiTheme="minorHAnsi" w:hAnsiTheme="minorHAnsi" w:cs="Courier New"/>
          <w:szCs w:val="24"/>
        </w:rPr>
        <w:t xml:space="preserve"> account expansion + new logo pipeline.</w:t>
      </w:r>
    </w:p>
    <w:p w14:paraId="5A010DDC" w14:textId="77777777" w:rsidR="006E4EF5" w:rsidRPr="005249E3" w:rsidRDefault="006E4EF5" w:rsidP="005249E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Value logic: Lower concentration risk can improve buyer confidence and support higher multiple.</w:t>
      </w:r>
    </w:p>
    <w:p w14:paraId="757D879C" w14:textId="77777777" w:rsidR="006E4EF5" w:rsidRPr="005249E3" w:rsidRDefault="006E4EF5" w:rsidP="005249E3">
      <w:pPr>
        <w:pStyle w:val="ListParagraph"/>
        <w:numPr>
          <w:ilvl w:val="0"/>
          <w:numId w:val="17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Estimated impact: +0.5x to +1.0x multiple range (confidence: medium).</w:t>
      </w:r>
    </w:p>
    <w:p w14:paraId="5B8CCE48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6BC871F1" w14:textId="6F7E4E40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Owner: CRO</w:t>
      </w:r>
    </w:p>
    <w:p w14:paraId="03C81793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Timeline: 2 quarters to trend change, 4 quarters to full effect.</w:t>
      </w:r>
    </w:p>
    <w:p w14:paraId="2E3D20F8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Practical implementation in your app</w:t>
      </w:r>
    </w:p>
    <w:p w14:paraId="7A269744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  <w:r w:rsidRPr="006E4EF5">
        <w:rPr>
          <w:rFonts w:asciiTheme="minorHAnsi" w:hAnsiTheme="minorHAnsi" w:cs="Courier New"/>
          <w:szCs w:val="24"/>
        </w:rPr>
        <w:t>Add a new panel: Value Creation Recommendations.</w:t>
      </w:r>
    </w:p>
    <w:p w14:paraId="185A2D2E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35860F5A" w14:textId="72509467" w:rsidR="006E4EF5" w:rsidRPr="005249E3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5249E3">
        <w:rPr>
          <w:rFonts w:asciiTheme="minorHAnsi" w:hAnsiTheme="minorHAnsi" w:cs="Courier New"/>
          <w:b/>
          <w:bCs/>
          <w:szCs w:val="24"/>
        </w:rPr>
        <w:t>For each recommendation show:</w:t>
      </w:r>
    </w:p>
    <w:p w14:paraId="7307CF14" w14:textId="43D282B0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What to do</w:t>
      </w:r>
    </w:p>
    <w:p w14:paraId="0DA014E0" w14:textId="77777777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Why now (data evidence)</w:t>
      </w:r>
    </w:p>
    <w:p w14:paraId="514D8A59" w14:textId="77777777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Estimated value impact</w:t>
      </w:r>
    </w:p>
    <w:p w14:paraId="26C16248" w14:textId="77777777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Effort / time / confidence</w:t>
      </w:r>
    </w:p>
    <w:p w14:paraId="63E437D9" w14:textId="77777777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Owner + due date</w:t>
      </w:r>
    </w:p>
    <w:p w14:paraId="453F7BEA" w14:textId="77777777" w:rsidR="006E4EF5" w:rsidRPr="005249E3" w:rsidRDefault="006E4EF5" w:rsidP="005249E3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="Courier New"/>
          <w:szCs w:val="24"/>
        </w:rPr>
      </w:pPr>
      <w:r w:rsidRPr="005249E3">
        <w:rPr>
          <w:rFonts w:asciiTheme="minorHAnsi" w:hAnsiTheme="minorHAnsi" w:cs="Courier New"/>
          <w:szCs w:val="24"/>
        </w:rPr>
        <w:t>Add “simulate impact” toggles (e.g., improve DSO by 10 days) to show potential value change.</w:t>
      </w:r>
    </w:p>
    <w:p w14:paraId="48AAB5DD" w14:textId="77777777" w:rsid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20CED0E4" w14:textId="77777777" w:rsidR="005249E3" w:rsidRDefault="005249E3" w:rsidP="006E4EF5">
      <w:pPr>
        <w:spacing w:after="0" w:line="240" w:lineRule="auto"/>
        <w:contextualSpacing/>
        <w:rPr>
          <w:rFonts w:asciiTheme="minorHAnsi" w:hAnsiTheme="minorHAnsi" w:cs="Courier New"/>
          <w:szCs w:val="24"/>
        </w:rPr>
      </w:pPr>
    </w:p>
    <w:p w14:paraId="61A45F61" w14:textId="77777777" w:rsid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</w:p>
    <w:p w14:paraId="154EB21E" w14:textId="77777777" w:rsidR="005249E3" w:rsidRPr="006E4EF5" w:rsidRDefault="005249E3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</w:p>
    <w:p w14:paraId="79EBE493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docs/VALUE_CREATION_RECOMMENDATIONS_PRD.md</w:t>
      </w:r>
    </w:p>
    <w:p w14:paraId="69ACE186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docs/VALUE_CREATION_RECOMMENDATIONS_CHECKLIST.md</w:t>
      </w:r>
    </w:p>
    <w:p w14:paraId="2854B0EA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They include:</w:t>
      </w:r>
    </w:p>
    <w:p w14:paraId="5413D5AD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</w:p>
    <w:p w14:paraId="17F9316E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Agentic + deterministic hybrid architecture</w:t>
      </w:r>
    </w:p>
    <w:p w14:paraId="4DEA0BCC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Recommendation schema, impact/confidence methodology, prioritization</w:t>
      </w:r>
    </w:p>
    <w:p w14:paraId="26D36BD9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Safety/governance requirements</w:t>
      </w:r>
    </w:p>
    <w:p w14:paraId="17DD3C66" w14:textId="77777777" w:rsidR="006E4EF5" w:rsidRPr="006E4EF5" w:rsidRDefault="006E4EF5" w:rsidP="006E4EF5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Repo-mapped implementation steps (</w:t>
      </w:r>
      <w:proofErr w:type="spellStart"/>
      <w:r w:rsidRPr="006E4EF5">
        <w:rPr>
          <w:rFonts w:asciiTheme="minorHAnsi" w:hAnsiTheme="minorHAnsi" w:cs="Courier New"/>
          <w:b/>
          <w:bCs/>
          <w:szCs w:val="24"/>
        </w:rPr>
        <w:t>prisma</w:t>
      </w:r>
      <w:proofErr w:type="spellEnd"/>
      <w:r w:rsidRPr="006E4EF5">
        <w:rPr>
          <w:rFonts w:asciiTheme="minorHAnsi" w:hAnsiTheme="minorHAnsi" w:cs="Courier New"/>
          <w:b/>
          <w:bCs/>
          <w:szCs w:val="24"/>
        </w:rPr>
        <w:t>, lib, app/api, app/components, app/</w:t>
      </w:r>
      <w:proofErr w:type="spellStart"/>
      <w:r w:rsidRPr="006E4EF5">
        <w:rPr>
          <w:rFonts w:asciiTheme="minorHAnsi" w:hAnsiTheme="minorHAnsi" w:cs="Courier New"/>
          <w:b/>
          <w:bCs/>
          <w:szCs w:val="24"/>
        </w:rPr>
        <w:t>page.tsx</w:t>
      </w:r>
      <w:proofErr w:type="spellEnd"/>
      <w:r w:rsidRPr="006E4EF5">
        <w:rPr>
          <w:rFonts w:asciiTheme="minorHAnsi" w:hAnsiTheme="minorHAnsi" w:cs="Courier New"/>
          <w:b/>
          <w:bCs/>
          <w:szCs w:val="24"/>
        </w:rPr>
        <w:t>)</w:t>
      </w:r>
    </w:p>
    <w:p w14:paraId="24163D7F" w14:textId="70731B1E" w:rsidR="005249E3" w:rsidRPr="005249E3" w:rsidRDefault="006E4EF5" w:rsidP="005249E3">
      <w:pPr>
        <w:spacing w:after="0" w:line="240" w:lineRule="auto"/>
        <w:contextualSpacing/>
        <w:rPr>
          <w:rFonts w:asciiTheme="minorHAnsi" w:hAnsiTheme="minorHAnsi" w:cs="Courier New"/>
          <w:b/>
          <w:bCs/>
          <w:szCs w:val="24"/>
        </w:rPr>
      </w:pPr>
      <w:r w:rsidRPr="006E4EF5">
        <w:rPr>
          <w:rFonts w:asciiTheme="minorHAnsi" w:hAnsiTheme="minorHAnsi" w:cs="Courier New"/>
          <w:b/>
          <w:bCs/>
          <w:szCs w:val="24"/>
        </w:rPr>
        <w:t>Testing, rollout, and definition of don</w:t>
      </w:r>
    </w:p>
    <w:sectPr w:rsidR="005249E3" w:rsidRPr="005249E3" w:rsidSect="0019256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5F5A"/>
    <w:multiLevelType w:val="hybridMultilevel"/>
    <w:tmpl w:val="AB5E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947C0"/>
    <w:multiLevelType w:val="hybridMultilevel"/>
    <w:tmpl w:val="BB683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C6835"/>
    <w:multiLevelType w:val="hybridMultilevel"/>
    <w:tmpl w:val="168A2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50F77"/>
    <w:multiLevelType w:val="hybridMultilevel"/>
    <w:tmpl w:val="8D9ABC44"/>
    <w:lvl w:ilvl="0" w:tplc="18283250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342C8"/>
    <w:multiLevelType w:val="hybridMultilevel"/>
    <w:tmpl w:val="7310A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4A5E78"/>
    <w:multiLevelType w:val="hybridMultilevel"/>
    <w:tmpl w:val="E806BA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15E1FFC"/>
    <w:multiLevelType w:val="hybridMultilevel"/>
    <w:tmpl w:val="C720953C"/>
    <w:lvl w:ilvl="0" w:tplc="C1429BBA">
      <w:numFmt w:val="bullet"/>
      <w:lvlText w:val="-"/>
      <w:lvlJc w:val="left"/>
      <w:pPr>
        <w:ind w:left="465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38455D3A"/>
    <w:multiLevelType w:val="hybridMultilevel"/>
    <w:tmpl w:val="A76C5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7E79EE">
      <w:numFmt w:val="bullet"/>
      <w:lvlText w:val="-"/>
      <w:lvlJc w:val="left"/>
      <w:pPr>
        <w:ind w:left="1440" w:hanging="360"/>
      </w:pPr>
      <w:rPr>
        <w:rFonts w:ascii="Aptos" w:eastAsiaTheme="minorHAnsi" w:hAnsi="Aptos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C7B0B"/>
    <w:multiLevelType w:val="hybridMultilevel"/>
    <w:tmpl w:val="B498BFC4"/>
    <w:lvl w:ilvl="0" w:tplc="7CC6513A">
      <w:numFmt w:val="bullet"/>
      <w:lvlText w:val="-"/>
      <w:lvlJc w:val="left"/>
      <w:pPr>
        <w:ind w:left="720" w:hanging="360"/>
      </w:pPr>
      <w:rPr>
        <w:rFonts w:ascii="Aptos" w:eastAsiaTheme="minorHAnsi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081850"/>
    <w:multiLevelType w:val="hybridMultilevel"/>
    <w:tmpl w:val="F2AC6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424B4C"/>
    <w:multiLevelType w:val="hybridMultilevel"/>
    <w:tmpl w:val="27C4D49A"/>
    <w:lvl w:ilvl="0" w:tplc="04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967C93C0">
      <w:numFmt w:val="bullet"/>
      <w:lvlText w:val="-"/>
      <w:lvlJc w:val="left"/>
      <w:pPr>
        <w:ind w:left="1185" w:hanging="360"/>
      </w:pPr>
      <w:rPr>
        <w:rFonts w:ascii="Aptos" w:eastAsiaTheme="minorHAnsi" w:hAnsi="Aptos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1" w15:restartNumberingAfterBreak="0">
    <w:nsid w:val="4D3A001C"/>
    <w:multiLevelType w:val="hybridMultilevel"/>
    <w:tmpl w:val="BB728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E81068"/>
    <w:multiLevelType w:val="hybridMultilevel"/>
    <w:tmpl w:val="38E2C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291C3A"/>
    <w:multiLevelType w:val="hybridMultilevel"/>
    <w:tmpl w:val="357EB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42345"/>
    <w:multiLevelType w:val="hybridMultilevel"/>
    <w:tmpl w:val="A31A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0F5BF6"/>
    <w:multiLevelType w:val="hybridMultilevel"/>
    <w:tmpl w:val="5190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0F6B64"/>
    <w:multiLevelType w:val="hybridMultilevel"/>
    <w:tmpl w:val="EE78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A2BCA"/>
    <w:multiLevelType w:val="hybridMultilevel"/>
    <w:tmpl w:val="2A78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7649873">
    <w:abstractNumId w:val="14"/>
  </w:num>
  <w:num w:numId="2" w16cid:durableId="1729038264">
    <w:abstractNumId w:val="8"/>
  </w:num>
  <w:num w:numId="3" w16cid:durableId="1086338836">
    <w:abstractNumId w:val="7"/>
  </w:num>
  <w:num w:numId="4" w16cid:durableId="1595481919">
    <w:abstractNumId w:val="15"/>
  </w:num>
  <w:num w:numId="5" w16cid:durableId="1230459012">
    <w:abstractNumId w:val="3"/>
  </w:num>
  <w:num w:numId="6" w16cid:durableId="825246243">
    <w:abstractNumId w:val="16"/>
  </w:num>
  <w:num w:numId="7" w16cid:durableId="273562757">
    <w:abstractNumId w:val="0"/>
  </w:num>
  <w:num w:numId="8" w16cid:durableId="674693492">
    <w:abstractNumId w:val="6"/>
  </w:num>
  <w:num w:numId="9" w16cid:durableId="1845242373">
    <w:abstractNumId w:val="10"/>
  </w:num>
  <w:num w:numId="10" w16cid:durableId="726344778">
    <w:abstractNumId w:val="12"/>
  </w:num>
  <w:num w:numId="11" w16cid:durableId="1299068525">
    <w:abstractNumId w:val="2"/>
  </w:num>
  <w:num w:numId="12" w16cid:durableId="1942713379">
    <w:abstractNumId w:val="1"/>
  </w:num>
  <w:num w:numId="13" w16cid:durableId="449855757">
    <w:abstractNumId w:val="11"/>
  </w:num>
  <w:num w:numId="14" w16cid:durableId="1863546852">
    <w:abstractNumId w:val="5"/>
  </w:num>
  <w:num w:numId="15" w16cid:durableId="1939364629">
    <w:abstractNumId w:val="17"/>
  </w:num>
  <w:num w:numId="16" w16cid:durableId="1173028901">
    <w:abstractNumId w:val="9"/>
  </w:num>
  <w:num w:numId="17" w16cid:durableId="314341127">
    <w:abstractNumId w:val="4"/>
  </w:num>
  <w:num w:numId="18" w16cid:durableId="25598508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B3"/>
    <w:rsid w:val="00072EFB"/>
    <w:rsid w:val="000C47B1"/>
    <w:rsid w:val="001067EA"/>
    <w:rsid w:val="00192562"/>
    <w:rsid w:val="002B3D95"/>
    <w:rsid w:val="005249E3"/>
    <w:rsid w:val="00652090"/>
    <w:rsid w:val="006E4EF5"/>
    <w:rsid w:val="009521B3"/>
    <w:rsid w:val="00D9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13D70"/>
  <w15:chartTrackingRefBased/>
  <w15:docId w15:val="{18239F62-FB08-47E4-85DD-826D2B3D5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Times New Roman"/>
        <w:sz w:val="24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925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92562"/>
    <w:rPr>
      <w:rFonts w:ascii="Consolas" w:hAnsi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5249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1289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Buck</dc:creator>
  <cp:keywords/>
  <dc:description/>
  <cp:lastModifiedBy>Steve Buck</cp:lastModifiedBy>
  <cp:revision>3</cp:revision>
  <dcterms:created xsi:type="dcterms:W3CDTF">2026-03-14T04:03:00Z</dcterms:created>
  <dcterms:modified xsi:type="dcterms:W3CDTF">2026-03-14T15:27:00Z</dcterms:modified>
</cp:coreProperties>
</file>