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AF90183" w14:textId="77777777" w:rsidR="009E76FB" w:rsidRDefault="009E76FB" w:rsidP="009E76FB">
      <w:pPr>
        <w:pStyle w:val="BodyMS"/>
        <w:ind w:left="-90"/>
      </w:pPr>
      <w:r>
        <w:rPr>
          <w:noProof/>
        </w:rPr>
        <mc:AlternateContent>
          <mc:Choice Requires="wps">
            <w:drawing>
              <wp:anchor distT="45720" distB="45720" distL="114300" distR="114300" simplePos="0" relativeHeight="251660288" behindDoc="0" locked="0" layoutInCell="1" allowOverlap="1" wp14:anchorId="17368EF5" wp14:editId="30534873">
                <wp:simplePos x="0" y="0"/>
                <wp:positionH relativeFrom="column">
                  <wp:posOffset>-723900</wp:posOffset>
                </wp:positionH>
                <wp:positionV relativeFrom="paragraph">
                  <wp:posOffset>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7A4D196B" w14:textId="77777777" w:rsidR="009E76FB" w:rsidRDefault="009E76FB" w:rsidP="009E76FB">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AD50498" w14:textId="77777777" w:rsidR="009E76FB"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Lab 1 </w:t>
                            </w:r>
                          </w:p>
                          <w:p w14:paraId="591E3C9E" w14:textId="6FDFE1AE" w:rsidR="009E76FB" w:rsidRPr="00C3337C"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Deploying the Azure Remote Monitoring Solution</w:t>
                            </w:r>
                          </w:p>
                          <w:p w14:paraId="78086DE9" w14:textId="77777777" w:rsidR="009E76FB" w:rsidRDefault="009E76FB" w:rsidP="009E76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68EF5" id="_x0000_t202" coordsize="21600,21600" o:spt="202" path="m,l,21600r21600,l21600,xe">
                <v:stroke joinstyle="miter"/>
                <v:path gradientshapeok="t" o:connecttype="rect"/>
              </v:shapetype>
              <v:shape id="Text Box 2" o:spid="_x0000_s1026" type="#_x0000_t202" style="position:absolute;left:0;text-align:left;margin-left:-57pt;margin-top:0;width:306.5pt;height:12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KB//E3eAAAACQEAAA8AAABkcnMvZG93bnJldi54bWxMj0FPwzAMhe9I/IfISNy2pFOHSFd3QiCu&#10;IDZA2i1rsraicaomW8u/x5zgYtl6T8/fK7ez78XFjbELhJAtFQhHdbAdNQjv++fFPYiYDFnTB3II&#10;3y7Ctrq+Kk1hw0Rv7rJLjeAQioVBaFMaCilj3Tpv4jIMjlg7hdGbxOfYSDuaicN9L1dK3UlvOuIP&#10;rRncY+vqr93ZI3y8nA6fuXptnvx6mMKsJHktEW9v5ocNiOTm9GeGX3xGh4qZjuFMNooeYZFlOZdJ&#10;CDxZz7Xm5YiwWmsNsirl/wbVDwAAAP//AwBQSwECLQAUAAYACAAAACEAtoM4kv4AAADhAQAAEwAA&#10;AAAAAAAAAAAAAAAAAAAAW0NvbnRlbnRfVHlwZXNdLnhtbFBLAQItABQABgAIAAAAIQA4/SH/1gAA&#10;AJQBAAALAAAAAAAAAAAAAAAAAC8BAABfcmVscy8ucmVsc1BLAQItABQABgAIAAAAIQC7qmZFDQIA&#10;APUDAAAOAAAAAAAAAAAAAAAAAC4CAABkcnMvZTJvRG9jLnhtbFBLAQItABQABgAIAAAAIQCgf/xN&#10;3gAAAAkBAAAPAAAAAAAAAAAAAAAAAGcEAABkcnMvZG93bnJldi54bWxQSwUGAAAAAAQABADzAAAA&#10;cgUAAAAA&#10;" filled="f" stroked="f">
                <v:textbox>
                  <w:txbxContent>
                    <w:p w14:paraId="7A4D196B" w14:textId="77777777" w:rsidR="009E76FB" w:rsidRDefault="009E76FB" w:rsidP="009E76FB">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AD50498" w14:textId="77777777" w:rsidR="009E76FB"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Lab 1 </w:t>
                      </w:r>
                    </w:p>
                    <w:p w14:paraId="591E3C9E" w14:textId="6FDFE1AE" w:rsidR="009E76FB" w:rsidRPr="00C3337C"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Deploying the Azure Remote Monitoring Solution</w:t>
                      </w:r>
                    </w:p>
                    <w:p w14:paraId="78086DE9" w14:textId="77777777" w:rsidR="009E76FB" w:rsidRDefault="009E76FB" w:rsidP="009E76FB"/>
                  </w:txbxContent>
                </v:textbox>
                <w10:wrap type="square"/>
              </v:shape>
            </w:pict>
          </mc:Fallback>
        </mc:AlternateContent>
      </w:r>
      <w:r w:rsidRPr="00733005">
        <w:rPr>
          <w:noProof/>
        </w:rPr>
        <mc:AlternateContent>
          <mc:Choice Requires="wps">
            <w:drawing>
              <wp:anchor distT="0" distB="0" distL="114300" distR="114300" simplePos="0" relativeHeight="251659264" behindDoc="0" locked="0" layoutInCell="1" allowOverlap="1" wp14:anchorId="43916AD5" wp14:editId="3CBC3B4E">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5F4031FE" w14:textId="77777777" w:rsidR="009E76FB" w:rsidRPr="001C34A6" w:rsidRDefault="009E76FB" w:rsidP="009E76FB">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6AD5" id="Rectangle 8" o:spid="_x0000_s1027" style="position:absolute;left:0;text-align:left;margin-left:0;margin-top:-19.4pt;width:288.75pt;height:141.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5F4031FE" w14:textId="77777777" w:rsidR="009E76FB" w:rsidRPr="001C34A6" w:rsidRDefault="009E76FB" w:rsidP="009E76FB">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Pr="00131C0D">
        <w:rPr>
          <w:noProof/>
          <w:lang w:eastAsia="pt-PT"/>
        </w:rPr>
        <w:t xml:space="preserve"> </w:t>
      </w:r>
      <w:r>
        <w:rPr>
          <w:noProof/>
        </w:rPr>
        <w:drawing>
          <wp:anchor distT="0" distB="0" distL="114300" distR="114300" simplePos="0" relativeHeight="251664384" behindDoc="0" locked="0" layoutInCell="1" allowOverlap="1" wp14:anchorId="1C3BF595" wp14:editId="43490B3A">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4408F74" wp14:editId="1BCC37C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Pr>
          <w:noProof/>
        </w:rPr>
        <w:drawing>
          <wp:anchor distT="0" distB="0" distL="114300" distR="114300" simplePos="0" relativeHeight="251662336" behindDoc="0" locked="0" layoutInCell="1" allowOverlap="1" wp14:anchorId="048375BA" wp14:editId="42482428">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Pr>
          <w:noProof/>
        </w:rPr>
        <w:drawing>
          <wp:anchor distT="0" distB="0" distL="114300" distR="114300" simplePos="0" relativeHeight="251661312" behindDoc="0" locked="0" layoutInCell="1" allowOverlap="1" wp14:anchorId="649FE639" wp14:editId="655014C9">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4DBBE577" w14:textId="77777777" w:rsidR="009E76FB" w:rsidRDefault="009E76FB" w:rsidP="009E76FB">
      <w:pPr>
        <w:pStyle w:val="BodyMS"/>
      </w:pPr>
    </w:p>
    <w:p w14:paraId="3C5EEF21" w14:textId="77777777" w:rsidR="009E76FB" w:rsidRDefault="009E76FB" w:rsidP="009E76FB">
      <w:pPr>
        <w:pStyle w:val="BodyMS"/>
        <w:sectPr w:rsidR="009E76FB" w:rsidSect="000471EE">
          <w:headerReference w:type="default" r:id="rId9"/>
          <w:footerReference w:type="default" r:id="rId10"/>
          <w:pgSz w:w="11907" w:h="16839" w:code="9"/>
          <w:pgMar w:top="2520" w:right="1440" w:bottom="1440" w:left="1440" w:header="1152" w:footer="720" w:gutter="0"/>
          <w:cols w:space="720"/>
          <w:docGrid w:linePitch="360"/>
        </w:sectPr>
      </w:pPr>
    </w:p>
    <w:p w14:paraId="2108AA38" w14:textId="77777777" w:rsidR="009E76FB" w:rsidRDefault="009E76FB" w:rsidP="009E76FB">
      <w:bookmarkStart w:id="1" w:name="_top"/>
      <w:bookmarkEnd w:id="1"/>
    </w:p>
    <w:p w14:paraId="6476E907" w14:textId="77777777" w:rsidR="009E76FB" w:rsidRDefault="009E76FB" w:rsidP="009E76FB"/>
    <w:p w14:paraId="40D6A4B5" w14:textId="77777777" w:rsidR="009E76FB" w:rsidRDefault="009E76FB" w:rsidP="009E76FB"/>
    <w:p w14:paraId="05799491" w14:textId="77777777" w:rsidR="009E76FB" w:rsidRDefault="009E76FB" w:rsidP="009E76FB"/>
    <w:p w14:paraId="244525DE" w14:textId="77777777" w:rsidR="009E76FB" w:rsidRDefault="009E76FB" w:rsidP="009E76FB"/>
    <w:p w14:paraId="0BCA690E" w14:textId="77777777" w:rsidR="009E76FB" w:rsidRDefault="009E76FB" w:rsidP="009E76FB"/>
    <w:p w14:paraId="6F2CE26C" w14:textId="77777777" w:rsidR="009E76FB" w:rsidRDefault="009E76FB" w:rsidP="009E76FB"/>
    <w:p w14:paraId="27F74D1C" w14:textId="77777777" w:rsidR="009E76FB" w:rsidRDefault="009E76FB" w:rsidP="009E76FB"/>
    <w:p w14:paraId="5555F905" w14:textId="77777777" w:rsidR="009E76FB" w:rsidRDefault="009E76FB" w:rsidP="009E76FB"/>
    <w:p w14:paraId="5E3F2A74" w14:textId="77777777" w:rsidR="009E76FB" w:rsidRDefault="009E76FB" w:rsidP="009E76FB"/>
    <w:p w14:paraId="384C84B9" w14:textId="77777777" w:rsidR="009E76FB" w:rsidRDefault="009E76FB" w:rsidP="009E76FB"/>
    <w:p w14:paraId="6A8C8C37" w14:textId="77777777" w:rsidR="009E76FB" w:rsidRDefault="009E76FB" w:rsidP="009E76FB"/>
    <w:p w14:paraId="2CEC001C" w14:textId="77777777" w:rsidR="009E76FB" w:rsidRDefault="009E76FB" w:rsidP="009E76FB"/>
    <w:p w14:paraId="74CCFBC0" w14:textId="77777777" w:rsidR="009E76FB" w:rsidRDefault="009E76FB" w:rsidP="009E76FB"/>
    <w:p w14:paraId="76E2DCD3" w14:textId="77777777" w:rsidR="009E76FB" w:rsidRDefault="009E76FB" w:rsidP="009E76FB"/>
    <w:p w14:paraId="783E7007" w14:textId="77777777" w:rsidR="009E76FB" w:rsidRPr="00E33DB1" w:rsidRDefault="009E76FB" w:rsidP="009E76FB">
      <w:pPr>
        <w:tabs>
          <w:tab w:val="left" w:pos="7380"/>
        </w:tabs>
        <w:spacing w:after="0" w:line="240" w:lineRule="auto"/>
        <w:ind w:right="-963"/>
      </w:pPr>
      <w:r w:rsidRPr="00E33DB1">
        <w:br w:type="page"/>
      </w:r>
    </w:p>
    <w:p w14:paraId="0E5CB39B" w14:textId="77777777" w:rsidR="009E76FB" w:rsidRDefault="009E76FB" w:rsidP="009E76FB">
      <w:pPr>
        <w:pStyle w:val="Heading1MS"/>
        <w:spacing w:before="0" w:after="240" w:line="240" w:lineRule="auto"/>
      </w:pPr>
      <w:bookmarkStart w:id="2" w:name="_Toc461746209"/>
      <w:bookmarkStart w:id="3" w:name="_Toc461746298"/>
      <w:r>
        <w:lastRenderedPageBreak/>
        <w:t>Change Record</w:t>
      </w:r>
      <w:bookmarkEnd w:id="2"/>
      <w:bookmarkEnd w:id="3"/>
    </w:p>
    <w:tbl>
      <w:tblPr>
        <w:tblStyle w:val="MSTableStyle2"/>
        <w:tblW w:w="8915" w:type="dxa"/>
        <w:tblInd w:w="90" w:type="dxa"/>
        <w:tblLook w:val="00A0" w:firstRow="1" w:lastRow="0" w:firstColumn="1" w:lastColumn="0" w:noHBand="0" w:noVBand="0"/>
      </w:tblPr>
      <w:tblGrid>
        <w:gridCol w:w="1722"/>
        <w:gridCol w:w="1722"/>
        <w:gridCol w:w="1722"/>
        <w:gridCol w:w="3749"/>
      </w:tblGrid>
      <w:tr w:rsidR="009E76FB" w:rsidRPr="00CF7E6A" w14:paraId="1289EAC4" w14:textId="77777777" w:rsidTr="009E76F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15630CEA"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13F32B0D"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72C7547B"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6400ECD1"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9E76FB" w:rsidRPr="00CF7E6A" w14:paraId="686DE9B7" w14:textId="77777777" w:rsidTr="009E76FB">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500016B4" w14:textId="176B7BD0" w:rsidR="009E76FB" w:rsidRPr="00CF7E6A" w:rsidRDefault="009E76FB" w:rsidP="0067394A">
            <w:pPr>
              <w:ind w:hanging="13"/>
              <w:jc w:val="center"/>
            </w:pPr>
            <w:r>
              <w:t>9/15/2016</w:t>
            </w:r>
          </w:p>
        </w:tc>
        <w:tc>
          <w:tcPr>
            <w:tcW w:w="1722" w:type="dxa"/>
            <w:vAlign w:val="center"/>
          </w:tcPr>
          <w:p w14:paraId="2E73C564" w14:textId="2C3B1953" w:rsidR="009E76FB" w:rsidRPr="00CF7E6A" w:rsidRDefault="009E76FB" w:rsidP="0067394A">
            <w:pPr>
              <w:ind w:hanging="25"/>
              <w:jc w:val="center"/>
            </w:pPr>
            <w:r>
              <w:t>Steve Busby</w:t>
            </w:r>
          </w:p>
        </w:tc>
        <w:tc>
          <w:tcPr>
            <w:tcW w:w="1722" w:type="dxa"/>
            <w:vAlign w:val="center"/>
          </w:tcPr>
          <w:p w14:paraId="2A686A8A" w14:textId="77777777" w:rsidR="009E76FB" w:rsidRPr="00CF7E6A" w:rsidRDefault="009E76FB" w:rsidP="0067394A">
            <w:pPr>
              <w:jc w:val="center"/>
            </w:pPr>
            <w:r>
              <w:t>1.0</w:t>
            </w:r>
          </w:p>
        </w:tc>
        <w:tc>
          <w:tcPr>
            <w:tcW w:w="3749" w:type="dxa"/>
            <w:vAlign w:val="center"/>
          </w:tcPr>
          <w:p w14:paraId="02CC087A" w14:textId="77777777" w:rsidR="009E76FB" w:rsidRPr="00187F6A" w:rsidRDefault="009E76FB" w:rsidP="0067394A">
            <w:pPr>
              <w:jc w:val="center"/>
              <w:rPr>
                <w:lang w:val="en-US"/>
              </w:rPr>
            </w:pPr>
            <w:r>
              <w:rPr>
                <w:lang w:val="en-US"/>
              </w:rPr>
              <w:t>Initial draft</w:t>
            </w:r>
          </w:p>
        </w:tc>
      </w:tr>
    </w:tbl>
    <w:p w14:paraId="5B766D6E" w14:textId="77777777" w:rsidR="009E76FB" w:rsidRPr="008C2FE3" w:rsidRDefault="009E76FB" w:rsidP="009E76FB">
      <w:pPr>
        <w:pStyle w:val="BodyMS"/>
        <w:spacing w:before="0" w:after="0" w:line="240" w:lineRule="auto"/>
      </w:pPr>
    </w:p>
    <w:p w14:paraId="69510ABF" w14:textId="77777777" w:rsidR="009E76FB" w:rsidRDefault="009E76FB" w:rsidP="009E76FB">
      <w:pPr>
        <w:pStyle w:val="BodyMS"/>
        <w:spacing w:before="0" w:after="0" w:line="240" w:lineRule="auto"/>
        <w:rPr>
          <w:noProof/>
        </w:rPr>
      </w:pPr>
    </w:p>
    <w:p w14:paraId="65162FE7" w14:textId="77777777" w:rsidR="009E76FB" w:rsidRDefault="009E76FB" w:rsidP="009E76FB">
      <w:pPr>
        <w:pStyle w:val="BodyMS"/>
        <w:spacing w:before="0" w:after="0" w:line="240" w:lineRule="auto"/>
        <w:rPr>
          <w:noProof/>
        </w:rPr>
      </w:pPr>
    </w:p>
    <w:p w14:paraId="1F38AE0D" w14:textId="77777777" w:rsidR="009E76FB" w:rsidRDefault="009E76FB" w:rsidP="009E76FB">
      <w:pPr>
        <w:pStyle w:val="BodyMS"/>
        <w:spacing w:before="0" w:after="0" w:line="240" w:lineRule="auto"/>
        <w:rPr>
          <w:noProof/>
        </w:rPr>
      </w:pPr>
    </w:p>
    <w:p w14:paraId="5C79E93C" w14:textId="77777777" w:rsidR="009E76FB" w:rsidRDefault="009E76FB" w:rsidP="009E76FB">
      <w:pPr>
        <w:pStyle w:val="BodyMS"/>
        <w:spacing w:before="0" w:after="0" w:line="240" w:lineRule="auto"/>
        <w:rPr>
          <w:noProof/>
        </w:rPr>
      </w:pPr>
    </w:p>
    <w:p w14:paraId="4BF58BB2" w14:textId="77777777" w:rsidR="009E76FB" w:rsidRDefault="009E76FB" w:rsidP="009E76FB">
      <w:pPr>
        <w:pStyle w:val="BodyMS"/>
        <w:spacing w:before="0" w:after="0" w:line="240" w:lineRule="auto"/>
        <w:rPr>
          <w:noProof/>
        </w:rPr>
      </w:pPr>
    </w:p>
    <w:p w14:paraId="25FD10E5" w14:textId="77777777" w:rsidR="009E76FB" w:rsidRDefault="009E76FB" w:rsidP="009E76FB">
      <w:pPr>
        <w:pStyle w:val="BodyMS"/>
        <w:spacing w:before="0" w:after="0" w:line="240" w:lineRule="auto"/>
        <w:rPr>
          <w:noProof/>
        </w:rPr>
      </w:pPr>
    </w:p>
    <w:p w14:paraId="787DE3E0" w14:textId="77777777" w:rsidR="009E76FB" w:rsidRDefault="009E76FB" w:rsidP="009E76FB">
      <w:pPr>
        <w:pStyle w:val="BodyMS"/>
        <w:spacing w:before="0" w:after="0" w:line="240" w:lineRule="auto"/>
        <w:rPr>
          <w:noProof/>
        </w:rPr>
      </w:pPr>
    </w:p>
    <w:p w14:paraId="109BFB8B" w14:textId="77777777" w:rsidR="009E76FB" w:rsidRDefault="009E76FB" w:rsidP="009E76FB">
      <w:pPr>
        <w:pStyle w:val="BodyMS"/>
        <w:spacing w:before="0" w:after="0" w:line="240" w:lineRule="auto"/>
        <w:rPr>
          <w:noProof/>
        </w:rPr>
      </w:pPr>
    </w:p>
    <w:p w14:paraId="4B0DBE04" w14:textId="77777777" w:rsidR="009E76FB" w:rsidRDefault="009E76FB" w:rsidP="009E76FB">
      <w:pPr>
        <w:pStyle w:val="BodyMS"/>
        <w:spacing w:before="0" w:after="0" w:line="240" w:lineRule="auto"/>
        <w:rPr>
          <w:noProof/>
        </w:rPr>
      </w:pPr>
    </w:p>
    <w:p w14:paraId="693F73F8" w14:textId="77777777" w:rsidR="009E76FB" w:rsidRDefault="009E76FB" w:rsidP="009E76FB">
      <w:pPr>
        <w:pStyle w:val="BodyMS"/>
        <w:spacing w:before="0" w:after="0" w:line="240" w:lineRule="auto"/>
        <w:rPr>
          <w:noProof/>
        </w:rPr>
      </w:pPr>
    </w:p>
    <w:p w14:paraId="4250ED1A" w14:textId="77777777" w:rsidR="009E76FB" w:rsidRPr="00606606" w:rsidRDefault="009E76FB" w:rsidP="009E76FB"/>
    <w:p w14:paraId="35A4C986" w14:textId="77777777" w:rsidR="009E76FB" w:rsidRPr="00606606" w:rsidRDefault="009E76FB" w:rsidP="009E76FB"/>
    <w:p w14:paraId="0DD3F3AC" w14:textId="77777777" w:rsidR="009E76FB" w:rsidRPr="00606606" w:rsidRDefault="009E76FB" w:rsidP="009E76FB"/>
    <w:p w14:paraId="1737C6BB" w14:textId="77777777" w:rsidR="009E76FB" w:rsidRPr="00606606" w:rsidRDefault="009E76FB" w:rsidP="009E76FB"/>
    <w:p w14:paraId="51CFC515" w14:textId="77777777" w:rsidR="009E76FB" w:rsidRPr="00606606" w:rsidRDefault="009E76FB" w:rsidP="009E76FB"/>
    <w:p w14:paraId="2AC8859B" w14:textId="77777777" w:rsidR="009E76FB" w:rsidRPr="00606606" w:rsidRDefault="009E76FB" w:rsidP="009E76FB">
      <w:pPr>
        <w:jc w:val="center"/>
      </w:pPr>
    </w:p>
    <w:p w14:paraId="69BA5004" w14:textId="77777777" w:rsidR="009E76FB" w:rsidRPr="00E818B2" w:rsidRDefault="009E76FB" w:rsidP="009E76FB">
      <w:pPr>
        <w:pStyle w:val="TOCFigListTableListHeadingMS"/>
        <w:spacing w:before="0" w:after="240" w:line="240" w:lineRule="auto"/>
        <w:rPr>
          <w:rFonts w:cs="Segoe UI Light"/>
        </w:rPr>
      </w:pPr>
      <w:bookmarkStart w:id="4" w:name="_Toc461746299"/>
      <w:r w:rsidRPr="00E818B2">
        <w:rPr>
          <w:rFonts w:cs="Segoe UI Light"/>
        </w:rPr>
        <w:lastRenderedPageBreak/>
        <w:t>Table of Contents</w:t>
      </w:r>
      <w:bookmarkEnd w:id="4"/>
    </w:p>
    <w:sdt>
      <w:sdtPr>
        <w:rPr>
          <w:rFonts w:asciiTheme="minorHAnsi" w:eastAsiaTheme="minorHAnsi" w:hAnsiTheme="minorHAnsi" w:cstheme="minorBidi"/>
          <w:color w:val="auto"/>
          <w:sz w:val="22"/>
          <w:szCs w:val="22"/>
        </w:rPr>
        <w:id w:val="816613004"/>
        <w:docPartObj>
          <w:docPartGallery w:val="Table of Contents"/>
          <w:docPartUnique/>
        </w:docPartObj>
      </w:sdtPr>
      <w:sdtEndPr>
        <w:rPr>
          <w:b/>
          <w:bCs/>
          <w:noProof/>
        </w:rPr>
      </w:sdtEndPr>
      <w:sdtContent>
        <w:p w14:paraId="50BA5112" w14:textId="1902B7EA" w:rsidR="00B60591" w:rsidRDefault="00B60591">
          <w:pPr>
            <w:pStyle w:val="TOCHeading"/>
          </w:pPr>
          <w:r>
            <w:t>Contents</w:t>
          </w:r>
        </w:p>
        <w:p w14:paraId="7F370E85" w14:textId="0E15D0E4" w:rsidR="00B60591" w:rsidRDefault="00B60591">
          <w:pPr>
            <w:pStyle w:val="TOC1"/>
            <w:rPr>
              <w:rFonts w:asciiTheme="minorHAnsi" w:eastAsiaTheme="minorEastAsia" w:hAnsiTheme="minorHAnsi"/>
              <w:color w:val="auto"/>
              <w:sz w:val="22"/>
              <w:szCs w:val="22"/>
            </w:rPr>
          </w:pPr>
          <w:r>
            <w:fldChar w:fldCharType="begin"/>
          </w:r>
          <w:r>
            <w:instrText xml:space="preserve"> TOC \o "1-3" \h \z \u </w:instrText>
          </w:r>
          <w:r>
            <w:fldChar w:fldCharType="separate"/>
          </w:r>
          <w:hyperlink w:anchor="_Toc461746298" w:history="1">
            <w:r w:rsidRPr="005D041C">
              <w:rPr>
                <w:rStyle w:val="Hyperlink"/>
              </w:rPr>
              <w:t>Change Record</w:t>
            </w:r>
            <w:r>
              <w:rPr>
                <w:webHidden/>
              </w:rPr>
              <w:tab/>
            </w:r>
            <w:r>
              <w:rPr>
                <w:webHidden/>
              </w:rPr>
              <w:fldChar w:fldCharType="begin"/>
            </w:r>
            <w:r>
              <w:rPr>
                <w:webHidden/>
              </w:rPr>
              <w:instrText xml:space="preserve"> PAGEREF _Toc461746298 \h </w:instrText>
            </w:r>
            <w:r>
              <w:rPr>
                <w:webHidden/>
              </w:rPr>
            </w:r>
            <w:r>
              <w:rPr>
                <w:webHidden/>
              </w:rPr>
              <w:fldChar w:fldCharType="separate"/>
            </w:r>
            <w:r>
              <w:rPr>
                <w:webHidden/>
              </w:rPr>
              <w:t>3</w:t>
            </w:r>
            <w:r>
              <w:rPr>
                <w:webHidden/>
              </w:rPr>
              <w:fldChar w:fldCharType="end"/>
            </w:r>
          </w:hyperlink>
        </w:p>
        <w:p w14:paraId="7E34FAD9" w14:textId="2ABE8A3A" w:rsidR="00B60591" w:rsidRDefault="00DA556A">
          <w:pPr>
            <w:pStyle w:val="TOC1"/>
            <w:rPr>
              <w:rFonts w:asciiTheme="minorHAnsi" w:eastAsiaTheme="minorEastAsia" w:hAnsiTheme="minorHAnsi"/>
              <w:color w:val="auto"/>
              <w:sz w:val="22"/>
              <w:szCs w:val="22"/>
            </w:rPr>
          </w:pPr>
          <w:hyperlink w:anchor="_Toc461746299" w:history="1">
            <w:r w:rsidR="00B60591" w:rsidRPr="005D041C">
              <w:rPr>
                <w:rStyle w:val="Hyperlink"/>
                <w:rFonts w:cs="Segoe UI Light"/>
              </w:rPr>
              <w:t>Table of Contents</w:t>
            </w:r>
            <w:r w:rsidR="00B60591">
              <w:rPr>
                <w:webHidden/>
              </w:rPr>
              <w:tab/>
            </w:r>
            <w:r w:rsidR="00B60591">
              <w:rPr>
                <w:webHidden/>
              </w:rPr>
              <w:fldChar w:fldCharType="begin"/>
            </w:r>
            <w:r w:rsidR="00B60591">
              <w:rPr>
                <w:webHidden/>
              </w:rPr>
              <w:instrText xml:space="preserve"> PAGEREF _Toc461746299 \h </w:instrText>
            </w:r>
            <w:r w:rsidR="00B60591">
              <w:rPr>
                <w:webHidden/>
              </w:rPr>
            </w:r>
            <w:r w:rsidR="00B60591">
              <w:rPr>
                <w:webHidden/>
              </w:rPr>
              <w:fldChar w:fldCharType="separate"/>
            </w:r>
            <w:r w:rsidR="00B60591">
              <w:rPr>
                <w:webHidden/>
              </w:rPr>
              <w:t>4</w:t>
            </w:r>
            <w:r w:rsidR="00B60591">
              <w:rPr>
                <w:webHidden/>
              </w:rPr>
              <w:fldChar w:fldCharType="end"/>
            </w:r>
          </w:hyperlink>
        </w:p>
        <w:p w14:paraId="518864D2" w14:textId="2EDF4059" w:rsidR="00B60591" w:rsidRDefault="00DA556A">
          <w:pPr>
            <w:pStyle w:val="TOC1"/>
            <w:rPr>
              <w:rFonts w:asciiTheme="minorHAnsi" w:eastAsiaTheme="minorEastAsia" w:hAnsiTheme="minorHAnsi"/>
              <w:color w:val="auto"/>
              <w:sz w:val="22"/>
              <w:szCs w:val="22"/>
            </w:rPr>
          </w:pPr>
          <w:hyperlink w:anchor="_Toc461746300" w:history="1">
            <w:r w:rsidR="00B60591" w:rsidRPr="005D041C">
              <w:rPr>
                <w:rStyle w:val="Hyperlink"/>
              </w:rPr>
              <w:t>Introduction</w:t>
            </w:r>
            <w:r w:rsidR="00B60591">
              <w:rPr>
                <w:webHidden/>
              </w:rPr>
              <w:tab/>
            </w:r>
            <w:r w:rsidR="00B60591">
              <w:rPr>
                <w:webHidden/>
              </w:rPr>
              <w:fldChar w:fldCharType="begin"/>
            </w:r>
            <w:r w:rsidR="00B60591">
              <w:rPr>
                <w:webHidden/>
              </w:rPr>
              <w:instrText xml:space="preserve"> PAGEREF _Toc461746300 \h </w:instrText>
            </w:r>
            <w:r w:rsidR="00B60591">
              <w:rPr>
                <w:webHidden/>
              </w:rPr>
            </w:r>
            <w:r w:rsidR="00B60591">
              <w:rPr>
                <w:webHidden/>
              </w:rPr>
              <w:fldChar w:fldCharType="separate"/>
            </w:r>
            <w:r w:rsidR="00B60591">
              <w:rPr>
                <w:webHidden/>
              </w:rPr>
              <w:t>5</w:t>
            </w:r>
            <w:r w:rsidR="00B60591">
              <w:rPr>
                <w:webHidden/>
              </w:rPr>
              <w:fldChar w:fldCharType="end"/>
            </w:r>
          </w:hyperlink>
        </w:p>
        <w:p w14:paraId="7890AE38" w14:textId="73F5C27F" w:rsidR="00B60591" w:rsidRDefault="00DA556A">
          <w:pPr>
            <w:pStyle w:val="TOC1"/>
            <w:rPr>
              <w:rFonts w:asciiTheme="minorHAnsi" w:eastAsiaTheme="minorEastAsia" w:hAnsiTheme="minorHAnsi"/>
              <w:color w:val="auto"/>
              <w:sz w:val="22"/>
              <w:szCs w:val="22"/>
            </w:rPr>
          </w:pPr>
          <w:hyperlink w:anchor="_Toc461746301" w:history="1">
            <w:r w:rsidR="00B60591" w:rsidRPr="005D041C">
              <w:rPr>
                <w:rStyle w:val="Hyperlink"/>
              </w:rPr>
              <w:t>Step 1 – Create the RM-PCS</w:t>
            </w:r>
            <w:r w:rsidR="00B60591">
              <w:rPr>
                <w:webHidden/>
              </w:rPr>
              <w:tab/>
            </w:r>
            <w:r w:rsidR="00B60591">
              <w:rPr>
                <w:webHidden/>
              </w:rPr>
              <w:fldChar w:fldCharType="begin"/>
            </w:r>
            <w:r w:rsidR="00B60591">
              <w:rPr>
                <w:webHidden/>
              </w:rPr>
              <w:instrText xml:space="preserve"> PAGEREF _Toc461746301 \h </w:instrText>
            </w:r>
            <w:r w:rsidR="00B60591">
              <w:rPr>
                <w:webHidden/>
              </w:rPr>
            </w:r>
            <w:r w:rsidR="00B60591">
              <w:rPr>
                <w:webHidden/>
              </w:rPr>
              <w:fldChar w:fldCharType="separate"/>
            </w:r>
            <w:r w:rsidR="00B60591">
              <w:rPr>
                <w:webHidden/>
              </w:rPr>
              <w:t>6</w:t>
            </w:r>
            <w:r w:rsidR="00B60591">
              <w:rPr>
                <w:webHidden/>
              </w:rPr>
              <w:fldChar w:fldCharType="end"/>
            </w:r>
          </w:hyperlink>
        </w:p>
        <w:p w14:paraId="617883B1" w14:textId="62D9098E" w:rsidR="00B60591" w:rsidRDefault="00DA556A">
          <w:pPr>
            <w:pStyle w:val="TOC1"/>
            <w:rPr>
              <w:rFonts w:asciiTheme="minorHAnsi" w:eastAsiaTheme="minorEastAsia" w:hAnsiTheme="minorHAnsi"/>
              <w:color w:val="auto"/>
              <w:sz w:val="22"/>
              <w:szCs w:val="22"/>
            </w:rPr>
          </w:pPr>
          <w:hyperlink w:anchor="_Toc461746302" w:history="1">
            <w:r w:rsidR="00B60591" w:rsidRPr="005D041C">
              <w:rPr>
                <w:rStyle w:val="Hyperlink"/>
              </w:rPr>
              <w:t>Step 2 – Review the solution portal</w:t>
            </w:r>
            <w:r w:rsidR="00B60591">
              <w:rPr>
                <w:webHidden/>
              </w:rPr>
              <w:tab/>
            </w:r>
            <w:r w:rsidR="00B60591">
              <w:rPr>
                <w:webHidden/>
              </w:rPr>
              <w:fldChar w:fldCharType="begin"/>
            </w:r>
            <w:r w:rsidR="00B60591">
              <w:rPr>
                <w:webHidden/>
              </w:rPr>
              <w:instrText xml:space="preserve"> PAGEREF _Toc461746302 \h </w:instrText>
            </w:r>
            <w:r w:rsidR="00B60591">
              <w:rPr>
                <w:webHidden/>
              </w:rPr>
            </w:r>
            <w:r w:rsidR="00B60591">
              <w:rPr>
                <w:webHidden/>
              </w:rPr>
              <w:fldChar w:fldCharType="separate"/>
            </w:r>
            <w:r w:rsidR="00B60591">
              <w:rPr>
                <w:webHidden/>
              </w:rPr>
              <w:t>9</w:t>
            </w:r>
            <w:r w:rsidR="00B60591">
              <w:rPr>
                <w:webHidden/>
              </w:rPr>
              <w:fldChar w:fldCharType="end"/>
            </w:r>
          </w:hyperlink>
        </w:p>
        <w:p w14:paraId="16C4F6C2" w14:textId="3B50776F" w:rsidR="00B60591" w:rsidRDefault="00B60591">
          <w:r>
            <w:rPr>
              <w:b/>
              <w:bCs/>
              <w:noProof/>
            </w:rPr>
            <w:fldChar w:fldCharType="end"/>
          </w:r>
        </w:p>
      </w:sdtContent>
    </w:sdt>
    <w:p w14:paraId="052CB736" w14:textId="7E491C77" w:rsidR="009E76FB" w:rsidRDefault="009E76FB" w:rsidP="009E76FB">
      <w:pPr>
        <w:pStyle w:val="BodyMS"/>
        <w:spacing w:before="0" w:after="0" w:line="240" w:lineRule="auto"/>
      </w:pPr>
    </w:p>
    <w:p w14:paraId="1F7D4E56" w14:textId="77777777" w:rsidR="009E76FB" w:rsidRDefault="009E76FB" w:rsidP="009E76FB">
      <w:pPr>
        <w:pStyle w:val="BodyMS"/>
        <w:spacing w:before="0" w:after="0" w:line="240" w:lineRule="auto"/>
        <w:rPr>
          <w:noProof/>
        </w:rPr>
      </w:pPr>
    </w:p>
    <w:p w14:paraId="25330A2B" w14:textId="77777777" w:rsidR="009E76FB" w:rsidRDefault="009E76FB" w:rsidP="009E76FB">
      <w:pPr>
        <w:pStyle w:val="BodyMS"/>
        <w:spacing w:before="0" w:after="0" w:line="240" w:lineRule="auto"/>
        <w:rPr>
          <w:noProof/>
        </w:rPr>
      </w:pPr>
    </w:p>
    <w:p w14:paraId="3219CDB1" w14:textId="77777777" w:rsidR="009E76FB" w:rsidRDefault="009E76FB" w:rsidP="009E76FB">
      <w:pPr>
        <w:pStyle w:val="BodyMS"/>
        <w:spacing w:before="0" w:after="0" w:line="240" w:lineRule="auto"/>
        <w:rPr>
          <w:noProof/>
        </w:rPr>
      </w:pPr>
    </w:p>
    <w:p w14:paraId="22F4D060" w14:textId="77777777" w:rsidR="009E76FB" w:rsidRPr="00653592" w:rsidRDefault="009E76FB" w:rsidP="009E76FB">
      <w:pPr>
        <w:spacing w:after="0" w:line="240" w:lineRule="auto"/>
      </w:pPr>
    </w:p>
    <w:p w14:paraId="24EABAE2" w14:textId="77777777" w:rsidR="009E76FB" w:rsidRPr="00653592" w:rsidRDefault="009E76FB" w:rsidP="009E76FB">
      <w:pPr>
        <w:spacing w:after="0" w:line="240" w:lineRule="auto"/>
      </w:pPr>
    </w:p>
    <w:p w14:paraId="5C1038EE" w14:textId="77777777" w:rsidR="009E76FB" w:rsidRPr="00653592" w:rsidRDefault="009E76FB" w:rsidP="009E76FB">
      <w:pPr>
        <w:spacing w:after="0" w:line="240" w:lineRule="auto"/>
      </w:pPr>
    </w:p>
    <w:p w14:paraId="7564F194" w14:textId="77777777" w:rsidR="009E76FB" w:rsidRPr="00653592" w:rsidRDefault="009E76FB" w:rsidP="009E76FB">
      <w:pPr>
        <w:spacing w:after="0" w:line="240" w:lineRule="auto"/>
      </w:pPr>
    </w:p>
    <w:p w14:paraId="3C94A2EB" w14:textId="77777777" w:rsidR="009E76FB" w:rsidRPr="00653592" w:rsidRDefault="009E76FB" w:rsidP="009E76FB">
      <w:pPr>
        <w:spacing w:after="0" w:line="240" w:lineRule="auto"/>
      </w:pPr>
    </w:p>
    <w:p w14:paraId="2D3AD76E" w14:textId="77777777" w:rsidR="009E76FB" w:rsidRPr="00653592" w:rsidRDefault="009E76FB" w:rsidP="009E76FB">
      <w:pPr>
        <w:spacing w:after="0" w:line="240" w:lineRule="auto"/>
      </w:pPr>
    </w:p>
    <w:p w14:paraId="45676A6E" w14:textId="77777777" w:rsidR="009E76FB" w:rsidRPr="00653592" w:rsidRDefault="009E76FB" w:rsidP="009E76FB">
      <w:pPr>
        <w:spacing w:after="0" w:line="240" w:lineRule="auto"/>
      </w:pPr>
    </w:p>
    <w:p w14:paraId="2B6AE524" w14:textId="77777777" w:rsidR="009E76FB" w:rsidRDefault="009E76FB" w:rsidP="009E76FB">
      <w:pPr>
        <w:spacing w:after="0" w:line="240" w:lineRule="auto"/>
      </w:pPr>
    </w:p>
    <w:p w14:paraId="3EE54E20" w14:textId="77777777" w:rsidR="009E76FB" w:rsidRPr="00653592" w:rsidRDefault="009E76FB" w:rsidP="009E76FB">
      <w:pPr>
        <w:spacing w:after="0" w:line="240" w:lineRule="auto"/>
      </w:pPr>
    </w:p>
    <w:p w14:paraId="7DF2F65E" w14:textId="77777777" w:rsidR="009E76FB" w:rsidRDefault="009E76FB" w:rsidP="009E76FB">
      <w:pPr>
        <w:tabs>
          <w:tab w:val="left" w:pos="3617"/>
        </w:tabs>
        <w:spacing w:after="0" w:line="240" w:lineRule="auto"/>
      </w:pPr>
    </w:p>
    <w:p w14:paraId="6CE25EB2" w14:textId="77777777" w:rsidR="009E76FB" w:rsidRDefault="009E76FB" w:rsidP="009E76FB">
      <w:pPr>
        <w:tabs>
          <w:tab w:val="left" w:pos="3617"/>
        </w:tabs>
        <w:spacing w:after="0" w:line="240" w:lineRule="auto"/>
      </w:pPr>
    </w:p>
    <w:p w14:paraId="4357B7E4" w14:textId="77777777" w:rsidR="009E76FB" w:rsidRDefault="009E76FB" w:rsidP="009E76FB">
      <w:pPr>
        <w:tabs>
          <w:tab w:val="left" w:pos="3617"/>
        </w:tabs>
        <w:spacing w:after="0" w:line="240" w:lineRule="auto"/>
      </w:pPr>
    </w:p>
    <w:p w14:paraId="2ED0E8F3" w14:textId="77777777" w:rsidR="00CC443D" w:rsidRDefault="00CC443D"/>
    <w:p w14:paraId="1F85774A" w14:textId="77777777" w:rsidR="002A39BF" w:rsidRDefault="002A39BF"/>
    <w:p w14:paraId="14D1E820" w14:textId="77777777" w:rsidR="009E76FB" w:rsidRDefault="009E76FB" w:rsidP="009E76FB">
      <w:pPr>
        <w:pStyle w:val="Heading1"/>
      </w:pPr>
    </w:p>
    <w:p w14:paraId="74038F1A" w14:textId="77777777" w:rsidR="009E76FB" w:rsidRDefault="009E76FB" w:rsidP="009E76FB">
      <w:pPr>
        <w:rPr>
          <w:rFonts w:asciiTheme="majorHAnsi" w:eastAsiaTheme="majorEastAsia" w:hAnsiTheme="majorHAnsi" w:cstheme="majorBidi"/>
          <w:color w:val="2E74B5" w:themeColor="accent1" w:themeShade="BF"/>
          <w:sz w:val="32"/>
          <w:szCs w:val="32"/>
        </w:rPr>
      </w:pPr>
      <w:r>
        <w:br w:type="page"/>
      </w:r>
    </w:p>
    <w:p w14:paraId="5E3E1085" w14:textId="53C2D21D" w:rsidR="002A39BF" w:rsidRPr="009E76FB" w:rsidRDefault="009E76FB" w:rsidP="009E76FB">
      <w:pPr>
        <w:pStyle w:val="Heading1"/>
      </w:pPr>
      <w:bookmarkStart w:id="5" w:name="_Toc461746300"/>
      <w:r w:rsidRPr="009E76FB">
        <w:lastRenderedPageBreak/>
        <w:t>Introduction</w:t>
      </w:r>
      <w:bookmarkEnd w:id="5"/>
    </w:p>
    <w:p w14:paraId="0E0CB8D4" w14:textId="77777777" w:rsidR="002A39BF" w:rsidRDefault="002A39BF"/>
    <w:p w14:paraId="191B4FD2" w14:textId="77777777" w:rsidR="002A39BF" w:rsidRDefault="002A39BF">
      <w:r>
        <w:t>In this lab, we will create an instance of the Azure IoT Remote Monitoring pre-configured solution (RM-PCS).  We will use this solution to</w:t>
      </w:r>
    </w:p>
    <w:p w14:paraId="47D1E49C" w14:textId="77777777" w:rsidR="002A39BF" w:rsidRDefault="002A39BF" w:rsidP="002A39BF">
      <w:pPr>
        <w:pStyle w:val="ListParagraph"/>
        <w:numPr>
          <w:ilvl w:val="0"/>
          <w:numId w:val="1"/>
        </w:numPr>
      </w:pPr>
      <w:r>
        <w:t>Pre-create some of the Azure infrastructure leveraged in the lab</w:t>
      </w:r>
    </w:p>
    <w:p w14:paraId="5A3C0CC9" w14:textId="77777777" w:rsidR="002A39BF" w:rsidRDefault="002A39BF" w:rsidP="002A39BF">
      <w:pPr>
        <w:pStyle w:val="ListParagraph"/>
        <w:numPr>
          <w:ilvl w:val="0"/>
          <w:numId w:val="1"/>
        </w:numPr>
      </w:pPr>
      <w:r>
        <w:t>Visualize the data from our devices</w:t>
      </w:r>
    </w:p>
    <w:p w14:paraId="4CC36C3C" w14:textId="77777777" w:rsidR="002A39BF" w:rsidRDefault="002A39BF" w:rsidP="002A39BF">
      <w:r>
        <w:t>The Azure IoT RM-PCS is a sample, or reference, IoT implementation that demonstrates how to build a starter solution that allows you to hook up a device, store and display meta-data about that device, ingest device data, apply some simple alerting rules, and visualize the device data.</w:t>
      </w:r>
    </w:p>
    <w:p w14:paraId="69796CCD" w14:textId="77777777" w:rsidR="00C4341E" w:rsidRPr="00C4341E" w:rsidRDefault="00C4341E" w:rsidP="00C4341E">
      <w:r w:rsidRPr="00C4341E">
        <w:t>In this series of labs you will:</w:t>
      </w:r>
    </w:p>
    <w:p w14:paraId="724FD9B3" w14:textId="77777777" w:rsidR="00C4341E" w:rsidRPr="00C4341E" w:rsidRDefault="00C4341E" w:rsidP="00C4341E">
      <w:pPr>
        <w:numPr>
          <w:ilvl w:val="0"/>
          <w:numId w:val="7"/>
        </w:numPr>
      </w:pPr>
      <w:r w:rsidRPr="00C4341E">
        <w:t>Create and navigate the Azure IoT Remote Monitoring Pre-configured Solution (RM-PCS)</w:t>
      </w:r>
    </w:p>
    <w:p w14:paraId="7C5F9113" w14:textId="77777777" w:rsidR="00C4341E" w:rsidRPr="00C4341E" w:rsidRDefault="00C4341E" w:rsidP="00C4341E">
      <w:pPr>
        <w:numPr>
          <w:ilvl w:val="0"/>
          <w:numId w:val="7"/>
        </w:numPr>
      </w:pPr>
      <w:r w:rsidRPr="00C4341E">
        <w:t>Create a device to read a temperature and humidity sensor (and optionally, a light sensor) and send that data to the RM-PCS for display</w:t>
      </w:r>
    </w:p>
    <w:p w14:paraId="794D7937" w14:textId="77777777" w:rsidR="00C4341E" w:rsidRPr="00C4341E" w:rsidRDefault="00C4341E" w:rsidP="00C4341E">
      <w:pPr>
        <w:numPr>
          <w:ilvl w:val="0"/>
          <w:numId w:val="7"/>
        </w:numPr>
      </w:pPr>
      <w:r w:rsidRPr="00C4341E">
        <w:t>Create a Stream Analytics job that looks for ‘high temperature’ alerts and outputs that alert to a queue for further processing</w:t>
      </w:r>
    </w:p>
    <w:p w14:paraId="2C3021CD" w14:textId="77777777" w:rsidR="00C4341E" w:rsidRPr="00C4341E" w:rsidRDefault="00C4341E" w:rsidP="00C4341E">
      <w:pPr>
        <w:numPr>
          <w:ilvl w:val="0"/>
          <w:numId w:val="7"/>
        </w:numPr>
      </w:pPr>
      <w:r w:rsidRPr="00C4341E">
        <w:t>Create an Azure Function that takes that alert, and sends a command to the device to turn on or off an LED depending on the alert condition.</w:t>
      </w:r>
    </w:p>
    <w:p w14:paraId="689107F1" w14:textId="77777777" w:rsidR="00B60591" w:rsidRDefault="00B60591">
      <w:pPr>
        <w:rPr>
          <w:rFonts w:asciiTheme="majorHAnsi" w:eastAsiaTheme="majorEastAsia" w:hAnsiTheme="majorHAnsi" w:cstheme="majorBidi"/>
          <w:color w:val="2E74B5" w:themeColor="accent1" w:themeShade="BF"/>
          <w:sz w:val="32"/>
          <w:szCs w:val="32"/>
        </w:rPr>
      </w:pPr>
      <w:r>
        <w:br w:type="page"/>
      </w:r>
    </w:p>
    <w:p w14:paraId="52CDA77F" w14:textId="77468CB6" w:rsidR="002A39BF" w:rsidRDefault="002A39BF" w:rsidP="009E76FB">
      <w:pPr>
        <w:pStyle w:val="Heading1"/>
      </w:pPr>
      <w:bookmarkStart w:id="6" w:name="_Toc461746301"/>
      <w:r>
        <w:lastRenderedPageBreak/>
        <w:t>Step 1 – Create the RM-PCS</w:t>
      </w:r>
      <w:bookmarkEnd w:id="6"/>
    </w:p>
    <w:p w14:paraId="369F832A" w14:textId="77777777" w:rsidR="002A39BF" w:rsidRDefault="002A39BF" w:rsidP="002A39BF">
      <w:pPr>
        <w:pStyle w:val="ListParagraph"/>
        <w:numPr>
          <w:ilvl w:val="0"/>
          <w:numId w:val="2"/>
        </w:numPr>
      </w:pPr>
      <w:r>
        <w:t xml:space="preserve">Open a browser and navigate to </w:t>
      </w:r>
      <w:hyperlink r:id="rId11" w:history="1">
        <w:r w:rsidRPr="005B0CF8">
          <w:rPr>
            <w:rStyle w:val="Hyperlink"/>
          </w:rPr>
          <w:t>http://www.azureiotsuite.com</w:t>
        </w:r>
      </w:hyperlink>
    </w:p>
    <w:p w14:paraId="2077A3D3" w14:textId="77777777" w:rsidR="002A39BF" w:rsidRDefault="002A39BF" w:rsidP="002A39BF">
      <w:pPr>
        <w:pStyle w:val="ListParagraph"/>
        <w:numPr>
          <w:ilvl w:val="0"/>
          <w:numId w:val="2"/>
        </w:numPr>
      </w:pPr>
      <w:r>
        <w:t>Log-in with the credentials that are associated with your Azure Subscription  (most likely your corporate credentials)</w:t>
      </w:r>
    </w:p>
    <w:p w14:paraId="28D486A8" w14:textId="77777777" w:rsidR="002A39BF" w:rsidRDefault="002A39BF" w:rsidP="002A39BF">
      <w:pPr>
        <w:pStyle w:val="ListParagraph"/>
        <w:numPr>
          <w:ilvl w:val="0"/>
          <w:numId w:val="2"/>
        </w:numPr>
      </w:pPr>
      <w:r>
        <w:t>You should see the plus button shown below</w:t>
      </w:r>
    </w:p>
    <w:p w14:paraId="7C3EACED" w14:textId="77777777" w:rsidR="002A39BF" w:rsidRDefault="002A39BF" w:rsidP="002A39BF">
      <w:r>
        <w:rPr>
          <w:noProof/>
        </w:rPr>
        <w:drawing>
          <wp:inline distT="0" distB="0" distL="0" distR="0" wp14:anchorId="69793687" wp14:editId="6A2DD44C">
            <wp:extent cx="34766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4838700"/>
                    </a:xfrm>
                    <a:prstGeom prst="rect">
                      <a:avLst/>
                    </a:prstGeom>
                  </pic:spPr>
                </pic:pic>
              </a:graphicData>
            </a:graphic>
          </wp:inline>
        </w:drawing>
      </w:r>
    </w:p>
    <w:p w14:paraId="0B7CEE65" w14:textId="77777777" w:rsidR="002A39BF" w:rsidRDefault="002A39BF" w:rsidP="002A39BF"/>
    <w:p w14:paraId="52D25A8D" w14:textId="77777777" w:rsidR="002A39BF" w:rsidRDefault="002A39BF" w:rsidP="002A39BF">
      <w:pPr>
        <w:pStyle w:val="ListParagraph"/>
        <w:numPr>
          <w:ilvl w:val="0"/>
          <w:numId w:val="2"/>
        </w:numPr>
      </w:pPr>
      <w:r>
        <w:t>Click on the “+” to create your new solution.</w:t>
      </w:r>
    </w:p>
    <w:p w14:paraId="6AE8C676" w14:textId="77777777" w:rsidR="002A39BF" w:rsidRDefault="002A39BF" w:rsidP="002A39BF">
      <w:pPr>
        <w:pStyle w:val="ListParagraph"/>
        <w:numPr>
          <w:ilvl w:val="0"/>
          <w:numId w:val="2"/>
        </w:numPr>
      </w:pPr>
      <w:r>
        <w:t>Under the “Remote Monitoring” option, choose the “Select” button</w:t>
      </w:r>
    </w:p>
    <w:p w14:paraId="7F1284A4" w14:textId="77777777" w:rsidR="002A39BF" w:rsidRDefault="002A39BF" w:rsidP="002A39BF">
      <w:pPr>
        <w:pStyle w:val="ListParagraph"/>
        <w:numPr>
          <w:ilvl w:val="0"/>
          <w:numId w:val="2"/>
        </w:numPr>
      </w:pPr>
      <w:r>
        <w:t>On the “Solution Details” screen</w:t>
      </w:r>
    </w:p>
    <w:p w14:paraId="04777773" w14:textId="77777777" w:rsidR="002A39BF" w:rsidRDefault="002A39BF" w:rsidP="002A39BF">
      <w:pPr>
        <w:pStyle w:val="ListParagraph"/>
        <w:numPr>
          <w:ilvl w:val="1"/>
          <w:numId w:val="2"/>
        </w:numPr>
      </w:pPr>
      <w:r>
        <w:t>Note the Azure items that will be generated on your behalf</w:t>
      </w:r>
    </w:p>
    <w:p w14:paraId="762E3198" w14:textId="77777777" w:rsidR="002A39BF" w:rsidRDefault="002A39BF" w:rsidP="002A39BF">
      <w:pPr>
        <w:pStyle w:val="ListParagraph"/>
        <w:numPr>
          <w:ilvl w:val="1"/>
          <w:numId w:val="2"/>
        </w:numPr>
      </w:pPr>
      <w:r>
        <w:t>Type in a unique solution name.  The name has to be globally unique, so typically some combination of your name or initials, company, etc will help with that.  Once you enter an acceptable name, you will get a green checkbox indicating that name is free to use and valid</w:t>
      </w:r>
    </w:p>
    <w:p w14:paraId="6531849C" w14:textId="77777777" w:rsidR="002A39BF" w:rsidRDefault="002A39BF" w:rsidP="002A39BF">
      <w:pPr>
        <w:pStyle w:val="ListParagraph"/>
        <w:numPr>
          <w:ilvl w:val="1"/>
          <w:numId w:val="2"/>
        </w:numPr>
      </w:pPr>
      <w:r>
        <w:lastRenderedPageBreak/>
        <w:t>Choose our Azure Subscription from the drop down list box.  The components of the solution will be generated in this subscription</w:t>
      </w:r>
    </w:p>
    <w:p w14:paraId="37B94032" w14:textId="77777777" w:rsidR="002A39BF" w:rsidRDefault="002A39BF" w:rsidP="002A39BF">
      <w:pPr>
        <w:pStyle w:val="ListParagraph"/>
        <w:numPr>
          <w:ilvl w:val="1"/>
          <w:numId w:val="2"/>
        </w:numPr>
      </w:pPr>
      <w:r>
        <w:t xml:space="preserve">Choose your nearest </w:t>
      </w:r>
      <w:r w:rsidR="00AA221C">
        <w:t xml:space="preserve">and desired </w:t>
      </w:r>
      <w:r>
        <w:t xml:space="preserve">data center (i.e. </w:t>
      </w:r>
      <w:r w:rsidR="00AA221C">
        <w:t xml:space="preserve"> East US would be most appropriate for New Jersey)</w:t>
      </w:r>
    </w:p>
    <w:p w14:paraId="58E08ABD" w14:textId="77777777" w:rsidR="00AA221C" w:rsidRDefault="00AA221C" w:rsidP="00AA221C">
      <w:pPr>
        <w:ind w:left="1080"/>
      </w:pPr>
      <w:r>
        <w:rPr>
          <w:noProof/>
        </w:rPr>
        <w:drawing>
          <wp:inline distT="0" distB="0" distL="0" distR="0" wp14:anchorId="7B366017" wp14:editId="7011558D">
            <wp:extent cx="38766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3181350"/>
                    </a:xfrm>
                    <a:prstGeom prst="rect">
                      <a:avLst/>
                    </a:prstGeom>
                  </pic:spPr>
                </pic:pic>
              </a:graphicData>
            </a:graphic>
          </wp:inline>
        </w:drawing>
      </w:r>
    </w:p>
    <w:p w14:paraId="393766ED" w14:textId="77777777" w:rsidR="00AA221C" w:rsidRDefault="00AA221C" w:rsidP="00AA221C">
      <w:pPr>
        <w:ind w:left="1080"/>
      </w:pPr>
    </w:p>
    <w:p w14:paraId="1D746C04" w14:textId="77777777" w:rsidR="00AA221C" w:rsidRDefault="00AA221C" w:rsidP="00AA221C">
      <w:pPr>
        <w:pStyle w:val="ListParagraph"/>
        <w:numPr>
          <w:ilvl w:val="0"/>
          <w:numId w:val="2"/>
        </w:numPr>
      </w:pPr>
      <w:r>
        <w:t>Click “Create Solution” to start the solution deployment process</w:t>
      </w:r>
    </w:p>
    <w:p w14:paraId="166087BC" w14:textId="77777777" w:rsidR="00AA221C" w:rsidRDefault="00AA221C" w:rsidP="00AA221C">
      <w:pPr>
        <w:pStyle w:val="ListParagraph"/>
        <w:numPr>
          <w:ilvl w:val="0"/>
          <w:numId w:val="2"/>
        </w:numPr>
      </w:pPr>
      <w:r>
        <w:t>Deployment should take about 15 minutes</w:t>
      </w:r>
    </w:p>
    <w:p w14:paraId="1043E635" w14:textId="77777777" w:rsidR="00AA221C" w:rsidRDefault="00AA221C" w:rsidP="00AA221C">
      <w:pPr>
        <w:pStyle w:val="ListParagraph"/>
        <w:numPr>
          <w:ilvl w:val="0"/>
          <w:numId w:val="2"/>
        </w:numPr>
      </w:pPr>
      <w:r>
        <w:t>Once done, you should be able to click on the solution (click on the picture), and see the pop-out on the left like this one</w:t>
      </w:r>
    </w:p>
    <w:p w14:paraId="17E3277E" w14:textId="0F707309" w:rsidR="00AA221C" w:rsidRDefault="00DA556A" w:rsidP="00AA221C">
      <w:r>
        <w:rPr>
          <w:noProof/>
        </w:rPr>
        <w:lastRenderedPageBreak/>
        <w:drawing>
          <wp:inline distT="0" distB="0" distL="0" distR="0" wp14:anchorId="67F9CF79" wp14:editId="4D0C1299">
            <wp:extent cx="5943600" cy="6107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07430"/>
                    </a:xfrm>
                    <a:prstGeom prst="rect">
                      <a:avLst/>
                    </a:prstGeom>
                  </pic:spPr>
                </pic:pic>
              </a:graphicData>
            </a:graphic>
          </wp:inline>
        </w:drawing>
      </w:r>
    </w:p>
    <w:p w14:paraId="006ED502" w14:textId="77777777" w:rsidR="00AA221C" w:rsidRDefault="00AA221C" w:rsidP="00AA221C"/>
    <w:p w14:paraId="36EE6519" w14:textId="77777777" w:rsidR="00AA221C" w:rsidRDefault="00AA221C" w:rsidP="00AA221C">
      <w:pPr>
        <w:pStyle w:val="ListParagraph"/>
        <w:numPr>
          <w:ilvl w:val="0"/>
          <w:numId w:val="2"/>
        </w:numPr>
      </w:pPr>
      <w:r>
        <w:t>Congratulations – you have successfully deployed the Azure IoT RM-PCS</w:t>
      </w:r>
    </w:p>
    <w:p w14:paraId="72A952D6" w14:textId="77777777" w:rsidR="00AA221C" w:rsidRDefault="00AA221C" w:rsidP="00AA221C"/>
    <w:p w14:paraId="3B30172F" w14:textId="77777777" w:rsidR="00B60591" w:rsidRDefault="00B60591">
      <w:pPr>
        <w:rPr>
          <w:rFonts w:asciiTheme="majorHAnsi" w:eastAsiaTheme="majorEastAsia" w:hAnsiTheme="majorHAnsi" w:cstheme="majorBidi"/>
          <w:color w:val="2E74B5" w:themeColor="accent1" w:themeShade="BF"/>
          <w:sz w:val="32"/>
          <w:szCs w:val="32"/>
        </w:rPr>
      </w:pPr>
      <w:r>
        <w:br w:type="page"/>
      </w:r>
    </w:p>
    <w:p w14:paraId="64DBD07B" w14:textId="40348DC8" w:rsidR="00AA221C" w:rsidRDefault="00AA221C" w:rsidP="00B60591">
      <w:pPr>
        <w:pStyle w:val="Heading1"/>
      </w:pPr>
      <w:bookmarkStart w:id="7" w:name="_Toc461746302"/>
      <w:r>
        <w:lastRenderedPageBreak/>
        <w:t>Step 2 – Review the solution portal</w:t>
      </w:r>
      <w:bookmarkEnd w:id="7"/>
    </w:p>
    <w:p w14:paraId="5FD9D885" w14:textId="77777777" w:rsidR="00AA221C" w:rsidRDefault="00AA221C" w:rsidP="00AA221C">
      <w:pPr>
        <w:pStyle w:val="ListParagraph"/>
        <w:numPr>
          <w:ilvl w:val="0"/>
          <w:numId w:val="6"/>
        </w:numPr>
      </w:pPr>
      <w:r>
        <w:t xml:space="preserve">Navigate to </w:t>
      </w:r>
      <w:hyperlink w:history="1">
        <w:r w:rsidRPr="005B0CF8">
          <w:rPr>
            <w:rStyle w:val="Hyperlink"/>
          </w:rPr>
          <w:t>http://&lt;&lt;solutionname&gt;&gt;.azurewebsites.net</w:t>
        </w:r>
      </w:hyperlink>
      <w:r>
        <w:t xml:space="preserve"> where solutionname = the name chosen for the solution in step 1.6.b</w:t>
      </w:r>
    </w:p>
    <w:p w14:paraId="43545E5A" w14:textId="77777777" w:rsidR="00AA221C" w:rsidRDefault="00AA221C" w:rsidP="00AA221C">
      <w:pPr>
        <w:pStyle w:val="ListParagraph"/>
        <w:numPr>
          <w:ilvl w:val="0"/>
          <w:numId w:val="6"/>
        </w:numPr>
      </w:pPr>
      <w:r>
        <w:t>Log in with the same credentials used in above in step 1.2 above</w:t>
      </w:r>
    </w:p>
    <w:p w14:paraId="16B47C16" w14:textId="77777777" w:rsidR="00AA221C" w:rsidRDefault="00AA221C" w:rsidP="00AA221C">
      <w:pPr>
        <w:pStyle w:val="ListParagraph"/>
        <w:numPr>
          <w:ilvl w:val="0"/>
          <w:numId w:val="6"/>
        </w:numPr>
      </w:pPr>
      <w:r>
        <w:t>Reviewing the solution:</w:t>
      </w:r>
    </w:p>
    <w:p w14:paraId="25092638" w14:textId="77777777" w:rsidR="00AA221C" w:rsidRDefault="00AA221C" w:rsidP="00AA221C">
      <w:pPr>
        <w:pStyle w:val="ListParagraph"/>
        <w:numPr>
          <w:ilvl w:val="1"/>
          <w:numId w:val="6"/>
        </w:numPr>
      </w:pPr>
      <w:r>
        <w:t>The home page shows you a map that includes four “sample” devices that are deployed with the solution</w:t>
      </w:r>
    </w:p>
    <w:p w14:paraId="6B0BFE18" w14:textId="77777777" w:rsidR="00AA221C" w:rsidRDefault="00AA221C" w:rsidP="00AA221C">
      <w:pPr>
        <w:pStyle w:val="ListParagraph"/>
        <w:numPr>
          <w:ilvl w:val="1"/>
          <w:numId w:val="6"/>
        </w:numPr>
      </w:pPr>
      <w:r>
        <w:t>Choosing a sample device from the drop down list box shows telemetry being ingested, real-time, from that sample device</w:t>
      </w:r>
    </w:p>
    <w:p w14:paraId="461FD10F" w14:textId="77777777" w:rsidR="00AA221C" w:rsidRDefault="00AA221C" w:rsidP="00AA221C">
      <w:pPr>
        <w:pStyle w:val="ListParagraph"/>
        <w:numPr>
          <w:ilvl w:val="1"/>
          <w:numId w:val="6"/>
        </w:numPr>
      </w:pPr>
      <w:r>
        <w:t>On the “devices” tab, you can click on one of the devices and display the metadata stored for that device</w:t>
      </w:r>
    </w:p>
    <w:p w14:paraId="4DA40D7B" w14:textId="77777777" w:rsidR="00AA221C" w:rsidRDefault="00AA221C" w:rsidP="00AA221C">
      <w:pPr>
        <w:pStyle w:val="ListParagraph"/>
        <w:numPr>
          <w:ilvl w:val="1"/>
          <w:numId w:val="6"/>
        </w:numPr>
      </w:pPr>
      <w:r>
        <w:t>Clicking “commands” shows a list of commands that the device supports</w:t>
      </w:r>
    </w:p>
    <w:p w14:paraId="29A60A24" w14:textId="77777777" w:rsidR="00AA221C" w:rsidRDefault="00AA221C" w:rsidP="00AA221C">
      <w:pPr>
        <w:pStyle w:val="ListParagraph"/>
        <w:numPr>
          <w:ilvl w:val="1"/>
          <w:numId w:val="6"/>
        </w:numPr>
      </w:pPr>
      <w:r>
        <w:t xml:space="preserve">Feel free to click around the rest of the portal.  In the next lab, we will explore adding a physical device to this portal </w:t>
      </w:r>
      <w:r w:rsidR="00BC4AA6">
        <w:t>and display it’s telemetry on the portal</w:t>
      </w:r>
    </w:p>
    <w:p w14:paraId="61DFD47A" w14:textId="77777777" w:rsidR="00BC4AA6" w:rsidRDefault="00BC4AA6" w:rsidP="00BC4AA6"/>
    <w:p w14:paraId="62E73E82" w14:textId="77777777" w:rsidR="00BC4AA6" w:rsidRDefault="00BC4AA6" w:rsidP="00BC4AA6">
      <w:r>
        <w:t>Congratulations – you have completed Lab 1</w:t>
      </w:r>
    </w:p>
    <w:p w14:paraId="5C55FA89" w14:textId="77777777" w:rsidR="00AA221C" w:rsidRDefault="00AA221C" w:rsidP="00AA221C"/>
    <w:sectPr w:rsidR="00AA2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63E4E" w14:textId="77777777" w:rsidR="00B93304" w:rsidRDefault="00C4341E">
      <w:pPr>
        <w:spacing w:after="0" w:line="240" w:lineRule="auto"/>
      </w:pPr>
      <w:r>
        <w:separator/>
      </w:r>
    </w:p>
  </w:endnote>
  <w:endnote w:type="continuationSeparator" w:id="0">
    <w:p w14:paraId="04855DF5" w14:textId="77777777" w:rsidR="00B93304" w:rsidRDefault="00C43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01EB4" w14:textId="7DD7F5FD" w:rsidR="0031423F" w:rsidRPr="00934BB3" w:rsidRDefault="00B60591"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showingPlcHdr/>
        <w:dataBinding w:prefixMappings="xmlns:ns0='http://schemas.openxmlformats.org/officeDocument/2006/extended-properties' " w:xpath="/ns0:Properties[1]/ns0:Company[1]" w:storeItemID="{6668398D-A668-4E3E-A5EB-62B293D839F1}"/>
        <w:text/>
      </w:sdtPr>
      <w:sdtEndPr/>
      <w:sdtContent>
        <w:r w:rsidR="00C4341E">
          <w:rPr>
            <w:rFonts w:ascii="Segoe UI" w:eastAsiaTheme="minorHAnsi" w:hAnsi="Segoe UI" w:cs="Segoe UI"/>
            <w:sz w:val="16"/>
            <w:szCs w:val="16"/>
            <w:lang w:val="pt-PT"/>
          </w:rPr>
          <w:t xml:space="preserve">     </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0095F" w14:textId="77777777" w:rsidR="00B93304" w:rsidRDefault="00C4341E">
      <w:pPr>
        <w:spacing w:after="0" w:line="240" w:lineRule="auto"/>
      </w:pPr>
      <w:r>
        <w:separator/>
      </w:r>
    </w:p>
  </w:footnote>
  <w:footnote w:type="continuationSeparator" w:id="0">
    <w:p w14:paraId="6B57A238" w14:textId="77777777" w:rsidR="00B93304" w:rsidRDefault="00C43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A5B6E" w14:textId="77777777" w:rsidR="0031423F" w:rsidRDefault="00B60591">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75D260D3" w14:textId="77777777" w:rsidR="0031423F" w:rsidRDefault="00DA556A"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03A"/>
    <w:multiLevelType w:val="hybridMultilevel"/>
    <w:tmpl w:val="27DEC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11903"/>
    <w:multiLevelType w:val="hybridMultilevel"/>
    <w:tmpl w:val="C48A7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B3A"/>
    <w:multiLevelType w:val="hybridMultilevel"/>
    <w:tmpl w:val="8E8C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E174A"/>
    <w:multiLevelType w:val="hybridMultilevel"/>
    <w:tmpl w:val="4CA2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D1813"/>
    <w:multiLevelType w:val="hybridMultilevel"/>
    <w:tmpl w:val="8828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434A2"/>
    <w:multiLevelType w:val="hybridMultilevel"/>
    <w:tmpl w:val="C48A7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BF"/>
    <w:rsid w:val="002A39BF"/>
    <w:rsid w:val="009E76FB"/>
    <w:rsid w:val="00AA221C"/>
    <w:rsid w:val="00B60591"/>
    <w:rsid w:val="00B93304"/>
    <w:rsid w:val="00BC4AA6"/>
    <w:rsid w:val="00C4341E"/>
    <w:rsid w:val="00CC443D"/>
    <w:rsid w:val="00DA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E9ED"/>
  <w15:chartTrackingRefBased/>
  <w15:docId w15:val="{616F3374-90C9-436A-A9CA-A5BE2017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6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BF"/>
    <w:pPr>
      <w:ind w:left="720"/>
      <w:contextualSpacing/>
    </w:pPr>
  </w:style>
  <w:style w:type="character" w:styleId="Hyperlink">
    <w:name w:val="Hyperlink"/>
    <w:basedOn w:val="DefaultParagraphFont"/>
    <w:uiPriority w:val="99"/>
    <w:unhideWhenUsed/>
    <w:rsid w:val="002A39BF"/>
    <w:rPr>
      <w:color w:val="0563C1" w:themeColor="hyperlink"/>
      <w:u w:val="single"/>
    </w:rPr>
  </w:style>
  <w:style w:type="paragraph" w:customStyle="1" w:styleId="Heading1MS">
    <w:name w:val="Heading 1 MS"/>
    <w:next w:val="BodyMS"/>
    <w:qFormat/>
    <w:rsid w:val="009E76FB"/>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BodyMS">
    <w:name w:val="Body MS"/>
    <w:link w:val="BodyMSChar"/>
    <w:qFormat/>
    <w:rsid w:val="009E76FB"/>
    <w:pPr>
      <w:spacing w:before="200" w:after="200" w:line="264" w:lineRule="auto"/>
    </w:pPr>
    <w:rPr>
      <w:rFonts w:ascii="Segoe Pro" w:hAnsi="Segoe Pro"/>
      <w:color w:val="262626" w:themeColor="text1" w:themeTint="D9"/>
      <w:sz w:val="20"/>
      <w:szCs w:val="20"/>
    </w:rPr>
  </w:style>
  <w:style w:type="paragraph" w:customStyle="1" w:styleId="TableHeadingMS">
    <w:name w:val="Table Heading MS"/>
    <w:basedOn w:val="BodyMS"/>
    <w:qFormat/>
    <w:rsid w:val="009E76FB"/>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9E76FB"/>
    <w:pPr>
      <w:spacing w:before="20" w:after="20"/>
    </w:pPr>
    <w:rPr>
      <w:sz w:val="16"/>
      <w:szCs w:val="16"/>
    </w:rPr>
  </w:style>
  <w:style w:type="paragraph" w:customStyle="1" w:styleId="TOCFigListTableListHeadingMS">
    <w:name w:val="TOC_Fig List_Table List Heading MS"/>
    <w:basedOn w:val="Heading1MS"/>
    <w:qFormat/>
    <w:rsid w:val="009E76FB"/>
  </w:style>
  <w:style w:type="paragraph" w:styleId="TOC1">
    <w:name w:val="toc 1"/>
    <w:aliases w:val="TOC Level 1 MS"/>
    <w:uiPriority w:val="39"/>
    <w:unhideWhenUsed/>
    <w:rsid w:val="009E76FB"/>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9E76FB"/>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9E76FB"/>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Footer">
    <w:name w:val="footer"/>
    <w:basedOn w:val="Normal"/>
    <w:link w:val="FooterChar"/>
    <w:uiPriority w:val="99"/>
    <w:unhideWhenUsed/>
    <w:rsid w:val="009E76FB"/>
    <w:pPr>
      <w:tabs>
        <w:tab w:val="center" w:pos="4680"/>
        <w:tab w:val="right" w:pos="9360"/>
      </w:tabs>
      <w:spacing w:after="0" w:line="240" w:lineRule="auto"/>
    </w:pPr>
    <w:rPr>
      <w:rFonts w:ascii="Segoe Pro" w:eastAsiaTheme="minorEastAsia" w:hAnsi="Segoe Pro"/>
      <w:color w:val="262626" w:themeColor="text1" w:themeTint="D9"/>
      <w:sz w:val="20"/>
    </w:rPr>
  </w:style>
  <w:style w:type="character" w:customStyle="1" w:styleId="FooterChar">
    <w:name w:val="Footer Char"/>
    <w:basedOn w:val="DefaultParagraphFont"/>
    <w:link w:val="Footer"/>
    <w:uiPriority w:val="99"/>
    <w:rsid w:val="009E76FB"/>
    <w:rPr>
      <w:rFonts w:ascii="Segoe Pro" w:eastAsiaTheme="minorEastAsia" w:hAnsi="Segoe Pro"/>
      <w:color w:val="262626" w:themeColor="text1" w:themeTint="D9"/>
      <w:sz w:val="20"/>
    </w:rPr>
  </w:style>
  <w:style w:type="character" w:customStyle="1" w:styleId="BodyMSChar">
    <w:name w:val="Body MS Char"/>
    <w:basedOn w:val="DefaultParagraphFont"/>
    <w:link w:val="BodyMS"/>
    <w:rsid w:val="009E76FB"/>
    <w:rPr>
      <w:rFonts w:ascii="Segoe Pro" w:hAnsi="Segoe Pro"/>
      <w:color w:val="262626" w:themeColor="text1" w:themeTint="D9"/>
      <w:sz w:val="20"/>
      <w:szCs w:val="20"/>
    </w:rPr>
  </w:style>
  <w:style w:type="table" w:styleId="TableGrid">
    <w:name w:val="Table Grid"/>
    <w:basedOn w:val="TableNormal"/>
    <w:uiPriority w:val="39"/>
    <w:rsid w:val="009E7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76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6F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5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zureiotsuit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48C13-79B0-4C26-8874-DF6FDD6E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Busby</dc:creator>
  <cp:keywords/>
  <dc:description/>
  <cp:lastModifiedBy>Steve Busby</cp:lastModifiedBy>
  <cp:revision>4</cp:revision>
  <dcterms:created xsi:type="dcterms:W3CDTF">2016-09-16T04:08:00Z</dcterms:created>
  <dcterms:modified xsi:type="dcterms:W3CDTF">2016-09-17T04:28:00Z</dcterms:modified>
</cp:coreProperties>
</file>