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284E"/>
          <w:sz w:val="36"/>
        </w:rPr>
        <w:t>USA Triathlon - AI Acceptable Use Policy</w:t>
      </w:r>
    </w:p>
    <w:p>
      <w:pPr>
        <w:spacing w:after="40"/>
      </w:pPr>
      <w:r>
        <w:rPr>
          <w:i w:val="0"/>
          <w:color w:val="6B7686"/>
          <w:sz w:val="21"/>
        </w:rPr>
        <w:t>Working draft &amp; meeting follow-up - for discussion, not final policy. Combines the initial policy sketch with gaps identified afterward.</w:t>
      </w:r>
    </w:p>
    <w:p>
      <w:pPr>
        <w:spacing w:after="120"/>
      </w:pPr>
      <w:r>
        <w:rPr>
          <w:i/>
          <w:color w:val="E4002B"/>
          <w:sz w:val="17"/>
        </w:rPr>
        <w:t>Version 0.1  -  June 2026  -  Owner: [TBD]  -  Legal review: pending. Items in [brackets] are decisions for USAT to confirm.</w:t>
      </w:r>
    </w:p>
    <w:p>
      <w:pPr>
        <w:spacing w:after="80" w:before="40"/>
      </w:pPr>
      <w:r>
        <w:rPr>
          <w:b/>
          <w:color w:val="15284E"/>
          <w:sz w:val="25"/>
        </w:rPr>
        <w:t>1. Purpose &amp; scope</w:t>
      </w:r>
    </w:p>
    <w:p>
      <w:pPr>
        <w:spacing w:after="80"/>
      </w:pPr>
      <w:r>
        <w:rPr>
          <w:i w:val="0"/>
          <w:sz w:val="20"/>
        </w:rPr>
        <w:t>Let USAT capture the benefits of AI while protecting member, athlete, employee, and business data. Applies to everyone acting on USAT's behalf: employees, contractors, temporary staff, volunteers and officials, and vendors who handle USAT data. Covers standalone AI tools (e.g., ChatGPT, Claude), AI features embedded in other software, and agentic/desktop AI assistants.</w:t>
      </w:r>
    </w:p>
    <w:p>
      <w:pPr>
        <w:spacing w:after="80" w:before="160"/>
      </w:pPr>
      <w:r>
        <w:rPr>
          <w:b/>
          <w:color w:val="15284E"/>
          <w:sz w:val="25"/>
        </w:rPr>
        <w:t>2. Guiding principle</w:t>
      </w:r>
    </w:p>
    <w:p>
      <w:pPr>
        <w:spacing w:after="80"/>
      </w:pPr>
      <w:r>
        <w:rPr>
          <w:i w:val="0"/>
          <w:sz w:val="20"/>
        </w:rPr>
        <w:t>Default to enabling AI for everyday, non-sensitive work through USAT-approved tools; apply increasing controls as data becomes more sensitive; and keep a responsible human accountable for every AI-assisted output. When in doubt, don't paste it - ask.</w:t>
      </w:r>
    </w:p>
    <w:p>
      <w:pPr>
        <w:spacing w:after="80" w:before="160"/>
      </w:pPr>
      <w:r>
        <w:rPr>
          <w:b/>
          <w:color w:val="15284E"/>
          <w:sz w:val="25"/>
        </w:rPr>
        <w:t>3. Approved accounts &amp; tools</w:t>
      </w:r>
    </w:p>
    <w:p>
      <w:pPr>
        <w:pStyle w:val="ListBullet"/>
        <w:spacing w:after="40"/>
      </w:pPr>
      <w:r>
        <w:rPr>
          <w:sz w:val="20"/>
        </w:rPr>
        <w:t>USAT business is conducted only in USAT-managed, commercial/Enterprise-tier AI accounts - never personal or free/consumer accounts (those carry a model-training setting and give USAT no oversight).</w:t>
      </w:r>
    </w:p>
    <w:p>
      <w:pPr>
        <w:pStyle w:val="ListBullet"/>
        <w:spacing w:after="40"/>
      </w:pPr>
      <w:r>
        <w:rPr>
          <w:sz w:val="20"/>
        </w:rPr>
        <w:t>Why the commercial tier: it excludes USAT data from model training by default and gives admin retention controls; a signed Data Processing Agreement (DPA) plus Zero Data Retention (ZDR) further minimizes what the vendor stores.</w:t>
      </w:r>
    </w:p>
    <w:p>
      <w:pPr>
        <w:pStyle w:val="ListBullet"/>
        <w:spacing w:after="40"/>
      </w:pPr>
      <w:r>
        <w:rPr>
          <w:sz w:val="20"/>
        </w:rPr>
        <w:t>Before real data flows to any provider, USAT arranges: a DPA, ZDR (or the strictest available retention), and confirmation that training is disabled - see the AI Data Privacy thought-starter.</w:t>
      </w:r>
    </w:p>
    <w:p>
      <w:pPr>
        <w:pStyle w:val="ListBullet"/>
        <w:spacing w:after="40"/>
      </w:pPr>
      <w:r>
        <w:rPr>
          <w:sz w:val="20"/>
        </w:rPr>
        <w:t>IT provisions and de-provisions accounts, enforces SSO + MFA, and removes access at offboarding. Central account ownership is also what makes usage auditable and cost-manageable.</w:t>
      </w:r>
    </w:p>
    <w:p>
      <w:pPr>
        <w:pStyle w:val="ListBullet"/>
        <w:spacing w:after="40"/>
      </w:pPr>
      <w:r>
        <w:rPr>
          <w:sz w:val="20"/>
        </w:rPr>
        <w:t>[IT/Owner] maintains the list of approved AI tools. Adding a new AI tool - or switching on an AI feature inside existing software - requires approval first.</w:t>
      </w:r>
    </w:p>
    <w:p>
      <w:pPr>
        <w:spacing w:after="80" w:before="160"/>
      </w:pPr>
      <w:r>
        <w:rPr>
          <w:b/>
          <w:color w:val="15284E"/>
          <w:sz w:val="25"/>
        </w:rPr>
        <w:t>4. Data classification - what may be entered into AI</w:t>
      </w:r>
    </w:p>
    <w:p>
      <w:pPr>
        <w:spacing w:after="60"/>
      </w:pPr>
      <w:r>
        <w:rPr>
          <w:i w:val="0"/>
          <w:sz w:val="20"/>
        </w:rPr>
        <w:t>The controlling question is the sensitivity of the data, not the tool. Proposed tiers (confirm with Legal):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6264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304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AI use rule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Public</w:t>
            </w:r>
          </w:p>
        </w:tc>
        <w:tc>
          <w:tcPr>
            <w:tcW w:type="dxa" w:w="62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Published marketing, public event info, public website copy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OK in approved USAT tools</w:t>
            </w:r>
          </w:p>
        </w:tc>
      </w:tr>
      <w:tr>
        <w:tc>
          <w:tcPr>
            <w:tcW w:type="dxa" w:w="180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Internal</w:t>
            </w:r>
          </w:p>
        </w:tc>
        <w:tc>
          <w:tcPr>
            <w:tcW w:type="dxa" w:w="626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General internal docs and drafts that contain no personal or sensitive data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OK in approved USAT tools (ZDR preferred)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Confidential</w:t>
            </w:r>
          </w:p>
        </w:tc>
        <w:tc>
          <w:tcPr>
            <w:tcW w:type="dxa" w:w="62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Member/customer PII (names, emails, contact info), membership records, non-public business information, donor data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Approval required; USAT account with DPA/ZDR only; minimize; never in personal or embedded tools</w:t>
            </w:r>
          </w:p>
        </w:tc>
      </w:tr>
      <w:tr>
        <w:tc>
          <w:tcPr>
            <w:tcW w:type="dxa" w:w="1800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Restricted</w:t>
            </w:r>
          </w:p>
        </w:tc>
        <w:tc>
          <w:tcPr>
            <w:tcW w:type="dxa" w:w="626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Minors' data; health/medical &amp; anti-doping; SafeSport / investigations / abuse reports; financial &amp; payment-card data; HR/personnel records; legal matters &amp; contracts; passwords, keys &amp; secrets; anything under legal hold</w:t>
            </w:r>
          </w:p>
        </w:tc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Prohibited - or explicit Legal + executive sign-off only</w:t>
            </w:r>
          </w:p>
        </w:tc>
      </w:tr>
    </w:tbl>
    <w:p>
      <w:pPr>
        <w:spacing w:after="80"/>
      </w:pPr>
      <w:r>
        <w:rPr>
          <w:i w:val="0"/>
          <w:color w:val="6B7686"/>
          <w:sz w:val="18"/>
        </w:rPr>
        <w:t>Note: minors' data and SafeSport information are called out deliberately - given USAT's youth athletes, these are likely the highest-risk categories and should default to prohibited.</w:t>
      </w:r>
    </w:p>
    <w:p>
      <w:pPr>
        <w:spacing w:after="80" w:before="160"/>
      </w:pPr>
      <w:r>
        <w:rPr>
          <w:b/>
          <w:color w:val="15284E"/>
          <w:sz w:val="25"/>
        </w:rPr>
        <w:t>5. Prohibited uses</w:t>
      </w:r>
    </w:p>
    <w:p>
      <w:pPr>
        <w:pStyle w:val="ListBullet"/>
        <w:spacing w:after="40"/>
      </w:pPr>
      <w:r>
        <w:rPr>
          <w:sz w:val="20"/>
        </w:rPr>
        <w:t>Drafting, amending, or interpreting contracts or other legal documents.</w:t>
      </w:r>
    </w:p>
    <w:p>
      <w:pPr>
        <w:pStyle w:val="ListBullet"/>
        <w:spacing w:after="40"/>
      </w:pPr>
      <w:r>
        <w:rPr>
          <w:sz w:val="20"/>
        </w:rPr>
        <w:t>Entering any Restricted data (Section 4): minors' data, health/medical &amp; anti-doping, SafeSport/investigations, financial/payment, HR/personnel, credentials/secrets, legal-hold material.</w:t>
      </w:r>
    </w:p>
    <w:p>
      <w:pPr>
        <w:pStyle w:val="ListBullet"/>
        <w:spacing w:after="40"/>
      </w:pPr>
      <w:r>
        <w:rPr>
          <w:sz w:val="20"/>
        </w:rPr>
        <w:t>Using AI as the sole decision-maker for consequential decisions (eligibility, sanctions, hiring/discipline) - AI may assist, a person decides.</w:t>
      </w:r>
    </w:p>
    <w:p>
      <w:pPr>
        <w:pStyle w:val="ListBullet"/>
        <w:spacing w:after="40"/>
      </w:pPr>
      <w:r>
        <w:rPr>
          <w:sz w:val="20"/>
        </w:rPr>
        <w:t>Publishing member-facing or official communications generated by AI without human review.</w:t>
      </w:r>
    </w:p>
    <w:p>
      <w:pPr>
        <w:pStyle w:val="ListBullet"/>
        <w:spacing w:after="40"/>
      </w:pPr>
      <w:r>
        <w:rPr>
          <w:sz w:val="20"/>
        </w:rPr>
        <w:t>Uploading USAT data to personal/consumer accounts or unapproved tools.</w:t>
      </w:r>
    </w:p>
    <w:p>
      <w:pPr>
        <w:spacing w:after="80" w:before="160"/>
      </w:pPr>
      <w:r>
        <w:rPr>
          <w:b/>
          <w:color w:val="15284E"/>
          <w:sz w:val="25"/>
        </w:rPr>
        <w:t>6. Human-in-the-loop &amp; accuracy</w:t>
      </w:r>
    </w:p>
    <w:p>
      <w:pPr>
        <w:pStyle w:val="ListBullet"/>
        <w:spacing w:after="40"/>
      </w:pPr>
      <w:r>
        <w:rPr>
          <w:sz w:val="20"/>
        </w:rPr>
        <w:t>A person reviews and approves AI output before it is used or sent; AI can be wrong or fabricate facts.</w:t>
      </w:r>
    </w:p>
    <w:p>
      <w:pPr>
        <w:pStyle w:val="ListBullet"/>
        <w:spacing w:after="40"/>
      </w:pPr>
      <w:r>
        <w:rPr>
          <w:sz w:val="20"/>
        </w:rPr>
        <w:t>The staff member using the tool owns the accuracy of the result.</w:t>
      </w:r>
    </w:p>
    <w:p>
      <w:pPr>
        <w:pStyle w:val="ListBullet"/>
        <w:spacing w:after="40"/>
      </w:pPr>
      <w:r>
        <w:rPr>
          <w:sz w:val="20"/>
        </w:rPr>
        <w:t>[Decide] disclosure expectations when AI materially assists member-facing or official content.</w:t>
      </w:r>
    </w:p>
    <w:p>
      <w:pPr>
        <w:spacing w:after="80" w:before="160"/>
      </w:pPr>
      <w:r>
        <w:rPr>
          <w:b/>
          <w:color w:val="15284E"/>
          <w:sz w:val="25"/>
        </w:rPr>
        <w:t>7. Third-party &amp; embedded AI</w:t>
      </w:r>
    </w:p>
    <w:p>
      <w:pPr>
        <w:pStyle w:val="ListBullet"/>
        <w:spacing w:after="40"/>
      </w:pPr>
      <w:r>
        <w:rPr>
          <w:sz w:val="20"/>
        </w:rPr>
        <w:t>AI features inside existing software (e.g., Salesforce, Microsoft 365/Copilot, Zoom, note-takers, Grammarly, Canva) are enabled only after the same DPA/retention review - turning them on is an approval decision, not a per-user choice.</w:t>
      </w:r>
    </w:p>
    <w:p>
      <w:pPr>
        <w:pStyle w:val="ListBullet"/>
        <w:spacing w:after="40"/>
      </w:pPr>
      <w:r>
        <w:rPr>
          <w:sz w:val="20"/>
        </w:rPr>
        <w:t>Watch for 'shadow AI': meeting-transcription bots that auto-join calls, browser extensions, and integrations that quietly send USAT data out.</w:t>
      </w:r>
    </w:p>
    <w:p>
      <w:pPr>
        <w:pStyle w:val="ListBullet"/>
        <w:spacing w:after="40"/>
      </w:pPr>
      <w:r>
        <w:rPr>
          <w:sz w:val="20"/>
        </w:rPr>
        <w:t>Example of acceptable use: an AI feature used only on app-specific, non-sensitive content (e.g., summarizing a public document) - not for member PII or Restricted data.</w:t>
      </w:r>
    </w:p>
    <w:p>
      <w:pPr>
        <w:spacing w:after="80" w:before="160"/>
      </w:pPr>
      <w:r>
        <w:rPr>
          <w:b/>
          <w:color w:val="15284E"/>
          <w:sz w:val="25"/>
        </w:rPr>
        <w:t>8. Agentic / desktop AI (e.g., Claude Cowork, computer-use)</w:t>
      </w:r>
    </w:p>
    <w:p>
      <w:pPr>
        <w:pStyle w:val="ListBullet"/>
        <w:spacing w:after="40"/>
      </w:pPr>
      <w:r>
        <w:rPr>
          <w:sz w:val="20"/>
        </w:rPr>
        <w:t>These tools can read files, the screen, the browser, and act on your machine - higher risk (mistakes, prompt injection).</w:t>
      </w:r>
    </w:p>
    <w:p>
      <w:pPr>
        <w:pStyle w:val="ListBullet"/>
        <w:spacing w:after="40"/>
      </w:pPr>
      <w:r>
        <w:rPr>
          <w:sz w:val="20"/>
        </w:rPr>
        <w:t>Use a dedicated working folder, grant least-privilege access, keep sensitive apps out of reach, supervise 'act without asking,' and use the commercial tier so activity can be logged.</w:t>
      </w:r>
    </w:p>
    <w:p>
      <w:pPr>
        <w:spacing w:after="80" w:before="160"/>
      </w:pPr>
      <w:r>
        <w:rPr>
          <w:b/>
          <w:color w:val="15284E"/>
          <w:sz w:val="25"/>
        </w:rPr>
        <w:t>9. Auditing &amp; monitoring AI usage</w:t>
      </w:r>
    </w:p>
    <w:p>
      <w:pPr>
        <w:pStyle w:val="ListBullet"/>
        <w:spacing w:after="40"/>
      </w:pPr>
      <w:r>
        <w:rPr>
          <w:sz w:val="20"/>
        </w:rPr>
        <w:t>Route all AI use through SSO-managed enterprise accounts - you can only audit what runs through managed accounts (the main reason to mandate corporate accounts).</w:t>
      </w:r>
    </w:p>
    <w:p>
      <w:pPr>
        <w:pStyle w:val="ListBullet"/>
        <w:spacing w:after="40"/>
      </w:pPr>
      <w:r>
        <w:rPr>
          <w:sz w:val="20"/>
        </w:rPr>
        <w:t>Use vendor admin/compliance logging: OpenAI Enterprise logs, Anthropic Enterprise (+ OpenTelemetry for Cowork events), Microsoft/Google audit logs.</w:t>
      </w:r>
    </w:p>
    <w:p>
      <w:pPr>
        <w:pStyle w:val="ListBullet"/>
        <w:spacing w:after="40"/>
      </w:pPr>
      <w:r>
        <w:rPr>
          <w:sz w:val="20"/>
        </w:rPr>
        <w:t>Optional DLP / network controls to flag PII leaving or block unapproved AI domains.</w:t>
      </w:r>
    </w:p>
    <w:p>
      <w:pPr>
        <w:pStyle w:val="ListBullet"/>
        <w:spacing w:after="40"/>
      </w:pPr>
      <w:r>
        <w:rPr>
          <w:sz w:val="20"/>
        </w:rPr>
        <w:t>Periodic attestation and usage surveys (the current AI-usage survey is step one).</w:t>
      </w:r>
    </w:p>
    <w:p>
      <w:pPr>
        <w:pStyle w:val="ListBullet"/>
        <w:spacing w:after="40"/>
      </w:pPr>
      <w:r>
        <w:rPr>
          <w:sz w:val="20"/>
        </w:rPr>
        <w:t>For anything USAT builds in-house, log AI usage in the application (as the email-queue proof of concept already does).</w:t>
      </w:r>
    </w:p>
    <w:p>
      <w:pPr>
        <w:spacing w:after="80" w:before="160"/>
      </w:pPr>
      <w:r>
        <w:rPr>
          <w:b/>
          <w:color w:val="15284E"/>
          <w:sz w:val="25"/>
        </w:rPr>
        <w:t>10. Cost &amp; procurement</w:t>
      </w:r>
    </w:p>
    <w:p>
      <w:pPr>
        <w:pStyle w:val="ListBullet"/>
        <w:spacing w:after="40"/>
      </w:pPr>
      <w:r>
        <w:rPr>
          <w:sz w:val="20"/>
        </w:rPr>
        <w:t>Centralize AI licensing and API spend under [IT/Owner] to avoid tool sprawl and control budget; each tool has a named owner.</w:t>
      </w:r>
    </w:p>
    <w:p>
      <w:pPr>
        <w:pStyle w:val="ListBullet"/>
        <w:spacing w:after="40"/>
      </w:pPr>
      <w:r>
        <w:rPr>
          <w:sz w:val="20"/>
        </w:rPr>
        <w:t>Tie seats/licenses and API usage to the annual budget. FY[__] Development/IT AI cost projection: $[____] (in progress).</w:t>
      </w:r>
    </w:p>
    <w:p>
      <w:pPr>
        <w:spacing w:after="80" w:before="160"/>
      </w:pPr>
      <w:r>
        <w:rPr>
          <w:b/>
          <w:color w:val="15284E"/>
          <w:sz w:val="25"/>
        </w:rPr>
        <w:t>11. Exceptions &amp; approval process</w:t>
      </w:r>
    </w:p>
    <w:p>
      <w:pPr>
        <w:pStyle w:val="ListBullet"/>
        <w:spacing w:after="40"/>
      </w:pPr>
      <w:r>
        <w:rPr>
          <w:sz w:val="20"/>
        </w:rPr>
        <w:t>Requests to use AI outside this policy (or to enter Confidential data) go to [approver/role] and are logged.</w:t>
      </w:r>
    </w:p>
    <w:p>
      <w:pPr>
        <w:pStyle w:val="ListBullet"/>
        <w:spacing w:after="40"/>
      </w:pPr>
      <w:r>
        <w:rPr>
          <w:sz w:val="20"/>
        </w:rPr>
        <w:t>Define who can approve, turnaround expectations, and how approvals are recorded (ties to the internal content/correction approval workflow under discussion).</w:t>
      </w:r>
    </w:p>
    <w:p>
      <w:pPr>
        <w:spacing w:after="80" w:before="160"/>
      </w:pPr>
      <w:r>
        <w:rPr>
          <w:b/>
          <w:color w:val="15284E"/>
          <w:sz w:val="25"/>
        </w:rPr>
        <w:t>12. Training, acknowledgment &amp; incident reporting</w:t>
      </w:r>
    </w:p>
    <w:p>
      <w:pPr>
        <w:pStyle w:val="ListBullet"/>
        <w:spacing w:after="40"/>
      </w:pPr>
      <w:r>
        <w:rPr>
          <w:sz w:val="20"/>
        </w:rPr>
        <w:t>Onboarding covers this policy, what counts as sensitive data, and prompt-injection awareness; staff acknowledge/sign off.</w:t>
      </w:r>
    </w:p>
    <w:p>
      <w:pPr>
        <w:pStyle w:val="ListBullet"/>
        <w:spacing w:after="40"/>
      </w:pPr>
      <w:r>
        <w:rPr>
          <w:sz w:val="20"/>
        </w:rPr>
        <w:t>If sensitive data is entered into the wrong tool, report it to [contact] immediately; [Legal/Privacy] assesses whether it's a reportable incident.</w:t>
      </w:r>
    </w:p>
    <w:p>
      <w:pPr>
        <w:spacing w:after="80" w:before="160"/>
      </w:pPr>
      <w:r>
        <w:rPr>
          <w:b/>
          <w:color w:val="15284E"/>
          <w:sz w:val="25"/>
        </w:rPr>
        <w:t>13. Governance</w:t>
      </w:r>
    </w:p>
    <w:p>
      <w:pPr>
        <w:pStyle w:val="ListBullet"/>
        <w:spacing w:after="40"/>
      </w:pPr>
      <w:r>
        <w:rPr>
          <w:sz w:val="20"/>
        </w:rPr>
        <w:t>Policy owner: [TBD]. Approvers: [TBD]. Legal/privacy contact: [TBD].</w:t>
      </w:r>
    </w:p>
    <w:p>
      <w:pPr>
        <w:pStyle w:val="ListBullet"/>
        <w:spacing w:after="40"/>
      </w:pPr>
      <w:r>
        <w:rPr>
          <w:sz w:val="20"/>
        </w:rPr>
        <w:t>Review at least every 6 months - AI tools and vendor terms change quickly.</w:t>
      </w:r>
    </w:p>
    <w:p>
      <w:pPr>
        <w:spacing w:after="80" w:before="160"/>
      </w:pPr>
      <w:r>
        <w:rPr>
          <w:b/>
          <w:color w:val="15284E"/>
          <w:sz w:val="25"/>
        </w:rPr>
        <w:t>14. Open decisions to confirm</w:t>
      </w:r>
    </w:p>
    <w:p>
      <w:pPr>
        <w:pStyle w:val="ListNumber"/>
        <w:spacing w:after="40"/>
      </w:pPr>
      <w:r>
        <w:rPr>
          <w:sz w:val="20"/>
        </w:rPr>
        <w:t>Which providers/tools does USAT sanction (and at what tier)?</w:t>
      </w:r>
    </w:p>
    <w:p>
      <w:pPr>
        <w:pStyle w:val="ListNumber"/>
        <w:spacing w:after="40"/>
      </w:pPr>
      <w:r>
        <w:rPr>
          <w:sz w:val="20"/>
        </w:rPr>
        <w:t>Final data-classification tiers and the specific categories in each (esp. minors, SafeSport, medical, financial).</w:t>
      </w:r>
    </w:p>
    <w:p>
      <w:pPr>
        <w:pStyle w:val="ListNumber"/>
        <w:spacing w:after="40"/>
      </w:pPr>
      <w:r>
        <w:rPr>
          <w:sz w:val="20"/>
        </w:rPr>
        <w:t>Does entering member PII into a non-ZDR tool constitute a reportable privacy incident?</w:t>
      </w:r>
    </w:p>
    <w:p>
      <w:pPr>
        <w:pStyle w:val="ListNumber"/>
        <w:spacing w:after="40"/>
      </w:pPr>
      <w:r>
        <w:rPr>
          <w:sz w:val="20"/>
        </w:rPr>
        <w:t>Consent/notice to members that data may be processed by AI vendors (privacy-policy update?).</w:t>
      </w:r>
    </w:p>
    <w:p>
      <w:pPr>
        <w:pStyle w:val="ListNumber"/>
        <w:spacing w:after="40"/>
      </w:pPr>
      <w:r>
        <w:rPr>
          <w:sz w:val="20"/>
        </w:rPr>
        <w:t>Applicable regimes to map: state privacy laws, COPPA/minors, SafeSport/Ted Stevens obligations, PCI for payments, any GDPR exposure, records retention/legal hold, IP ownership of AI output.</w:t>
      </w:r>
    </w:p>
    <w:p>
      <w:pPr>
        <w:pStyle w:val="ListNumber"/>
        <w:spacing w:after="40"/>
      </w:pPr>
      <w:r>
        <w:rPr>
          <w:sz w:val="20"/>
        </w:rPr>
        <w:t>Who owns the approval, audit, training, and budget lines above.</w:t>
      </w:r>
    </w:p>
    <w:p>
      <w:pPr>
        <w:spacing w:after="80" w:before="160"/>
      </w:pPr>
      <w:r>
        <w:rPr>
          <w:b/>
          <w:color w:val="15284E"/>
          <w:sz w:val="25"/>
        </w:rPr>
        <w:t>15. Related documents</w:t>
      </w:r>
    </w:p>
    <w:p>
      <w:pPr>
        <w:pStyle w:val="ListBullet"/>
        <w:spacing w:after="40"/>
      </w:pPr>
      <w:r>
        <w:rPr>
          <w:sz w:val="20"/>
        </w:rPr>
        <w:t>AI Data Privacy - thought-starter (providers, retention, ZDR/DPA).</w:t>
      </w:r>
    </w:p>
    <w:p>
      <w:pPr>
        <w:pStyle w:val="ListBullet"/>
        <w:spacing w:after="40"/>
      </w:pPr>
      <w:r>
        <w:rPr>
          <w:sz w:val="20"/>
        </w:rPr>
        <w:t>How This App Uses AI &amp; What It Shares (ai_data_use) - example of in-app data handling and logging.</w:t>
      </w:r>
    </w:p>
    <w:p>
      <w:pPr>
        <w:spacing w:before="160"/>
      </w:pPr>
      <w:r>
        <w:rPr>
          <w:i/>
          <w:color w:val="6B7686"/>
          <w:sz w:val="16"/>
        </w:rPr>
        <w:t>Draft for internal discussion. Not legal advice; obtain Legal's review before adoption.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