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color w:val="15284E"/>
          <w:sz w:val="36"/>
        </w:rPr>
        <w:t>Protecting Data That Interacts With AI</w:t>
      </w:r>
    </w:p>
    <w:p>
      <w:pPr>
        <w:spacing w:after="40"/>
      </w:pPr>
      <w:r>
        <w:rPr>
          <w:i w:val="0"/>
          <w:color w:val="6B7686"/>
          <w:sz w:val="21"/>
        </w:rPr>
        <w:t>Initial thought-starter for Legal review - ChatGPT &amp; Claude (API, consumer, enterprise) and Claude Cowork.</w:t>
      </w:r>
    </w:p>
    <w:p>
      <w:pPr>
        <w:spacing w:after="160"/>
      </w:pPr>
      <w:r>
        <w:rPr>
          <w:i/>
          <w:color w:val="E4002B"/>
          <w:sz w:val="17"/>
        </w:rPr>
        <w:t>Prepared by skip  -  June 2026  -  DRAFT FOR DISCUSSION, not legal advice. Vendor terms change; verify before relying on them.</w:t>
      </w:r>
    </w:p>
    <w:p>
      <w:pPr>
        <w:spacing w:after="80" w:before="0"/>
      </w:pPr>
      <w:r>
        <w:rPr>
          <w:b/>
          <w:color w:val="15284E"/>
          <w:sz w:val="24"/>
        </w:rPr>
        <w:t>Risks and mitigating actions by scenario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shd w:val="clear" w:color="auto" w:fill="15284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Scenario (what governs it)</w:t>
            </w:r>
          </w:p>
        </w:tc>
        <w:tc>
          <w:tcPr>
            <w:tcW w:type="dxa" w:w="3168"/>
            <w:shd w:val="clear" w:color="auto" w:fill="15284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Defaults today</w:t>
            </w:r>
          </w:p>
        </w:tc>
        <w:tc>
          <w:tcPr>
            <w:tcW w:type="dxa" w:w="2952"/>
            <w:shd w:val="clear" w:color="auto" w:fill="15284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Key risks</w:t>
            </w:r>
          </w:p>
        </w:tc>
        <w:tc>
          <w:tcPr>
            <w:tcW w:type="dxa" w:w="2952"/>
            <w:shd w:val="clear" w:color="auto" w:fill="15284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Mitigating actions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/>
                <w:color w:val="15284E"/>
                <w:sz w:val="18"/>
              </w:rPr>
              <w:t>OpenAI API - GPT models (Commercial / API terms)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Not used for training by default. Inputs/outputs kept in abuse-monitoring logs ~30 days, then deleted.</w:t>
            </w:r>
          </w:p>
        </w:tc>
        <w:tc>
          <w:tcPr>
            <w:tcW w:type="dxa" w:w="29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~30-day window where data exists and may be human-reviewed; flagged content kept longer; subprocessors.</w:t>
            </w:r>
          </w:p>
        </w:tc>
        <w:tc>
          <w:tcPr>
            <w:tcW w:type="dxa" w:w="29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Sign DPA; request Zero Data Retention or Modified Abuse Monitoring (sales-approved); never enable training; use an org-owned account.</w:t>
            </w:r>
          </w:p>
        </w:tc>
      </w:tr>
      <w:tr>
        <w:tc>
          <w:tcPr>
            <w:tcW w:type="dxa" w:w="230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/>
                <w:color w:val="15284E"/>
                <w:sz w:val="18"/>
              </w:rPr>
              <w:t>Anthropic Claude API (Commercial / API terms)</w:t>
            </w:r>
          </w:p>
        </w:tc>
        <w:tc>
          <w:tcPr>
            <w:tcW w:type="dxa" w:w="316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Not used for training by default. Inputs/outputs auto-deleted within 30 days; flagged content up to 2 yrs (safety scores 7 yrs); some “Covered Models” keep limited data.</w:t>
            </w:r>
          </w:p>
        </w:tc>
        <w:tc>
          <w:tcPr>
            <w:tcW w:type="dxa" w:w="2952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Same ~30-day human-review window; longer retention if flagged; Covered-Model carve-out limits ZDR.</w:t>
            </w:r>
          </w:p>
        </w:tc>
        <w:tc>
          <w:tcPr>
            <w:tcW w:type="dxa" w:w="2952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Sign DPA; request ZDR and confirm the chosen model is fully covered; don’t submit feedback/opt-in; use an org-owned account.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/>
                <w:color w:val="15284E"/>
                <w:sz w:val="18"/>
              </w:rPr>
              <w:t>Personal API account (either vendor)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API/commercial terms still apply - same no-training default and 30-day deletion as a business account.</w:t>
            </w:r>
          </w:p>
        </w:tc>
        <w:tc>
          <w:tcPr>
            <w:tcW w:type="dxa" w:w="29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Governance, not the model: the individual is the contracting party; no org control; ZDR hard to get solo; access tied to one person.</w:t>
            </w:r>
          </w:p>
        </w:tc>
        <w:tc>
          <w:tcPr>
            <w:tcW w:type="dxa" w:w="29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Move to an org-owned account before any real member data; DPA/ZDR signed by the organization; restrict and rotate API keys.</w:t>
            </w:r>
          </w:p>
        </w:tc>
      </w:tr>
      <w:tr>
        <w:tc>
          <w:tcPr>
            <w:tcW w:type="dxa" w:w="230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/>
                <w:color w:val="15284E"/>
                <w:sz w:val="18"/>
              </w:rPr>
              <w:t>ChatGPT app / Claude.ai - Personal (Free/Pro/Max) (Consumer terms)</w:t>
            </w:r>
          </w:p>
        </w:tc>
        <w:tc>
          <w:tcPr>
            <w:tcW w:type="dxa" w:w="316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Training is a SETTING. If on, data may train models and is kept de-identified up to ~5 yrs. If off, 30-day retention, no training. No ZDR; no admin controls.</w:t>
            </w:r>
          </w:p>
        </w:tc>
        <w:tc>
          <w:tcPr>
            <w:tcW w:type="dxa" w:w="2952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Accidental training use if the toggle is on; long retention; no enterprise oversight; staff pasting member PII into chats.</w:t>
            </w:r>
          </w:p>
        </w:tc>
        <w:tc>
          <w:tcPr>
            <w:tcW w:type="dxa" w:w="2952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Turn OFF “Help Improve Claude” / ChatGPT “Improve the model for everyone”; keep member PII out; prefer enterprise for real data.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/>
                <w:color w:val="15284E"/>
                <w:sz w:val="18"/>
              </w:rPr>
              <w:t>ChatGPT / Claude - Team or Enterprise (Commercial terms)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Not used for training by default; admin custom data-retention controls; SSO/audit available.</w:t>
            </w:r>
          </w:p>
        </w:tc>
        <w:tc>
          <w:tcPr>
            <w:tcW w:type="dxa" w:w="29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Misconfiguration; connectors/integrations can broaden data exposure; a DPA is still required.</w:t>
            </w:r>
          </w:p>
        </w:tc>
        <w:tc>
          <w:tcPr>
            <w:tcW w:type="dxa" w:w="29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Use enterprise for real member data; set custom retention; enforce admin governance/SSO; execute the DPA.</w:t>
            </w:r>
          </w:p>
        </w:tc>
      </w:tr>
      <w:tr>
        <w:tc>
          <w:tcPr>
            <w:tcW w:type="dxa" w:w="2304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/>
                <w:color w:val="15284E"/>
                <w:sz w:val="18"/>
              </w:rPr>
              <w:t>Claude Cowork - agentic desktop assistant (governed by the plan it runs on)</w:t>
            </w:r>
          </w:p>
        </w:tc>
        <w:tc>
          <w:tcPr>
            <w:tcW w:type="dxa" w:w="3168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Pro/Max = consumer terms; Team/Enterprise = commercial terms. Activity not yet in the Compliance API; Team/Ent can stream events via OpenTelemetry.</w:t>
            </w:r>
          </w:p>
        </w:tc>
        <w:tc>
          <w:tcPr>
            <w:tcW w:type="dxa" w:w="2952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On a personal plan it inherits consumer risks (training toggle, no ZDR, no admin visibility); agentic access to files/screen/browser; prompt-injection; data can flow across apps.</w:t>
            </w:r>
          </w:p>
        </w:tc>
        <w:tc>
          <w:tcPr>
            <w:tcW w:type="dxa" w:w="2952"/>
            <w:shd w:val="clear" w:color="auto" w:fill="EEF2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Keep real member PII out of Cowork on personal plans; use Team/Enterprise for real data; training off; dedicated working folder + least-privilege file/app/web access; supervise “act without asking”; enable OpenTelemetry logging.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b/>
          <w:color w:val="15284E"/>
          <w:sz w:val="24"/>
        </w:rPr>
        <w:t>Cross-cutting principles</w:t>
      </w:r>
    </w:p>
    <w:p>
      <w:pPr>
        <w:pStyle w:val="ListBullet"/>
        <w:spacing w:after="40"/>
      </w:pPr>
      <w:r>
        <w:rPr>
          <w:sz w:val="20"/>
        </w:rPr>
        <w:t>The decisive line is API/commercial vs. consumer app - not the brand. API and Team/Enterprise: no training by default. Consumer (Free/Pro/Max): training is a user toggle.</w:t>
      </w:r>
    </w:p>
    <w:p>
      <w:pPr>
        <w:pStyle w:val="ListBullet"/>
        <w:spacing w:after="40"/>
      </w:pPr>
      <w:r>
        <w:rPr>
          <w:sz w:val="20"/>
        </w:rPr>
        <w:t>ZDR and DPAs are commercial-organization instruments - granted by vendor sales after review, not self-serve, and generally unavailable on personal/consumer plans.</w:t>
      </w:r>
    </w:p>
    <w:p>
      <w:pPr>
        <w:pStyle w:val="ListBullet"/>
        <w:spacing w:after="40"/>
      </w:pPr>
      <w:r>
        <w:rPr>
          <w:sz w:val="20"/>
        </w:rPr>
        <w:t>“Covered”/safety models may retain some data even under ZDR - verify per model.</w:t>
      </w:r>
    </w:p>
    <w:p>
      <w:pPr>
        <w:pStyle w:val="ListBullet"/>
        <w:spacing w:after="40"/>
      </w:pPr>
      <w:r>
        <w:rPr>
          <w:sz w:val="20"/>
        </w:rPr>
        <w:t>Default deletion is ~30 days for commercial/API use; content flagged by safety classifiers is retained much longer.</w:t>
      </w:r>
    </w:p>
    <w:p>
      <w:pPr>
        <w:spacing w:after="60" w:before="0"/>
      </w:pPr>
      <w:r>
        <w:rPr>
          <w:b/>
          <w:color w:val="15284E"/>
          <w:sz w:val="24"/>
        </w:rPr>
        <w:t>Recommended sequence before processing real member data</w:t>
      </w:r>
    </w:p>
    <w:p>
      <w:pPr>
        <w:pStyle w:val="ListNumber"/>
        <w:spacing w:after="40"/>
      </w:pPr>
      <w:r>
        <w:rPr>
          <w:sz w:val="20"/>
        </w:rPr>
        <w:t>Decide a single approved path (org-owned Enterprise app and/or the API) - no personal accounts for real data.</w:t>
      </w:r>
    </w:p>
    <w:p>
      <w:pPr>
        <w:pStyle w:val="ListNumber"/>
        <w:spacing w:after="40"/>
      </w:pPr>
      <w:r>
        <w:rPr>
          <w:sz w:val="20"/>
        </w:rPr>
        <w:t>Execute a DPA with each vendor in use.</w:t>
      </w:r>
    </w:p>
    <w:p>
      <w:pPr>
        <w:pStyle w:val="ListNumber"/>
        <w:spacing w:after="40"/>
      </w:pPr>
      <w:r>
        <w:rPr>
          <w:sz w:val="20"/>
        </w:rPr>
        <w:t>Request ZDR (API) and/or set Enterprise custom retention; confirm the chosen models are fully covered.</w:t>
      </w:r>
    </w:p>
    <w:p>
      <w:pPr>
        <w:pStyle w:val="ListNumber"/>
        <w:spacing w:after="40"/>
      </w:pPr>
      <w:r>
        <w:rPr>
          <w:sz w:val="20"/>
        </w:rPr>
        <w:t>Disable all training opt-ins and document the settings.</w:t>
      </w:r>
    </w:p>
    <w:p>
      <w:pPr>
        <w:pStyle w:val="ListNumber"/>
        <w:spacing w:after="40"/>
      </w:pPr>
      <w:r>
        <w:rPr>
          <w:sz w:val="20"/>
        </w:rPr>
        <w:t>Prohibit member PII on personal/consumer accounts and in Cowork on personal plans.</w:t>
      </w:r>
    </w:p>
    <w:p>
      <w:pPr>
        <w:pStyle w:val="ListNumber"/>
        <w:spacing w:after="40"/>
      </w:pPr>
      <w:r>
        <w:rPr>
          <w:sz w:val="20"/>
        </w:rPr>
        <w:t>Keep the proof-of-concept on mock/sandbox data until the above are confirmed.</w:t>
      </w:r>
    </w:p>
    <w:p>
      <w:pPr>
        <w:spacing w:after="60" w:before="0"/>
      </w:pPr>
      <w:r>
        <w:rPr>
          <w:b/>
          <w:color w:val="15284E"/>
          <w:sz w:val="24"/>
        </w:rPr>
        <w:t>Questions for Legal</w:t>
      </w:r>
    </w:p>
    <w:p>
      <w:pPr>
        <w:pStyle w:val="ListNumber"/>
        <w:spacing w:after="40"/>
      </w:pPr>
      <w:r>
        <w:rPr>
          <w:sz w:val="20"/>
        </w:rPr>
        <w:t>Is a signed DPA (and is ZDR) required before any real member PII may be processed by OpenAI or Anthropic?</w:t>
      </w:r>
    </w:p>
    <w:p>
      <w:pPr>
        <w:pStyle w:val="ListNumber"/>
        <w:spacing w:after="40"/>
      </w:pPr>
      <w:r>
        <w:rPr>
          <w:sz w:val="20"/>
        </w:rPr>
        <w:t>Are USAT member data fields sensitive/regulated enough to need more than a standard DPA (e.g., minors’ data, special categories)?</w:t>
      </w:r>
    </w:p>
    <w:p>
      <w:pPr>
        <w:pStyle w:val="ListNumber"/>
        <w:spacing w:after="40"/>
      </w:pPr>
      <w:r>
        <w:rPr>
          <w:sz w:val="20"/>
        </w:rPr>
        <w:t>Is the default ~30-day commercial retention acceptable, or should ZDR be mandatory for member data?</w:t>
      </w:r>
    </w:p>
    <w:p>
      <w:pPr>
        <w:pStyle w:val="ListNumber"/>
        <w:spacing w:after="40"/>
      </w:pPr>
      <w:r>
        <w:rPr>
          <w:sz w:val="20"/>
        </w:rPr>
        <w:t>May personal/consumer accounts be used for any non-production work, or should they be prohibited entirely?</w:t>
      </w:r>
    </w:p>
    <w:p>
      <w:pPr>
        <w:pStyle w:val="ListNumber"/>
        <w:spacing w:after="40"/>
      </w:pPr>
      <w:r>
        <w:rPr>
          <w:sz w:val="20"/>
        </w:rPr>
        <w:t>Any restrictions on Claude Cowork given its file/screen/browser access and that its activity is not yet in the Compliance API?</w:t>
      </w:r>
    </w:p>
    <w:p>
      <w:pPr>
        <w:pStyle w:val="ListNumber"/>
        <w:spacing w:after="40"/>
      </w:pPr>
      <w:r>
        <w:rPr>
          <w:sz w:val="20"/>
        </w:rPr>
        <w:t>Requirements around vendor subprocessor lists and data residency?</w:t>
      </w:r>
    </w:p>
    <w:p>
      <w:pPr>
        <w:pStyle w:val="ListNumber"/>
        <w:spacing w:after="40"/>
      </w:pPr>
      <w:r>
        <w:rPr>
          <w:sz w:val="20"/>
        </w:rPr>
        <w:t>Consent or notice obligations to members whose data is processed by a third-party AI vendor?</w:t>
      </w:r>
    </w:p>
    <w:p>
      <w:pPr>
        <w:spacing w:before="160"/>
      </w:pPr>
      <w:r>
        <w:rPr>
          <w:i/>
          <w:color w:val="6B7686"/>
          <w:sz w:val="16"/>
        </w:rPr>
        <w:t>This internal draft summarizes publicly available vendor documentation as of June 2026 to facilitate legal review. It is not legal advice. Vendor terms and product behavior change - confirm current terms with each vendor and obtain Legal’s guidance before processing real member data.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