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2026-03-21 00:16:12</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c>
          <w:tcPr>
            <w:tcW w:w="5200" w:type="dxa"/>
            <w:shd w:val="clear" w:color="auto" w:fill="D9E2F3"/>
          </w:tcPr>
          <w:p>
            <w:pPr>
              <w:spacing w:before="0" w:after="0"/>
            </w:pPr>
            <w:r>
              <w:rPr>
                <w:b/>
                <w:bCs/>
                <w:sz w:val="20"/>
                <w:szCs w:val="20"/>
              </w:rPr>
              <w:t xml:space="preserve">Comments</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GLYCERIN</w:t>
            </w:r>
          </w:p>
        </w:tc>
        <w:tc>
          <w:tcPr>
            <w:tcW w:w="1900" w:type="dxa"/>
          </w:tcPr>
          <w:p>
            <w:pPr>
              <w:spacing w:before="0" w:after="0"/>
            </w:pPr>
            <w:r>
              <w:rPr>
                <w:sz w:val="20"/>
                <w:szCs w:val="20"/>
              </w:rPr>
              <w:t xml:space="preserve">56-81-5</w:t>
            </w:r>
          </w:p>
        </w:tc>
        <w:tc>
          <w:tcPr>
            <w:tcW w:w="1300" w:type="dxa"/>
          </w:tcPr>
          <w:p>
            <w:pPr>
              <w:spacing w:before="0" w:after="0"/>
            </w:pPr>
            <w:r>
              <w:rPr>
                <w:sz w:val="20"/>
                <w:szCs w:val="20"/>
              </w:rPr>
              <w:t xml:space="preserve">1.16</w:t>
            </w:r>
          </w:p>
        </w:tc>
        <w:tc>
          <w:tcPr>
            <w:tcW w:w="2200" w:type="dxa"/>
          </w:tcPr>
          <w:p>
            <w:pPr>
              <w:spacing w:before="0" w:after="0"/>
            </w:pPr>
            <w:r>
              <w:rPr>
                <w:sz w:val="20"/>
                <w:szCs w:val="20"/>
              </w:rPr>
              <w:t xml:space="preserve">Restricted</w:t>
            </w:r>
          </w:p>
        </w:tc>
        <w:tc>
          <w:tcPr>
            <w:tcW w:w="5200" w:type="dxa"/>
          </w:tcPr>
          <w:p>
            <w:pPr>
              <w:spacing w:before="0" w:after="0"/>
            </w:pPr>
            <w:r>
              <w:rPr>
                <w:sz w:val="20"/>
                <w:szCs w:val="20"/>
              </w:rPr>
              <w:t xml:space="preserve">Matched ingredient: Glycerin</w:t>
              <w:br/>
              <w:t xml:space="preserve">Matched CAS: 56-81-5</w:t>
              <w:br/>
              <w:t xml:space="preserve">Conditions of use: Manufacturers of oral and leave-on products containing glycerin must ensure the raw material used is within the specifications of an accepted pharmacopoeia with respect to diethylene glycol (DEG) impurities (e.g. Glycerin Official Monograph in the most current edition of the USP).</w:t>
              <w:br/>
              <w:t xml:space="preserve">Max concentration:</w:t>
              <w:br/>
              <w:t xml:space="preserve">Warning statement:</w:t>
              <w:br/>
              <w:t xml:space="preserve">Assessment note: For BRUSH CLEANSER, glycerin (CAS 56-81-5) is used at 1.16% w/w. As this is a rinse-off product, the CA_RESTRICTED condition regarding diethylene glycol (DEG) impurity limits—specifically applicable to oral and leave-on products—does not apply. No concentration limit or warning statement is specified for rinse-off use in this source. Confirm raw material meets pharmacopoeial specifications per supplier documentation as good manufacturing practice.</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CITRATE</w:t>
            </w:r>
          </w:p>
        </w:tc>
        <w:tc>
          <w:tcPr>
            <w:tcW w:w="1900" w:type="dxa"/>
          </w:tcPr>
          <w:p>
            <w:pPr>
              <w:spacing w:before="0" w:after="0"/>
            </w:pPr>
            <w:r>
              <w:rPr>
                <w:sz w:val="20"/>
                <w:szCs w:val="20"/>
              </w:rPr>
              <w:t xml:space="preserve">68-04-2;994-36-5;6132-04-3</w:t>
            </w:r>
          </w:p>
        </w:tc>
        <w:tc>
          <w:tcPr>
            <w:tcW w:w="1300" w:type="dxa"/>
          </w:tcPr>
          <w:p>
            <w:pPr>
              <w:spacing w:before="0" w:after="0"/>
            </w:pPr>
            <w:r>
              <w:rPr>
                <w:sz w:val="20"/>
                <w:szCs w:val="20"/>
              </w:rPr>
              <w:t xml:space="preserve">0.5</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Sodium citrate is listed in the California restricted ingredient list as a salt of citric acid (an alpha-hydroxy acid). For brush cleansers — which are rinse-off cosmetic products not intended for direct, prolonged skin contact — the applicability of the AHA restrictions (e.g., pH and concentration limits) is uncertain. Review is needed to confirm whether this restriction applies to non-leave-on, non-skin-applied cosmetics such as brush cleansers.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CA_RESTRICTED matched via database synonym. | CA Restricted hit needs manual review because name matched but CAS did not.</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CITRIC ACID</w:t>
            </w:r>
          </w:p>
        </w:tc>
        <w:tc>
          <w:tcPr>
            <w:tcW w:w="1900" w:type="dxa"/>
          </w:tcPr>
          <w:p>
            <w:pPr>
              <w:spacing w:before="0" w:after="0"/>
            </w:pPr>
            <w:r>
              <w:rPr>
                <w:sz w:val="20"/>
                <w:szCs w:val="20"/>
              </w:rPr>
              <w:t xml:space="preserve">77-92-9;5949-29-1</w:t>
            </w:r>
          </w:p>
        </w:tc>
        <w:tc>
          <w:tcPr>
            <w:tcW w:w="1300" w:type="dxa"/>
          </w:tcPr>
          <w:p>
            <w:pPr>
              <w:spacing w:before="0" w:after="0"/>
            </w:pPr>
            <w:r>
              <w:rPr>
                <w:sz w:val="20"/>
                <w:szCs w:val="20"/>
              </w:rPr>
              <w:t xml:space="preserve">0.001</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 | Citric acid</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w:t>
              <w:br/>
              <w:t xml:space="preserve">See "Alpha-hydroxy acids".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Citric acid (CAS 77-92-9, 5949-29-1) is listed under Canada’s restricted substances for alpha-hydroxy acids (AHAs). For brush cleansers — which are rinse-off cosmetic products not intended for direct, prolonged skin contact — applicability of the AHA restrictions is uncertain. The ingredient is present at 0.001% w/w, well below the 3% minimum threshold for regulated AHA concentrations in most categories. However, because the product’s classification (e.g., whether it falls under 'other cosmetics' or is exempt as a non-skin-contact item) requires clarification, regulatory review is recommended to confirm exemption status and labeling obligations.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Multiple CA Restricted entries matched; verify which restriction line applies.</w:t>
            </w:r>
          </w:p>
        </w:tc>
      </w:tr>
    </w:tbl>
    <w:p>
      <w:pPr>
        <w:spacing w:before="0" w:after="80"/>
      </w:pPr>
      <w:r>
        <w:rPr>
          <w:sz w:val="20"/>
          <w:szCs w:val="20"/>
        </w:rPr>
        <w:t xml:space="preserve"/>
      </w:r>
    </w:p>
    <w:p>
      <w:pPr>
        <w:spacing w:before="0" w:after="120"/>
      </w:pPr>
      <w:r>
        <w:rPr>
          <w:b/>
          <w:bCs/>
          <w:sz w:val="24"/>
          <w:szCs w:val="24"/>
        </w:rPr>
        <w:t xml:space="preserve">Notes</w:t>
      </w:r>
    </w:p>
    <w:p>
      <w:pPr>
        <w:spacing w:before="0" w:after="40"/>
      </w:pPr>
      <w:r>
        <w:rPr>
          <w:sz w:val="20"/>
          <w:szCs w:val="20"/>
        </w:rPr>
        <w:t xml:space="preserve">1. This report is based on workbook Cosmetic_Compliance_Output_20260320_232043.xlsx, sheet 03_FS420.</w:t>
      </w:r>
    </w:p>
    <w:p>
      <w:pPr>
        <w:spacing w:before="0" w:after="40"/>
      </w:pPr>
      <w:r>
        <w:rPr>
          <w:sz w:val="20"/>
          <w:szCs w:val="20"/>
        </w:rPr>
        <w:t xml:space="preserve">2. CA summary for this formula: 0 prohibited hit(s), 3 restricted hit(s), 2 CA-related manual review item(s).</w:t>
      </w:r>
    </w:p>
    <w:p>
      <w:pPr>
        <w:spacing w:before="0" w:after="40"/>
      </w:pPr>
      <w:r>
        <w:rPr>
          <w:sz w:val="20"/>
          <w:szCs w:val="20"/>
        </w:rPr>
        <w:t xml:space="preserve">3. CAS exact match is prioritized over name match in the screening workflow.</w:t>
      </w:r>
    </w:p>
    <w:p>
      <w:pPr>
        <w:spacing w:before="0" w:after="40"/>
      </w:pPr>
      <w:r>
        <w:rPr>
          <w:sz w:val="20"/>
          <w:szCs w:val="20"/>
        </w:rPr>
        <w:t xml:space="preserve">4. When name and CAS do not align, the hit should be manually reviewed even if a database row was found.</w:t>
      </w:r>
    </w:p>
    <w:p>
      <w:pPr>
        <w:spacing w:before="0" w:after="40"/>
      </w:pPr>
      <w:r>
        <w:rPr>
          <w:sz w:val="20"/>
          <w:szCs w:val="20"/>
        </w:rPr>
        <w:t xml:space="preserve">5. Rows without CA Hotlist hits are listed for completeness and are not automatic manual review items.</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2026-03-20T16:16:12Z</dcterms:created>
  <dcterms:modified xsi:type="dcterms:W3CDTF">2026-03-20T16:16:12Z</dcterms:modified>
</cp:coreProperties>
</file>