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00:16:12</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Compliance 1)</w:t>
            </w:r>
          </w:p>
        </w:tc>
        <w:tc>
          <w:tcPr>
            <w:tcW w:w="5200" w:type="dxa"/>
          </w:tcPr>
          <w:p>
            <w:pPr>
              <w:spacing w:before="0" w:after="0"/>
            </w:pPr>
            <w:r>
              <w:rPr>
                <w:sz w:val="20"/>
                <w:szCs w:val="20"/>
              </w:rPr>
              <w:t xml:space="preserve">1) SODIUM LAURETH SULFATE was found in the CIR Quick Reference Table, and is Safe in the present practices of use and concentration.</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Compliance 2)</w:t>
            </w:r>
          </w:p>
        </w:tc>
        <w:tc>
          <w:tcPr>
            <w:tcW w:w="5200" w:type="dxa"/>
          </w:tcPr>
          <w:p>
            <w:pPr>
              <w:spacing w:before="0" w:after="0"/>
            </w:pPr>
            <w:r>
              <w:rPr>
                <w:sz w:val="20"/>
                <w:szCs w:val="20"/>
              </w:rPr>
              <w:t xml:space="preserve">2) PALM KERNELAMIDE DEA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Compliance 3)</w:t>
            </w:r>
          </w:p>
        </w:tc>
        <w:tc>
          <w:tcPr>
            <w:tcW w:w="5200" w:type="dxa"/>
          </w:tcPr>
          <w:p>
            <w:pPr>
              <w:spacing w:before="0" w:after="0"/>
            </w:pPr>
            <w:r>
              <w:rPr>
                <w:sz w:val="20"/>
                <w:szCs w:val="20"/>
              </w:rPr>
              <w:t xml:space="preserve">3) COCAMIDOPROPYL BETAINE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Compliance 4)</w:t>
            </w:r>
          </w:p>
        </w:tc>
        <w:tc>
          <w:tcPr>
            <w:tcW w:w="5200" w:type="dxa"/>
          </w:tcPr>
          <w:p>
            <w:pPr>
              <w:spacing w:before="0" w:after="0"/>
            </w:pPr>
            <w:r>
              <w:rPr>
                <w:sz w:val="20"/>
                <w:szCs w:val="20"/>
              </w:rPr>
              <w:t xml:space="preserve">4) GLYCERIN was found in the CIR Quick Reference Table, and is Safe in the present practices of use and concentration.</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Compliance 5)</w:t>
            </w:r>
          </w:p>
        </w:tc>
        <w:tc>
          <w:tcPr>
            <w:tcW w:w="5200" w:type="dxa"/>
          </w:tcPr>
          <w:p>
            <w:pPr>
              <w:spacing w:before="0" w:after="0"/>
            </w:pPr>
            <w:r>
              <w:rPr>
                <w:sz w:val="20"/>
                <w:szCs w:val="20"/>
              </w:rPr>
              <w:t xml:space="preserve">5) SODIUM CITRATE was found in the CIR Quick Reference Table, and is Safe in the present practices of use and concentration.</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Compliance 6)</w:t>
            </w:r>
          </w:p>
        </w:tc>
        <w:tc>
          <w:tcPr>
            <w:tcW w:w="5200" w:type="dxa"/>
          </w:tcPr>
          <w:p>
            <w:pPr>
              <w:spacing w:before="0" w:after="0"/>
            </w:pPr>
            <w:r>
              <w:rPr>
                <w:sz w:val="20"/>
                <w:szCs w:val="20"/>
              </w:rPr>
              <w:t xml:space="preserve">6) CHLOROXYLENOL was found in the CIR Quick Reference Table, and is Safe in the present practices of use and concentration.</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7)</w:t>
            </w:r>
          </w:p>
        </w:tc>
        <w:tc>
          <w:tcPr>
            <w:tcW w:w="5200" w:type="dxa"/>
          </w:tcPr>
          <w:p>
            <w:pPr>
              <w:spacing w:before="0" w:after="0"/>
            </w:pPr>
            <w:r>
              <w:rPr>
                <w:sz w:val="20"/>
                <w:szCs w:val="20"/>
              </w:rPr>
              <w:t xml:space="preserve">7) DMDM HYDANTOIN was found in the CIR Quick Reference Table, and is Safe in the present practices of use and concentration.</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Compliance 8)</w:t>
            </w:r>
          </w:p>
        </w:tc>
        <w:tc>
          <w:tcPr>
            <w:tcW w:w="5200" w:type="dxa"/>
          </w:tcPr>
          <w:p>
            <w:pPr>
              <w:spacing w:before="0" w:after="0"/>
            </w:pPr>
            <w:r>
              <w:rPr>
                <w:sz w:val="20"/>
                <w:szCs w:val="20"/>
              </w:rPr>
              <w:t xml:space="preserve">8) DIAZOLIDINYL UREA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Compliance 9)</w:t>
            </w:r>
          </w:p>
        </w:tc>
        <w:tc>
          <w:tcPr>
            <w:tcW w:w="5200" w:type="dxa"/>
          </w:tcPr>
          <w:p>
            <w:pPr>
              <w:spacing w:before="0" w:after="0"/>
            </w:pPr>
            <w:r>
              <w:rPr>
                <w:sz w:val="20"/>
                <w:szCs w:val="20"/>
              </w:rPr>
              <w:t xml:space="preserve">9) TOCOPHERYL ACETATE was found in the CIR Quick Reference Table, and is Safe in the present practices of use and concentration.</w:t>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CIR/CFR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Compliance 10)</w:t>
            </w:r>
          </w:p>
        </w:tc>
        <w:tc>
          <w:tcPr>
            <w:tcW w:w="5200" w:type="dxa"/>
          </w:tcPr>
          <w:p>
            <w:pPr>
              <w:spacing w:before="0" w:after="0"/>
            </w:pPr>
            <w:r>
              <w:rPr>
                <w:sz w:val="20"/>
                <w:szCs w:val="20"/>
              </w:rPr>
              <w:t xml:space="preserve">10) DISODIUM EDTA was found in the CIR Quick Reference Table, and is Safe in the present practices of use and concentration.</w:t>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Compliance 11)</w:t>
            </w:r>
          </w:p>
        </w:tc>
        <w:tc>
          <w:tcPr>
            <w:tcW w:w="5200" w:type="dxa"/>
          </w:tcPr>
          <w:p>
            <w:pPr>
              <w:spacing w:before="0" w:after="0"/>
            </w:pPr>
            <w:r>
              <w:rPr>
                <w:sz w:val="20"/>
                <w:szCs w:val="20"/>
              </w:rPr>
              <w:t xml:space="preserve">11) CITRIC ACID was found in the CIR Quick Reference Table, and is Safe in the present practices of use and concentration.</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1. This report is based on workbook Cosmetic_Compliance_Output_20260320_232043.xlsx, sheet 03_FS420.</w:t>
      </w:r>
    </w:p>
    <w:p>
      <w:pPr>
        <w:spacing w:before="0" w:after="40"/>
      </w:pPr>
      <w:r>
        <w:rPr>
          <w:sz w:val="20"/>
          <w:szCs w:val="20"/>
        </w:rPr>
        <w:t xml:space="preserve">2. US summary for this formula: 11 CIR reference row(s), 0 CFR hit(s), 2 US-related manual review item(s).</w:t>
      </w:r>
    </w:p>
    <w:p>
      <w:pPr>
        <w:spacing w:before="0" w:after="40"/>
      </w:pPr>
      <w:r>
        <w:rPr>
          <w:sz w:val="20"/>
          <w:szCs w:val="20"/>
        </w:rPr>
        <w:t xml:space="preserve">3. CIR findings are reference conclusions copied from the CIR Quick Reference Table and should be read with the source context.</w:t>
      </w:r>
    </w:p>
    <w:p>
      <w:pPr>
        <w:spacing w:before="0" w:after="40"/>
      </w:pPr>
      <w:r>
        <w:rPr>
          <w:sz w:val="20"/>
          <w:szCs w:val="20"/>
        </w:rPr>
        <w:t xml:space="preserve">4. If the CIR source table has a blank conclusion cell, this report keeps it blank instead of inventing text.</w:t>
      </w:r>
    </w:p>
    <w:p>
      <w:pPr>
        <w:spacing w:before="0" w:after="40"/>
      </w:pPr>
      <w:r>
        <w:rPr>
          <w:sz w:val="20"/>
          <w:szCs w:val="20"/>
        </w:rPr>
        <w:t xml:space="preserve">5. Any CFR hit should be escalated for regulatory review before product release.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2026-03-20T16:16:12Z</dcterms:created>
  <dcterms:modified xsi:type="dcterms:W3CDTF">2026-03-20T16:16:12Z</dcterms:modified>
</cp:coreProperties>
</file>