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03_FS420</w:t>
      </w:r>
    </w:p>
    <w:p>
      <w:pPr>
        <w:spacing w:before="0" w:after="40"/>
      </w:pPr>
      <w:r>
        <w:rPr>
          <w:sz w:val="20"/>
          <w:szCs w:val="20"/>
        </w:rPr>
        <w:t xml:space="preserve">Generated At: 2026-03-21 08:09:01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200"/>
        <w:gridCol w:w="5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200" w:type="dxa"/>
            <w:shd w:val="clear" w:color="auto" w:fill="D9E2F3"/>
          </w:tcPr>
          <w:p>
            <w:pPr>
              <w:spacing w:before="0" w:after="0"/>
            </w:pPr>
            <w:r>
              <w:rPr>
                <w:b/>
                <w:bCs/>
                <w:sz w:val="20"/>
                <w:szCs w:val="20"/>
              </w:rPr>
              <w:t xml:space="preserve">Conclusion</w:t>
            </w:r>
          </w:p>
        </w:tc>
        <w:tc>
          <w:tcPr>
            <w:tcW w:w="5200" w:type="dxa"/>
            <w:shd w:val="clear" w:color="auto" w:fill="D9E2F3"/>
          </w:tcPr>
          <w:p>
            <w:pPr>
              <w:spacing w:before="0" w:after="0"/>
            </w:pPr>
            <w:r>
              <w:rPr>
                <w:b/>
                <w:bCs/>
                <w:sz w:val="20"/>
                <w:szCs w:val="20"/>
              </w:rPr>
              <w:t xml:space="preserve">Comments</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200" w:type="dxa"/>
          </w:tcPr>
          <w:p>
            <w:pPr>
              <w:spacing w:before="0" w:after="0"/>
            </w:pPr>
            <w:r>
              <w:rPr>
                <w:sz w:val="20"/>
                <w:szCs w:val="20"/>
              </w:rPr>
              <w:t xml:space="preserve">Compliance 1)</w:t>
            </w:r>
          </w:p>
        </w:tc>
        <w:tc>
          <w:tcPr>
            <w:tcW w:w="5200" w:type="dxa"/>
          </w:tcPr>
          <w:p>
            <w:pPr>
              <w:spacing w:before="0" w:after="0"/>
            </w:pPr>
            <w:r>
              <w:rPr>
                <w:sz w:val="20"/>
                <w:szCs w:val="20"/>
              </w:rPr>
              <w:t xml:space="preserve">1) AQUA was not found in the CFR prohibited substances list or the CIR Quick Reference Table.</w:t>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200" w:type="dxa"/>
          </w:tcPr>
          <w:p>
            <w:pPr>
              <w:spacing w:before="0" w:after="0"/>
            </w:pPr>
            <w:r>
              <w:rPr>
                <w:sz w:val="20"/>
                <w:szCs w:val="20"/>
              </w:rPr>
              <w:t xml:space="preserve">Compliance 2)</w:t>
            </w:r>
          </w:p>
        </w:tc>
        <w:tc>
          <w:tcPr>
            <w:tcW w:w="5200" w:type="dxa"/>
          </w:tcPr>
          <w:p>
            <w:pPr>
              <w:spacing w:before="0" w:after="0"/>
            </w:pPr>
            <w:r>
              <w:rPr>
                <w:sz w:val="20"/>
                <w:szCs w:val="20"/>
              </w:rPr>
              <w:t xml:space="preserve">2) SODIUM LAURETH SULFATE was found in the CIR Quick Reference Table, and is Safe in the present practices of use and concentration.</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200" w:type="dxa"/>
          </w:tcPr>
          <w:p>
            <w:pPr>
              <w:spacing w:before="0" w:after="0"/>
            </w:pPr>
            <w:r>
              <w:rPr>
                <w:sz w:val="20"/>
                <w:szCs w:val="20"/>
              </w:rPr>
              <w:t xml:space="preserve">Compliance 3)</w:t>
            </w:r>
          </w:p>
        </w:tc>
        <w:tc>
          <w:tcPr>
            <w:tcW w:w="5200" w:type="dxa"/>
          </w:tcPr>
          <w:p>
            <w:pPr>
              <w:spacing w:before="0" w:after="0"/>
            </w:pPr>
            <w:r>
              <w:rPr>
                <w:sz w:val="20"/>
                <w:szCs w:val="20"/>
              </w:rPr>
              <w:t xml:space="preserve">3) PALM KERNELAMIDE DEA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200" w:type="dxa"/>
          </w:tcPr>
          <w:p>
            <w:pPr>
              <w:spacing w:before="0" w:after="0"/>
            </w:pPr>
            <w:r>
              <w:rPr>
                <w:sz w:val="20"/>
                <w:szCs w:val="20"/>
              </w:rPr>
              <w:t xml:space="preserve">Compliance 4)</w:t>
            </w:r>
          </w:p>
        </w:tc>
        <w:tc>
          <w:tcPr>
            <w:tcW w:w="5200" w:type="dxa"/>
          </w:tcPr>
          <w:p>
            <w:pPr>
              <w:spacing w:before="0" w:after="0"/>
            </w:pPr>
            <w:r>
              <w:rPr>
                <w:sz w:val="20"/>
                <w:szCs w:val="20"/>
              </w:rPr>
              <w:t xml:space="preserve">4) COCAMIDOPROPYL BETAINE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tc>
      </w:tr>
      <w:tr>
        <w:tc>
          <w:tcPr>
            <w:tcW w:w="2200" w:type="dxa"/>
          </w:tcPr>
          <w:p>
            <w:pPr>
              <w:spacing w:before="0" w:after="0"/>
            </w:pPr>
            <w:r>
              <w:rPr>
                <w:sz w:val="20"/>
                <w:szCs w:val="20"/>
              </w:rPr>
              <w:t xml:space="preserve">GLYCERIN</w:t>
            </w:r>
          </w:p>
        </w:tc>
        <w:tc>
          <w:tcPr>
            <w:tcW w:w="1900" w:type="dxa"/>
          </w:tcPr>
          <w:p>
            <w:pPr>
              <w:spacing w:before="0" w:after="0"/>
            </w:pPr>
            <w:r>
              <w:rPr>
                <w:sz w:val="20"/>
                <w:szCs w:val="20"/>
              </w:rPr>
              <w:t xml:space="preserve">56-81-5</w:t>
            </w:r>
          </w:p>
        </w:tc>
        <w:tc>
          <w:tcPr>
            <w:tcW w:w="1300" w:type="dxa"/>
          </w:tcPr>
          <w:p>
            <w:pPr>
              <w:spacing w:before="0" w:after="0"/>
            </w:pPr>
            <w:r>
              <w:rPr>
                <w:sz w:val="20"/>
                <w:szCs w:val="20"/>
              </w:rPr>
              <w:t xml:space="preserve">1.16</w:t>
            </w:r>
          </w:p>
        </w:tc>
        <w:tc>
          <w:tcPr>
            <w:tcW w:w="2200" w:type="dxa"/>
          </w:tcPr>
          <w:p>
            <w:pPr>
              <w:spacing w:before="0" w:after="0"/>
            </w:pPr>
            <w:r>
              <w:rPr>
                <w:sz w:val="20"/>
                <w:szCs w:val="20"/>
              </w:rPr>
              <w:t xml:space="preserve">Compliance 5)</w:t>
            </w:r>
          </w:p>
        </w:tc>
        <w:tc>
          <w:tcPr>
            <w:tcW w:w="5200" w:type="dxa"/>
          </w:tcPr>
          <w:p>
            <w:pPr>
              <w:spacing w:before="0" w:after="0"/>
            </w:pPr>
            <w:r>
              <w:rPr>
                <w:sz w:val="20"/>
                <w:szCs w:val="20"/>
              </w:rPr>
              <w:t xml:space="preserve">5) GLYCERIN was found in the CIR Quick Reference Table, and is Safe in the present practices of use and concentration.</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200" w:type="dxa"/>
          </w:tcPr>
          <w:p>
            <w:pPr>
              <w:spacing w:before="0" w:after="0"/>
            </w:pPr>
            <w:r>
              <w:rPr>
                <w:sz w:val="20"/>
                <w:szCs w:val="20"/>
              </w:rPr>
              <w:t xml:space="preserve">Compliance 6)</w:t>
            </w:r>
          </w:p>
        </w:tc>
        <w:tc>
          <w:tcPr>
            <w:tcW w:w="5200" w:type="dxa"/>
          </w:tcPr>
          <w:p>
            <w:pPr>
              <w:spacing w:before="0" w:after="0"/>
            </w:pPr>
            <w:r>
              <w:rPr>
                <w:sz w:val="20"/>
                <w:szCs w:val="20"/>
              </w:rPr>
              <w:t xml:space="preserve">6) ALCOHOL was not found in the CFR prohibited substances list or the CIR Quick Reference Table.</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200" w:type="dxa"/>
          </w:tcPr>
          <w:p>
            <w:pPr>
              <w:spacing w:before="0" w:after="0"/>
            </w:pPr>
            <w:r>
              <w:rPr>
                <w:sz w:val="20"/>
                <w:szCs w:val="20"/>
              </w:rPr>
              <w:t xml:space="preserve">Compliance 7)</w:t>
            </w:r>
          </w:p>
        </w:tc>
        <w:tc>
          <w:tcPr>
            <w:tcW w:w="5200" w:type="dxa"/>
          </w:tcPr>
          <w:p>
            <w:pPr>
              <w:spacing w:before="0" w:after="0"/>
            </w:pPr>
            <w:r>
              <w:rPr>
                <w:sz w:val="20"/>
                <w:szCs w:val="20"/>
              </w:rPr>
              <w:t xml:space="preserve">7) SODIUM CHLORIDE was not found in the CFR prohibited substances list or the CIR Quick Reference Table.</w:t>
            </w:r>
          </w:p>
        </w:tc>
      </w:tr>
      <w:tr>
        <w:tc>
          <w:tcPr>
            <w:tcW w:w="2200" w:type="dxa"/>
          </w:tcPr>
          <w:p>
            <w:pPr>
              <w:spacing w:before="0" w:after="0"/>
            </w:pPr>
            <w:r>
              <w:rPr>
                <w:sz w:val="20"/>
                <w:szCs w:val="20"/>
              </w:rPr>
              <w:t xml:space="preserve">SODIUM CITRATE</w:t>
            </w:r>
          </w:p>
        </w:tc>
        <w:tc>
          <w:tcPr>
            <w:tcW w:w="1900" w:type="dxa"/>
          </w:tcPr>
          <w:p>
            <w:pPr>
              <w:spacing w:before="0" w:after="0"/>
            </w:pPr>
            <w:r>
              <w:rPr>
                <w:sz w:val="20"/>
                <w:szCs w:val="20"/>
              </w:rPr>
              <w:t xml:space="preserve">68-04-2;994-36-5;6132-04-3</w:t>
            </w:r>
          </w:p>
        </w:tc>
        <w:tc>
          <w:tcPr>
            <w:tcW w:w="1300" w:type="dxa"/>
          </w:tcPr>
          <w:p>
            <w:pPr>
              <w:spacing w:before="0" w:after="0"/>
            </w:pPr>
            <w:r>
              <w:rPr>
                <w:sz w:val="20"/>
                <w:szCs w:val="20"/>
              </w:rPr>
              <w:t xml:space="preserve">0.5</w:t>
            </w:r>
          </w:p>
        </w:tc>
        <w:tc>
          <w:tcPr>
            <w:tcW w:w="2200" w:type="dxa"/>
          </w:tcPr>
          <w:p>
            <w:pPr>
              <w:spacing w:before="0" w:after="0"/>
            </w:pPr>
            <w:r>
              <w:rPr>
                <w:sz w:val="20"/>
                <w:szCs w:val="20"/>
              </w:rPr>
              <w:t xml:space="preserve">Compliance 8)</w:t>
            </w:r>
          </w:p>
        </w:tc>
        <w:tc>
          <w:tcPr>
            <w:tcW w:w="5200" w:type="dxa"/>
          </w:tcPr>
          <w:p>
            <w:pPr>
              <w:spacing w:before="0" w:after="0"/>
            </w:pPr>
            <w:r>
              <w:rPr>
                <w:sz w:val="20"/>
                <w:szCs w:val="20"/>
              </w:rPr>
              <w:t xml:space="preserve">8) SODIUM CITRATE was found in the CIR Quick Reference Table, and is Safe in the present practices of use and concentration.</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200" w:type="dxa"/>
          </w:tcPr>
          <w:p>
            <w:pPr>
              <w:spacing w:before="0" w:after="0"/>
            </w:pPr>
            <w:r>
              <w:rPr>
                <w:sz w:val="20"/>
                <w:szCs w:val="20"/>
              </w:rPr>
              <w:t xml:space="preserve">Compliance 9)</w:t>
            </w:r>
          </w:p>
        </w:tc>
        <w:tc>
          <w:tcPr>
            <w:tcW w:w="5200" w:type="dxa"/>
          </w:tcPr>
          <w:p>
            <w:pPr>
              <w:spacing w:before="0" w:after="0"/>
            </w:pPr>
            <w:r>
              <w:rPr>
                <w:sz w:val="20"/>
                <w:szCs w:val="20"/>
              </w:rPr>
              <w:t xml:space="preserve">9) CHLOROXYLENOL was found in the CIR Quick Reference Table, and is Safe in the present practices of use and concentration.</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Compliance 10)</w:t>
            </w:r>
          </w:p>
        </w:tc>
        <w:tc>
          <w:tcPr>
            <w:tcW w:w="5200" w:type="dxa"/>
          </w:tcPr>
          <w:p>
            <w:pPr>
              <w:spacing w:before="0" w:after="0"/>
            </w:pPr>
            <w:r>
              <w:rPr>
                <w:sz w:val="20"/>
                <w:szCs w:val="20"/>
              </w:rPr>
              <w:t xml:space="preserve">10) DMDM HYDANTOIN was found in the CIR Quick Reference Table, and is Safe in the present practices of use and concentration.</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Compliance 11)</w:t>
            </w:r>
          </w:p>
        </w:tc>
        <w:tc>
          <w:tcPr>
            <w:tcW w:w="5200" w:type="dxa"/>
          </w:tcPr>
          <w:p>
            <w:pPr>
              <w:spacing w:before="0" w:after="0"/>
            </w:pPr>
            <w:r>
              <w:rPr>
                <w:sz w:val="20"/>
                <w:szCs w:val="20"/>
              </w:rPr>
              <w:t xml:space="preserve">11) DIAZOLIDINYL UREA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Compliance 12)</w:t>
            </w:r>
          </w:p>
        </w:tc>
        <w:tc>
          <w:tcPr>
            <w:tcW w:w="5200" w:type="dxa"/>
          </w:tcPr>
          <w:p>
            <w:pPr>
              <w:spacing w:before="0" w:after="0"/>
            </w:pPr>
            <w:r>
              <w:rPr>
                <w:sz w:val="20"/>
                <w:szCs w:val="20"/>
              </w:rPr>
              <w:t xml:space="preserve">12) TOCOPHERYL ACETATE was found in the CIR Quick Reference Table, and is Safe in the present practices of use and concentration.</w:t>
            </w:r>
          </w:p>
        </w:tc>
      </w:tr>
      <w:tr>
        <w:tc>
          <w:tcPr>
            <w:tcW w:w="2200" w:type="dxa"/>
          </w:tcPr>
          <w:p>
            <w:pPr>
              <w:spacing w:before="0" w:after="0"/>
            </w:pPr>
            <w:r>
              <w:rPr>
                <w:sz w:val="20"/>
                <w:szCs w:val="20"/>
              </w:rPr>
              <w:t xml:space="preserve">FRAGRANCE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Compliance 13)</w:t>
            </w:r>
          </w:p>
        </w:tc>
        <w:tc>
          <w:tcPr>
            <w:tcW w:w="5200" w:type="dxa"/>
          </w:tcPr>
          <w:p>
            <w:pPr>
              <w:spacing w:before="0" w:after="0"/>
            </w:pPr>
            <w:r>
              <w:rPr>
                <w:sz w:val="20"/>
                <w:szCs w:val="20"/>
              </w:rPr>
              <w:t xml:space="preserve">13) FRAGRANCE was not found in the CFR prohibited substances list or the CIR Quick Reference Table.</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200" w:type="dxa"/>
          </w:tcPr>
          <w:p>
            <w:pPr>
              <w:spacing w:before="0" w:after="0"/>
            </w:pPr>
            <w:r>
              <w:rPr>
                <w:sz w:val="20"/>
                <w:szCs w:val="20"/>
              </w:rPr>
              <w:t xml:space="preserve">Compliance 14)</w:t>
            </w:r>
          </w:p>
        </w:tc>
        <w:tc>
          <w:tcPr>
            <w:tcW w:w="5200" w:type="dxa"/>
          </w:tcPr>
          <w:p>
            <w:pPr>
              <w:spacing w:before="0" w:after="0"/>
            </w:pPr>
            <w:r>
              <w:rPr>
                <w:sz w:val="20"/>
                <w:szCs w:val="20"/>
              </w:rPr>
              <w:t xml:space="preserve">14) DISODIUM EDTA was found in the CIR Quick Reference Table, and is Safe in the present practices of use and concentration.</w:t>
            </w:r>
          </w:p>
        </w:tc>
      </w:tr>
      <w:tr>
        <w:tc>
          <w:tcPr>
            <w:tcW w:w="2200" w:type="dxa"/>
          </w:tcPr>
          <w:p>
            <w:pPr>
              <w:spacing w:before="0" w:after="0"/>
            </w:pPr>
            <w:r>
              <w:rPr>
                <w:sz w:val="20"/>
                <w:szCs w:val="20"/>
              </w:rPr>
              <w:t xml:space="preserve">CITRIC ACID</w:t>
            </w:r>
          </w:p>
        </w:tc>
        <w:tc>
          <w:tcPr>
            <w:tcW w:w="1900" w:type="dxa"/>
          </w:tcPr>
          <w:p>
            <w:pPr>
              <w:spacing w:before="0" w:after="0"/>
            </w:pPr>
            <w:r>
              <w:rPr>
                <w:sz w:val="20"/>
                <w:szCs w:val="20"/>
              </w:rPr>
              <w:t xml:space="preserve">77-92-9;5949-29-1</w:t>
            </w:r>
          </w:p>
        </w:tc>
        <w:tc>
          <w:tcPr>
            <w:tcW w:w="1300" w:type="dxa"/>
          </w:tcPr>
          <w:p>
            <w:pPr>
              <w:spacing w:before="0" w:after="0"/>
            </w:pPr>
            <w:r>
              <w:rPr>
                <w:sz w:val="20"/>
                <w:szCs w:val="20"/>
              </w:rPr>
              <w:t xml:space="preserve">0.001</w:t>
            </w:r>
          </w:p>
        </w:tc>
        <w:tc>
          <w:tcPr>
            <w:tcW w:w="2200" w:type="dxa"/>
          </w:tcPr>
          <w:p>
            <w:pPr>
              <w:spacing w:before="0" w:after="0"/>
            </w:pPr>
            <w:r>
              <w:rPr>
                <w:sz w:val="20"/>
                <w:szCs w:val="20"/>
              </w:rPr>
              <w:t xml:space="preserve">Compliance 15)</w:t>
            </w:r>
          </w:p>
        </w:tc>
        <w:tc>
          <w:tcPr>
            <w:tcW w:w="5200" w:type="dxa"/>
          </w:tcPr>
          <w:p>
            <w:pPr>
              <w:spacing w:before="0" w:after="0"/>
            </w:pPr>
            <w:r>
              <w:rPr>
                <w:sz w:val="20"/>
                <w:szCs w:val="20"/>
              </w:rPr>
              <w:t xml:space="preserve">15) CITRIC ACID was found in the CIR Quick Reference Table, and is Safe in the present practices of use and concentration.</w:t>
            </w:r>
          </w:p>
        </w:tc>
      </w:tr>
    </w:tbl>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2026-03-21T00:09:01Z</dcterms:created>
  <dcterms:modified xsi:type="dcterms:W3CDTF">2026-03-21T00:09:01Z</dcterms:modified>
</cp:coreProperties>
</file>