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14:45:43</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200"/>
        <w:gridCol w:w="5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1.16</w:t>
            </w:r>
          </w:p>
        </w:tc>
        <w:tc>
          <w:tcPr>
            <w:tcW w:w="2200" w:type="dxa"/>
          </w:tcPr>
          <w:p>
            <w:pPr>
              <w:spacing w:before="0" w:after="0"/>
            </w:pPr>
            <w:r>
              <w:rPr>
                <w:sz w:val="20"/>
                <w:szCs w:val="20"/>
                <w:color w:val="C00000"/>
              </w:rPr>
              <w:t xml:space="preserve">Manual Review 2) / Manual Review</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SODIUM CITRATE</w:t>
            </w:r>
          </w:p>
        </w:tc>
        <w:tc>
          <w:tcPr>
            <w:tcW w:w="1900" w:type="dxa"/>
          </w:tcPr>
          <w:p>
            <w:pPr>
              <w:spacing w:before="0" w:after="0"/>
            </w:pPr>
            <w:r>
              <w:rPr>
                <w:sz w:val="20"/>
                <w:szCs w:val="20"/>
                <w:color w:val="C00000"/>
              </w:rPr>
              <w:t xml:space="preserve">68-04-2;994-36-5;6132-04-3</w:t>
            </w:r>
          </w:p>
        </w:tc>
        <w:tc>
          <w:tcPr>
            <w:tcW w:w="1300" w:type="dxa"/>
          </w:tcPr>
          <w:p>
            <w:pPr>
              <w:spacing w:before="0" w:after="0"/>
            </w:pPr>
            <w:r>
              <w:rPr>
                <w:sz w:val="20"/>
                <w:szCs w:val="20"/>
                <w:color w:val="C00000"/>
              </w:rPr>
              <w:t xml:space="preserve">0.5</w:t>
            </w:r>
          </w:p>
        </w:tc>
        <w:tc>
          <w:tcPr>
            <w:tcW w:w="2200" w:type="dxa"/>
          </w:tcPr>
          <w:p>
            <w:pPr>
              <w:spacing w:before="0" w:after="0"/>
            </w:pPr>
            <w:r>
              <w:rPr>
                <w:sz w:val="20"/>
                <w:szCs w:val="20"/>
                <w:color w:val="C00000"/>
              </w:rPr>
              <w:t xml:space="preserve">Manual Review 3) / Manual Review</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FRAGRANCE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CITRIC ACID</w:t>
            </w:r>
          </w:p>
        </w:tc>
        <w:tc>
          <w:tcPr>
            <w:tcW w:w="1900" w:type="dxa"/>
          </w:tcPr>
          <w:p>
            <w:pPr>
              <w:spacing w:before="0" w:after="0"/>
            </w:pPr>
            <w:r>
              <w:rPr>
                <w:sz w:val="20"/>
                <w:szCs w:val="20"/>
                <w:color w:val="C00000"/>
              </w:rPr>
              <w:t xml:space="preserve">77-92-9;5949-29-1</w:t>
            </w:r>
          </w:p>
        </w:tc>
        <w:tc>
          <w:tcPr>
            <w:tcW w:w="1300" w:type="dxa"/>
          </w:tcPr>
          <w:p>
            <w:pPr>
              <w:spacing w:before="0" w:after="0"/>
            </w:pPr>
            <w:r>
              <w:rPr>
                <w:sz w:val="20"/>
                <w:szCs w:val="20"/>
                <w:color w:val="C00000"/>
              </w:rPr>
              <w:t xml:space="preserve">0.001</w:t>
            </w:r>
          </w:p>
        </w:tc>
        <w:tc>
          <w:tcPr>
            <w:tcW w:w="2200" w:type="dxa"/>
          </w:tcPr>
          <w:p>
            <w:pPr>
              <w:spacing w:before="0" w:after="0"/>
            </w:pPr>
            <w:r>
              <w:rPr>
                <w:sz w:val="20"/>
                <w:szCs w:val="20"/>
                <w:color w:val="C00000"/>
              </w:rPr>
              <w:t xml:space="preserve">Manual Review 4) / Manual Review</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as Glycerin in Health Canada Cosmetic Ingredient Hotlist-Restricted. Matched CAS: 56-81-5.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Assessment note: For BRUSH CLEANSER, glycerin (CAS 56-81-5) is used at 1.16% w/w. As this is a rinse-off product, the CA_RESTRICTED condition regarding DEG impurity control—specifically applicable to oral and leave-on products—does not apply. However, general good manufacturing practice requires use of glycerin meeting appropriate pharmacopoeial specifications; confirm supplier COA verifies compliance with USP or equivalent for DEG limits. No maximum concentration or warning applies for this product type.. Manual review is required to confirm product type, body site, concentration, and labeling.</w:t>
      </w:r>
    </w:p>
    <w:p>
      <w:pPr>
        <w:spacing w:before="0" w:after="40"/>
      </w:pPr>
      <w:r>
        <w:rPr>
          <w:sz w:val="20"/>
          <w:szCs w:val="20"/>
          <w:color w:val="C00000"/>
        </w:rPr>
        <w:t xml:space="preserve">3) The substance was found as Alpha-hydroxy acids, including polyhydroxy acids and bionic acids with alpha hydroxyl groups, and their salts in Health Canada Cosmetic Ingredient Hotlist-Restricted. Matched CAS: 77-92-9; 79-14-1; 50-21-5; 133-37-9; 6915-15-7; 79-33-4; 5949-29-1; 617-73-2; 90-64-2; 35249-89-9. Conditions of use / allowed body site: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 Maximum permitted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 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 Assessment note: Sodium citrate is listed as a synonym for alpha-hydroxy acids (AHAs) and their salts under California’s restricted ingredients list (CA_RESTRICTED). Although sodium citrate itself is not an AHA, its inclusion in the synonym list triggers applicability of the AHA restrictions. Brush cleanser is a rinse-off cosmetic intended for skin use; however, its specific body site (e.g., face, hands, brushes), pH, and total mono-AHA equivalent concentration are not provided. Since the product’s formulation context (e.g., whether it functions as an exfoliant or chelating agent) and compliance-relevant parameters (pH, AHA-equivalent contribution) are undetermined, regulatory applicability cannot be confirmed. Review needed to assess whether sodium citrate contributes to mono-AHA equivalents and to verify pH and labeling requirements.. Manual review is required to confirm product type, body site, concentration, and labeling.</w:t>
      </w:r>
    </w:p>
    <w:p>
      <w:pPr>
        <w:spacing w:before="0" w:after="40"/>
      </w:pPr>
      <w:r>
        <w:rPr>
          <w:sz w:val="20"/>
          <w:szCs w:val="20"/>
          <w:color w:val="C00000"/>
        </w:rPr>
        <w:t xml:space="preserve">4) The substance was found as Alpha-hydroxy acids, including polyhydroxy acids and bionic acids with alpha hydroxyl groups, and their salts | Citric acid in Health Canada Cosmetic Ingredient Hotlist-Restricted. Matched CAS: 77-92-9; 79-14-1; 50-21-5; 133-37-9; 6915-15-7; 79-33-4; 5949-29-1; 617-73-2; 90-64-2; 35249-89-9. Conditions of use / allowed body site: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w:t>
        <w:br/>
        <w:t xml:space="preserve">See "Alpha-hydroxy acids".. Maximum permitted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 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 Assessment note: Citric acid (CAS 77-92-9, 5949-29-1) is listed under Canada’s restricted substances for alpha-hydroxy acids (AHAs). For brush cleansers — which are rinse-off cosmetic products not intended for direct, prolonged skin contact — applicability of the AHA restrictions is uncertain. The ingredient is present at 0.001% w/w, well below the 3% minimum threshold for regulated AHA concentrations in most categories. However, because the product’s classification (e.g., whether it falls under 'other cosmetics' or is exempt as a non-skin-contact item) requires clarification, regulatory review is recommended to confirm exemption status and labeling obligations.. Manual review is required to confirm product type, body site, concentration, and labeling.</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Restricted entries in the Health Canada Cosmetic Ingredient Hotlist should be reviewed against product type, body site, concentration, and warning statement requirements before release.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2026-03-21T06:45:43Z</dcterms:created>
  <dcterms:modified xsi:type="dcterms:W3CDTF">2026-03-21T06:45:43Z</dcterms:modified>
</cp:coreProperties>
</file>