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FACIAL MASK - CHERRY</w:t>
      </w:r>
    </w:p>
    <w:p>
      <w:pPr>
        <w:spacing w:before="0" w:after="40"/>
      </w:pPr>
      <w:r>
        <w:rPr>
          <w:sz w:val="20"/>
          <w:szCs w:val="20"/>
        </w:rPr>
        <w:t xml:space="preserve">Region: US</w:t>
      </w:r>
    </w:p>
    <w:p>
      <w:pPr>
        <w:spacing w:before="0" w:after="40"/>
      </w:pPr>
      <w:r>
        <w:rPr>
          <w:sz w:val="20"/>
          <w:szCs w:val="20"/>
        </w:rPr>
        <w:t xml:space="preserve">Formula Code: FACIAL MASK - CHERRY</w:t>
      </w:r>
    </w:p>
    <w:p>
      <w:pPr>
        <w:spacing w:before="0" w:after="40"/>
      </w:pPr>
      <w:r>
        <w:rPr>
          <w:sz w:val="20"/>
          <w:szCs w:val="20"/>
        </w:rPr>
        <w:t xml:space="preserve">Formula Name: FACIAL MASK - CHERRY</w:t>
      </w:r>
    </w:p>
    <w:p>
      <w:pPr>
        <w:spacing w:before="0" w:after="40"/>
      </w:pPr>
      <w:r>
        <w:rPr>
          <w:sz w:val="20"/>
          <w:szCs w:val="20"/>
        </w:rPr>
        <w:t xml:space="preserve">Product Family: Cherry Kiss</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CHERRY</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89.984029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5.1183</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HYDROXYETHYLCELLULOSE</w:t>
            </w:r>
          </w:p>
        </w:tc>
        <w:tc>
          <w:tcPr>
            <w:tcW w:w="2000" w:type="dxa"/>
          </w:tcPr>
          <w:p>
            <w:pPr>
              <w:spacing w:before="0" w:after="0"/>
            </w:pPr>
            <w:r>
              <w:rPr>
                <w:sz w:val="20"/>
                <w:szCs w:val="20"/>
              </w:rPr>
              <w:t xml:space="preserve">9004-62-0</w:t>
            </w:r>
          </w:p>
        </w:tc>
        <w:tc>
          <w:tcPr>
            <w:tcW w:w="1400" w:type="dxa"/>
          </w:tcPr>
          <w:p>
            <w:pPr>
              <w:spacing w:before="0" w:after="0"/>
            </w:pPr>
            <w:r>
              <w:rPr>
                <w:sz w:val="20"/>
                <w:szCs w:val="20"/>
              </w:rPr>
              <w:t xml:space="preserve">0.1978</w:t>
            </w:r>
          </w:p>
        </w:tc>
        <w:tc>
          <w:tcPr>
            <w:tcW w:w="28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9007-20-9</w:t>
            </w:r>
          </w:p>
        </w:tc>
        <w:tc>
          <w:tcPr>
            <w:tcW w:w="1400" w:type="dxa"/>
          </w:tcPr>
          <w:p>
            <w:pPr>
              <w:spacing w:before="0" w:after="0"/>
            </w:pPr>
            <w:r>
              <w:rPr>
                <w:sz w:val="20"/>
                <w:szCs w:val="20"/>
              </w:rPr>
              <w:t xml:space="preserve">0.15</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0.15</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0.0072</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METHYLISOTHIAZOLINONE</w:t>
            </w:r>
          </w:p>
        </w:tc>
        <w:tc>
          <w:tcPr>
            <w:tcW w:w="2000" w:type="dxa"/>
          </w:tcPr>
          <w:p>
            <w:pPr>
              <w:spacing w:before="0" w:after="0"/>
            </w:pPr>
            <w:r>
              <w:rPr>
                <w:sz w:val="20"/>
                <w:szCs w:val="20"/>
              </w:rPr>
              <w:t xml:space="preserve">2682-20-4</w:t>
            </w:r>
          </w:p>
        </w:tc>
        <w:tc>
          <w:tcPr>
            <w:tcW w:w="1400" w:type="dxa"/>
          </w:tcPr>
          <w:p>
            <w:pPr>
              <w:spacing w:before="0" w:after="0"/>
            </w:pPr>
            <w:r>
              <w:rPr>
                <w:sz w:val="20"/>
                <w:szCs w:val="20"/>
              </w:rPr>
              <w:t xml:space="preserve">0.00594</w:t>
            </w:r>
          </w:p>
        </w:tc>
        <w:tc>
          <w:tcPr>
            <w:tcW w:w="2800" w:type="dxa"/>
          </w:tcPr>
          <w:p>
            <w:pPr>
              <w:spacing w:before="0" w:after="0"/>
            </w:pPr>
            <w:r>
              <w:rPr>
                <w:sz w:val="20"/>
                <w:szCs w:val="20"/>
              </w:rPr>
              <w:t xml:space="preserve">METHYLISOTHIAZOLINONE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9)</w:t>
            </w:r>
          </w:p>
        </w:tc>
      </w:tr>
      <w:tr>
        <w:tc>
          <w:tcPr>
            <w:tcW w:w="2400" w:type="dxa"/>
          </w:tcPr>
          <w:p>
            <w:pPr>
              <w:spacing w:before="0" w:after="0"/>
            </w:pPr>
            <w:r>
              <w:rPr>
                <w:sz w:val="20"/>
                <w:szCs w:val="20"/>
              </w:rPr>
              <w:t xml:space="preserve">IODOPROPYNYL BUTYLCARBAMATE</w:t>
            </w:r>
          </w:p>
        </w:tc>
        <w:tc>
          <w:tcPr>
            <w:tcW w:w="2000" w:type="dxa"/>
          </w:tcPr>
          <w:p>
            <w:pPr>
              <w:spacing w:before="0" w:after="0"/>
            </w:pPr>
            <w:r>
              <w:rPr>
                <w:sz w:val="20"/>
                <w:szCs w:val="20"/>
              </w:rPr>
              <w:t xml:space="preserve">55406-53-6</w:t>
            </w:r>
          </w:p>
        </w:tc>
        <w:tc>
          <w:tcPr>
            <w:tcW w:w="1400" w:type="dxa"/>
          </w:tcPr>
          <w:p>
            <w:pPr>
              <w:spacing w:before="0" w:after="0"/>
            </w:pPr>
            <w:r>
              <w:rPr>
                <w:sz w:val="20"/>
                <w:szCs w:val="20"/>
              </w:rPr>
              <w:t xml:space="preserve">0.0017</w:t>
            </w:r>
          </w:p>
        </w:tc>
        <w:tc>
          <w:tcPr>
            <w:tcW w:w="28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DISODIUM PHOSPHATE</w:t>
            </w:r>
          </w:p>
        </w:tc>
        <w:tc>
          <w:tcPr>
            <w:tcW w:w="2000" w:type="dxa"/>
          </w:tcPr>
          <w:p>
            <w:pPr>
              <w:spacing w:before="0" w:after="0"/>
            </w:pPr>
            <w:r>
              <w:rPr>
                <w:sz w:val="20"/>
                <w:szCs w:val="20"/>
              </w:rPr>
              <w:t xml:space="preserve">7558-79-4</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12)</w:t>
            </w:r>
          </w:p>
        </w:tc>
      </w:tr>
      <w:tr>
        <w:tc>
          <w:tcPr>
            <w:tcW w:w="2400" w:type="dxa"/>
          </w:tcPr>
          <w:p>
            <w:pPr>
              <w:spacing w:before="0" w:after="0"/>
            </w:pPr>
            <w:r>
              <w:rPr>
                <w:sz w:val="20"/>
                <w:szCs w:val="20"/>
              </w:rPr>
              <w:t xml:space="preserve">PEG-10</w:t>
            </w:r>
          </w:p>
        </w:tc>
        <w:tc>
          <w:tcPr>
            <w:tcW w:w="2000" w:type="dxa"/>
          </w:tcPr>
          <w:p>
            <w:pPr>
              <w:spacing w:before="0" w:after="0"/>
            </w:pPr>
            <w:r>
              <w:rPr>
                <w:sz w:val="20"/>
                <w:szCs w:val="20"/>
              </w:rPr>
              <w:t xml:space="preserve">5579-66-8</w:t>
            </w:r>
          </w:p>
        </w:tc>
        <w:tc>
          <w:tcPr>
            <w:tcW w:w="1400" w:type="dxa"/>
          </w:tcPr>
          <w:p>
            <w:pPr>
              <w:spacing w:before="0" w:after="0"/>
            </w:pPr>
            <w:r>
              <w:rPr>
                <w:sz w:val="20"/>
                <w:szCs w:val="20"/>
              </w:rPr>
              <w:t xml:space="preserve">0.0008</w:t>
            </w:r>
          </w:p>
        </w:tc>
        <w:tc>
          <w:tcPr>
            <w:tcW w:w="2800" w:type="dxa"/>
          </w:tcPr>
          <w:p>
            <w:pPr>
              <w:spacing w:before="0" w:after="0"/>
            </w:pPr>
            <w:r>
              <w:rPr>
                <w:sz w:val="20"/>
                <w:szCs w:val="20"/>
              </w:rPr>
              <w:t xml:space="preserve">PEG-10</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SODIUM PHOSPHATE</w:t>
            </w:r>
          </w:p>
        </w:tc>
        <w:tc>
          <w:tcPr>
            <w:tcW w:w="2000" w:type="dxa"/>
          </w:tcPr>
          <w:p>
            <w:pPr>
              <w:spacing w:before="0" w:after="0"/>
            </w:pPr>
            <w:r>
              <w:rPr>
                <w:sz w:val="20"/>
                <w:szCs w:val="20"/>
              </w:rPr>
              <w:t xml:space="preserve">7558-80-7</w:t>
            </w:r>
          </w:p>
        </w:tc>
        <w:tc>
          <w:tcPr>
            <w:tcW w:w="1400" w:type="dxa"/>
          </w:tcPr>
          <w:p>
            <w:pPr>
              <w:spacing w:before="0" w:after="0"/>
            </w:pPr>
            <w:r>
              <w:rPr>
                <w:sz w:val="20"/>
                <w:szCs w:val="20"/>
              </w:rPr>
              <w:t xml:space="preserve">0.0002</w:t>
            </w:r>
          </w:p>
        </w:tc>
        <w:tc>
          <w:tcPr>
            <w:tcW w:w="28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13)</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25265-75-2</w:t>
            </w:r>
          </w:p>
        </w:tc>
        <w:tc>
          <w:tcPr>
            <w:tcW w:w="1400" w:type="dxa"/>
          </w:tcPr>
          <w:p>
            <w:pPr>
              <w:spacing w:before="0" w:after="0"/>
            </w:pPr>
            <w:r>
              <w:rPr>
                <w:sz w:val="20"/>
                <w:szCs w:val="20"/>
              </w:rPr>
              <w:t xml:space="preserve">0.00002</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PRUNUS PSEUDOCERASUS FRUIT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0.00001</w:t>
            </w:r>
          </w:p>
        </w:tc>
        <w:tc>
          <w:tcPr>
            <w:tcW w:w="2800" w:type="dxa"/>
          </w:tcPr>
          <w:p>
            <w:pPr>
              <w:spacing w:before="0" w:after="0"/>
            </w:pPr>
            <w:r>
              <w:rPr>
                <w:sz w:val="20"/>
                <w:szCs w:val="20"/>
              </w:rPr>
              <w:t xml:space="preserve">PRUNUS PSEUDOCERASUS FRUIT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0.000001</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6)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8) The substance was found in the CIR Quick Reference Table, and is safe for use in cosmetics, with qualifications. Conclusion in the Quick Reference Table: The Expert Panel for Cosmetic Ingredient Safety concluded that Methylisothiazolinone is safe for use in rinse-off cosmetic products at concentrations up to 100 ppm (i.e. 0.01%) and safe in leave-on cosmetic products when they are formulated to be non-sensitizing, which may be determined based on a QRA or similar methodology.</w:t>
      </w:r>
    </w:p>
    <w:p>
      <w:pPr>
        <w:spacing w:before="0" w:after="40"/>
      </w:pPr>
      <w:r>
        <w:rPr>
          <w:sz w:val="20"/>
          <w:szCs w:val="20"/>
        </w:rPr>
        <w:t xml:space="preserve">9) The substance is fragrance. Fragrance review workflow is not implemented in this version and requires manual review.</w:t>
      </w:r>
    </w:p>
    <w:p>
      <w:pPr>
        <w:spacing w:before="0" w:after="40"/>
      </w:pPr>
      <w:r>
        <w:rPr>
          <w:sz w:val="20"/>
          <w:szCs w:val="20"/>
        </w:rPr>
        <w:t xml:space="preserve">10) The substance was found in the CIR Quick Reference Table, and is safe for use in cosmetics, with qualifications. Conclusion in the Quick Reference Table: On the basis of the data presented in this report, the CIR Expert Panel concludes that Iodopropynyl Butylcarbamate (IPBC) is safe as a cosmetic ingredient at concentrations &amp;#8804; 0.1%. IPBC should not be used in products intended to be aerosolized.</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12)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 non-irritating...Disodium Phosphate...</w:t>
      </w:r>
    </w:p>
    <w:p>
      <w:pPr>
        <w:spacing w:before="0" w:after="40"/>
      </w:pPr>
      <w:r>
        <w:rPr>
          <w:sz w:val="20"/>
          <w:szCs w:val="20"/>
        </w:rPr>
        <w:t xml:space="preserve">13)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FACIAL MASK - CHERRY</dc:title>
  <dc:creator>Codex</dc:creator>
  <cp:lastModifiedBy>Codex</cp:lastModifiedBy>
  <dcterms:created xsi:type="dcterms:W3CDTF">2026-03-21T16:37:31Z</dcterms:created>
  <dcterms:modified xsi:type="dcterms:W3CDTF">2026-03-21T16:37:31Z</dcterms:modified>
</cp:coreProperties>
</file>