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LOLLIPOP</w:t>
      </w:r>
    </w:p>
    <w:p>
      <w:pPr>
        <w:spacing w:before="0" w:after="40"/>
      </w:pPr>
      <w:r>
        <w:rPr>
          <w:sz w:val="20"/>
          <w:szCs w:val="20"/>
        </w:rPr>
        <w:t xml:space="preserve">Region: US</w:t>
      </w:r>
    </w:p>
    <w:p>
      <w:pPr>
        <w:spacing w:before="0" w:after="40"/>
      </w:pPr>
      <w:r>
        <w:rPr>
          <w:sz w:val="20"/>
          <w:szCs w:val="20"/>
        </w:rPr>
        <w:t xml:space="preserve">Formula Code: FACIAL MASK - LOLLIPOP</w:t>
      </w:r>
    </w:p>
    <w:p>
      <w:pPr>
        <w:spacing w:before="0" w:after="40"/>
      </w:pPr>
      <w:r>
        <w:rPr>
          <w:sz w:val="20"/>
          <w:szCs w:val="20"/>
        </w:rPr>
        <w:t xml:space="preserve">Formula Name: FACIAL MASK - LOLLIPOP</w:t>
      </w:r>
    </w:p>
    <w:p>
      <w:pPr>
        <w:spacing w:before="0" w:after="40"/>
      </w:pPr>
      <w:r>
        <w:rPr>
          <w:sz w:val="20"/>
          <w:szCs w:val="20"/>
        </w:rPr>
        <w:t xml:space="preserve">Product Family: FACIAL MASK - LOLLIPOP</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LOLLIPOP</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90.19906</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5.1183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METHYLISOTHIAZOLINONE</w:t>
            </w:r>
          </w:p>
        </w:tc>
        <w:tc>
          <w:tcPr>
            <w:tcW w:w="2000" w:type="dxa"/>
          </w:tcPr>
          <w:p>
            <w:pPr>
              <w:spacing w:before="0" w:after="0"/>
            </w:pPr>
            <w:r>
              <w:rPr>
                <w:sz w:val="20"/>
                <w:szCs w:val="20"/>
              </w:rPr>
              <w:t xml:space="preserve">2682-20-4</w:t>
            </w:r>
          </w:p>
        </w:tc>
        <w:tc>
          <w:tcPr>
            <w:tcW w:w="1400" w:type="dxa"/>
          </w:tcPr>
          <w:p>
            <w:pPr>
              <w:spacing w:before="0" w:after="0"/>
            </w:pPr>
            <w:r>
              <w:rPr>
                <w:sz w:val="20"/>
                <w:szCs w:val="20"/>
              </w:rPr>
              <w:t xml:space="preserve">0.00594</w:t>
            </w:r>
          </w:p>
        </w:tc>
        <w:tc>
          <w:tcPr>
            <w:tcW w:w="2800" w:type="dxa"/>
          </w:tcPr>
          <w:p>
            <w:pPr>
              <w:spacing w:before="0" w:after="0"/>
            </w:pPr>
            <w:r>
              <w:rPr>
                <w:sz w:val="20"/>
                <w:szCs w:val="20"/>
              </w:rPr>
              <w:t xml:space="preserve">METHYLISOTHIAZOLINONE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0.0036</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IODOPROPYNYL BUTYLCARBAMATE</w:t>
            </w:r>
          </w:p>
        </w:tc>
        <w:tc>
          <w:tcPr>
            <w:tcW w:w="2000" w:type="dxa"/>
          </w:tcPr>
          <w:p>
            <w:pPr>
              <w:spacing w:before="0" w:after="0"/>
            </w:pPr>
            <w:r>
              <w:rPr>
                <w:sz w:val="20"/>
                <w:szCs w:val="20"/>
              </w:rPr>
              <w:t xml:space="preserve">55406-53-6</w:t>
            </w:r>
          </w:p>
        </w:tc>
        <w:tc>
          <w:tcPr>
            <w:tcW w:w="1400" w:type="dxa"/>
          </w:tcPr>
          <w:p>
            <w:pPr>
              <w:spacing w:before="0" w:after="0"/>
            </w:pPr>
            <w:r>
              <w:rPr>
                <w:sz w:val="20"/>
                <w:szCs w:val="20"/>
              </w:rPr>
              <w:t xml:space="preserve">0.0017</w:t>
            </w:r>
          </w:p>
        </w:tc>
        <w:tc>
          <w:tcPr>
            <w:tcW w:w="28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10)</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12)</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5579-66-8/25322-68-3</w:t>
            </w:r>
          </w:p>
        </w:tc>
        <w:tc>
          <w:tcPr>
            <w:tcW w:w="1400" w:type="dxa"/>
          </w:tcPr>
          <w:p>
            <w:pPr>
              <w:spacing w:before="0" w:after="0"/>
            </w:pPr>
            <w:r>
              <w:rPr>
                <w:sz w:val="20"/>
                <w:szCs w:val="20"/>
              </w:rPr>
              <w:t xml:space="preserve">0.0004</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7) The substance was found in the CIR Quick Reference Table, and is safe for use in cosmetics, with qualifications. Conclusion in the Quick Reference Table: The Expert Panel for Cosmetic Ingredient Safety concluded that Methylisothiazolinone is safe for use in rinse-off cosmetic products at concentrations up to 100 ppm (i.e. 0.01%) and safe in leave-on cosmetic products when they are formulated to be non-sensitizing, which may be determined based on a QRA or similar methodology.</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9) The substance was found in the CIR Quick Reference Table, and is safe for use in cosmetics, with qualifications. Conclusion in the Quick Reference Table: On the basis of the data presented in this report, the CIR Expert Panel concludes that Iodopropynyl Butylcarbamate (IPBC) is safe as a cosmetic ingredient at concentrations &amp;#8804; 0.1%. IPBC should not be used in products intended to be aerosolized.</w:t>
      </w:r>
    </w:p>
    <w:p>
      <w:pPr>
        <w:spacing w:before="0" w:after="40"/>
      </w:pPr>
      <w:r>
        <w:rPr>
          <w:sz w:val="20"/>
          <w:szCs w:val="20"/>
        </w:rPr>
        <w:t xml:space="preserve">10) The substance is fragrance. Fragrance review workflow is not implemented in this version and requires manual review.</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12)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13)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LOLLIPOP</dc:title>
  <dc:creator>Codex</dc:creator>
  <cp:lastModifiedBy>Codex</cp:lastModifiedBy>
  <dcterms:created xsi:type="dcterms:W3CDTF">2026-03-21T16:37:31Z</dcterms:created>
  <dcterms:modified xsi:type="dcterms:W3CDTF">2026-03-21T16:37:31Z</dcterms:modified>
</cp:coreProperties>
</file>