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styles.xml" ContentType="application/vnd.openxmlformats-officedocument.wordprocessingml.styles+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
  <Relationship Id="rId1" Type="http://schemas.openxmlformats.org/officeDocument/2006/relationships/officeDocument" Target="word/document.xml"/>
  <Relationship Id="rId2" Type="http://schemas.openxmlformats.org/package/2006/relationships/metadata/core-properties" Target="docProps/core.xml"/>
  <Relationship Id="rId3" Type="http://schemas.openxmlformats.org/officeDocument/2006/relationships/extended-properties" Target="docProps/app.xml"/>
</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jc w:val="center"/>
        <w:spacing w:before="0" w:after="240"/>
      </w:pPr>
      <w:r>
        <w:rPr>
          <w:b/>
          <w:bCs/>
          <w:sz w:val="32"/>
          <w:szCs w:val="32"/>
        </w:rPr>
        <w:t xml:space="preserve">US Compliance Screening Report - FACIAL MASK - SWEET HONEY</w:t>
      </w:r>
    </w:p>
    <w:p>
      <w:pPr>
        <w:spacing w:before="0" w:after="40"/>
      </w:pPr>
      <w:r>
        <w:rPr>
          <w:sz w:val="20"/>
          <w:szCs w:val="20"/>
        </w:rPr>
        <w:t xml:space="preserve">Region: US</w:t>
      </w:r>
    </w:p>
    <w:p>
      <w:pPr>
        <w:spacing w:before="0" w:after="40"/>
      </w:pPr>
      <w:r>
        <w:rPr>
          <w:sz w:val="20"/>
          <w:szCs w:val="20"/>
        </w:rPr>
        <w:t xml:space="preserve">Formula Code: FACIAL MASK - SWEET HONEY</w:t>
      </w:r>
    </w:p>
    <w:p>
      <w:pPr>
        <w:spacing w:before="0" w:after="40"/>
      </w:pPr>
      <w:r>
        <w:rPr>
          <w:sz w:val="20"/>
          <w:szCs w:val="20"/>
        </w:rPr>
        <w:t xml:space="preserve">Formula Name: FACIAL MASK - SWEET HONEY</w:t>
      </w:r>
    </w:p>
    <w:p>
      <w:pPr>
        <w:spacing w:before="0" w:after="40"/>
      </w:pPr>
      <w:r>
        <w:rPr>
          <w:sz w:val="20"/>
          <w:szCs w:val="20"/>
        </w:rPr>
        <w:t xml:space="preserve">Product Family: FACIAL MASK - SWEET HONEY</w:t>
      </w:r>
    </w:p>
    <w:p>
      <w:pPr>
        <w:spacing w:before="0" w:after="40"/>
      </w:pPr>
      <w:r>
        <w:rPr>
          <w:sz w:val="20"/>
          <w:szCs w:val="20"/>
        </w:rPr>
        <w:t xml:space="preserve">Source Workbook: Cosmetic_Compliance_Output_20260321_170036.xlsx</w:t>
      </w:r>
    </w:p>
    <w:p>
      <w:pPr>
        <w:spacing w:before="0" w:after="40"/>
      </w:pPr>
      <w:r>
        <w:rPr>
          <w:sz w:val="20"/>
          <w:szCs w:val="20"/>
        </w:rPr>
        <w:t xml:space="preserve">Source Sheet: 03_FACIAL MASK - SWEET HONEY</w:t>
      </w:r>
    </w:p>
    <w:p>
      <w:pPr>
        <w:spacing w:before="0" w:after="40"/>
      </w:pPr>
      <w:r>
        <w:rPr>
          <w:sz w:val="20"/>
          <w:szCs w:val="20"/>
        </w:rPr>
        <w:t xml:space="preserve">Generated At: 2026-03-22 00:37:31</w:t>
      </w:r>
    </w:p>
    <w:p>
      <w:pPr>
        <w:spacing w:before="0" w:after="80"/>
      </w:pPr>
      <w:r>
        <w:rPr>
          <w:sz w:val="20"/>
          <w:szCs w:val="20"/>
        </w:rPr>
        <w:t xml:space="preserve"/>
      </w:r>
    </w:p>
    <w:tbl>
      <w:tblPr>
        <w:tblW w:w="0" w:type="auto"/>
        <w:tblBorders>
          <w:top w:val="single" w:sz="8" w:space="0" w:color="808080"/>
          <w:left w:val="single" w:sz="8" w:space="0" w:color="808080"/>
          <w:bottom w:val="single" w:sz="8" w:space="0" w:color="808080"/>
          <w:right w:val="single" w:sz="8" w:space="0" w:color="808080"/>
          <w:insideH w:val="single" w:sz="4" w:space="0" w:color="BFBFBF"/>
          <w:insideV w:val="single" w:sz="4" w:space="0" w:color="BFBFBF"/>
        </w:tblBorders>
      </w:tblPr>
      <w:tblGrid>
        <w:gridCol w:w="2400"/>
        <w:gridCol w:w="2000"/>
        <w:gridCol w:w="1400"/>
        <w:gridCol w:w="2800"/>
        <w:gridCol w:w="2200"/>
      </w:tblGrid>
      <w:tr>
        <w:tc>
          <w:tcPr>
            <w:tcW w:w="2400" w:type="dxa"/>
            <w:shd w:val="clear" w:color="auto" w:fill="D9E2F3"/>
          </w:tcPr>
          <w:p>
            <w:pPr>
              <w:spacing w:before="0" w:after="0"/>
            </w:pPr>
            <w:r>
              <w:rPr>
                <w:b/>
                <w:bCs/>
                <w:sz w:val="20"/>
                <w:szCs w:val="20"/>
              </w:rPr>
              <w:t xml:space="preserve">Ingredient Name</w:t>
            </w:r>
          </w:p>
        </w:tc>
        <w:tc>
          <w:tcPr>
            <w:tcW w:w="2000" w:type="dxa"/>
            <w:shd w:val="clear" w:color="auto" w:fill="D9E2F3"/>
          </w:tcPr>
          <w:p>
            <w:pPr>
              <w:spacing w:before="0" w:after="0"/>
            </w:pPr>
            <w:r>
              <w:rPr>
                <w:b/>
                <w:bCs/>
                <w:sz w:val="20"/>
                <w:szCs w:val="20"/>
              </w:rPr>
              <w:t xml:space="preserve">CAS No.</w:t>
            </w:r>
          </w:p>
        </w:tc>
        <w:tc>
          <w:tcPr>
            <w:tcW w:w="1400" w:type="dxa"/>
            <w:shd w:val="clear" w:color="auto" w:fill="D9E2F3"/>
          </w:tcPr>
          <w:p>
            <w:pPr>
              <w:spacing w:before="0" w:after="0"/>
            </w:pPr>
            <w:r>
              <w:rPr>
                <w:b/>
                <w:bCs/>
                <w:sz w:val="20"/>
                <w:szCs w:val="20"/>
              </w:rPr>
              <w:t xml:space="preserve">Concentration (%)</w:t>
            </w:r>
          </w:p>
        </w:tc>
        <w:tc>
          <w:tcPr>
            <w:tcW w:w="2800" w:type="dxa"/>
            <w:shd w:val="clear" w:color="auto" w:fill="D9E2F3"/>
          </w:tcPr>
          <w:p>
            <w:pPr>
              <w:spacing w:before="0" w:after="0"/>
            </w:pPr>
            <w:r>
              <w:rPr>
                <w:b/>
                <w:bCs/>
                <w:sz w:val="20"/>
                <w:szCs w:val="20"/>
              </w:rPr>
              <w:t xml:space="preserve">INCI/Color additive Name</w:t>
            </w:r>
          </w:p>
        </w:tc>
        <w:tc>
          <w:tcPr>
            <w:tcW w:w="2200" w:type="dxa"/>
            <w:shd w:val="clear" w:color="auto" w:fill="D9E2F3"/>
          </w:tcPr>
          <w:p>
            <w:pPr>
              <w:spacing w:before="0" w:after="0"/>
            </w:pPr>
            <w:r>
              <w:rPr>
                <w:b/>
                <w:bCs/>
                <w:sz w:val="20"/>
                <w:szCs w:val="20"/>
              </w:rPr>
              <w:t xml:space="preserve">Conclusion</w:t>
            </w:r>
          </w:p>
        </w:tc>
      </w:tr>
      <w:tr>
        <w:tc>
          <w:tcPr>
            <w:tcW w:w="2400" w:type="dxa"/>
          </w:tcPr>
          <w:p>
            <w:pPr>
              <w:spacing w:before="0" w:after="0"/>
            </w:pPr>
            <w:r>
              <w:rPr>
                <w:sz w:val="20"/>
                <w:szCs w:val="20"/>
              </w:rPr>
              <w:t xml:space="preserve">WATER</w:t>
            </w:r>
          </w:p>
        </w:tc>
        <w:tc>
          <w:tcPr>
            <w:tcW w:w="2000" w:type="dxa"/>
          </w:tcPr>
          <w:p>
            <w:pPr>
              <w:spacing w:before="0" w:after="0"/>
            </w:pPr>
            <w:r>
              <w:rPr>
                <w:sz w:val="20"/>
                <w:szCs w:val="20"/>
              </w:rPr>
              <w:t xml:space="preserve">7732-18-5</w:t>
            </w:r>
          </w:p>
        </w:tc>
        <w:tc>
          <w:tcPr>
            <w:tcW w:w="1400" w:type="dxa"/>
          </w:tcPr>
          <w:p>
            <w:pPr>
              <w:spacing w:before="0" w:after="0"/>
            </w:pPr>
            <w:r>
              <w:rPr>
                <w:sz w:val="20"/>
                <w:szCs w:val="20"/>
              </w:rPr>
              <w:t xml:space="preserve">90.17906</w:t>
            </w:r>
          </w:p>
        </w:tc>
        <w:tc>
          <w:tcPr>
            <w:tcW w:w="2800" w:type="dxa"/>
          </w:tcPr>
          <w:p>
            <w:pPr>
              <w:spacing w:before="0" w:after="0"/>
            </w:pPr>
            <w:r>
              <w:rPr>
                <w:sz w:val="20"/>
                <w:szCs w:val="20"/>
              </w:rPr>
              <w:t xml:space="preserve">WATER</w:t>
            </w:r>
          </w:p>
        </w:tc>
        <w:tc>
          <w:tcPr>
            <w:tcW w:w="2200" w:type="dxa"/>
          </w:tcPr>
          <w:p>
            <w:pPr>
              <w:spacing w:before="0" w:after="0"/>
            </w:pPr>
            <w:r>
              <w:rPr>
                <w:sz w:val="20"/>
                <w:szCs w:val="20"/>
              </w:rPr>
              <w:t xml:space="preserve">Compliance 1)</w:t>
            </w:r>
          </w:p>
        </w:tc>
      </w:tr>
      <w:tr>
        <w:tc>
          <w:tcPr>
            <w:tcW w:w="2400" w:type="dxa"/>
          </w:tcPr>
          <w:p>
            <w:pPr>
              <w:spacing w:before="0" w:after="0"/>
            </w:pPr>
            <w:r>
              <w:rPr>
                <w:sz w:val="20"/>
                <w:szCs w:val="20"/>
              </w:rPr>
              <w:t xml:space="preserve">PROPYLENE GLYCOL</w:t>
            </w:r>
          </w:p>
        </w:tc>
        <w:tc>
          <w:tcPr>
            <w:tcW w:w="2000" w:type="dxa"/>
          </w:tcPr>
          <w:p>
            <w:pPr>
              <w:spacing w:before="0" w:after="0"/>
            </w:pPr>
            <w:r>
              <w:rPr>
                <w:sz w:val="20"/>
                <w:szCs w:val="20"/>
              </w:rPr>
              <w:t xml:space="preserve">57-55-6</w:t>
            </w:r>
          </w:p>
        </w:tc>
        <w:tc>
          <w:tcPr>
            <w:tcW w:w="1400" w:type="dxa"/>
          </w:tcPr>
          <w:p>
            <w:pPr>
              <w:spacing w:before="0" w:after="0"/>
            </w:pPr>
            <w:r>
              <w:rPr>
                <w:sz w:val="20"/>
                <w:szCs w:val="20"/>
              </w:rPr>
              <w:t xml:space="preserve">5.1183</w:t>
            </w:r>
          </w:p>
        </w:tc>
        <w:tc>
          <w:tcPr>
            <w:tcW w:w="2800" w:type="dxa"/>
          </w:tcPr>
          <w:p>
            <w:pPr>
              <w:spacing w:before="0" w:after="0"/>
            </w:pPr>
            <w:r>
              <w:rPr>
                <w:sz w:val="20"/>
                <w:szCs w:val="20"/>
              </w:rPr>
              <w:t xml:space="preserve">Propylene Glycol</w:t>
            </w:r>
          </w:p>
        </w:tc>
        <w:tc>
          <w:tcPr>
            <w:tcW w:w="2200" w:type="dxa"/>
          </w:tcPr>
          <w:p>
            <w:pPr>
              <w:spacing w:before="0" w:after="0"/>
            </w:pPr>
            <w:r>
              <w:rPr>
                <w:sz w:val="20"/>
                <w:szCs w:val="20"/>
              </w:rPr>
              <w:t xml:space="preserve">Compliance 2)</w:t>
            </w:r>
          </w:p>
        </w:tc>
      </w:tr>
      <w:tr>
        <w:tc>
          <w:tcPr>
            <w:tcW w:w="2400" w:type="dxa"/>
          </w:tcPr>
          <w:p>
            <w:pPr>
              <w:spacing w:before="0" w:after="0"/>
            </w:pPr>
            <w:r>
              <w:rPr>
                <w:sz w:val="20"/>
                <w:szCs w:val="20"/>
              </w:rPr>
              <w:t xml:space="preserve">GLYCERIN</w:t>
            </w:r>
          </w:p>
        </w:tc>
        <w:tc>
          <w:tcPr>
            <w:tcW w:w="2000" w:type="dxa"/>
          </w:tcPr>
          <w:p>
            <w:pPr>
              <w:spacing w:before="0" w:after="0"/>
            </w:pPr>
            <w:r>
              <w:rPr>
                <w:sz w:val="20"/>
                <w:szCs w:val="20"/>
              </w:rPr>
              <w:t xml:space="preserve">56-81-5</w:t>
            </w:r>
          </w:p>
        </w:tc>
        <w:tc>
          <w:tcPr>
            <w:tcW w:w="1400" w:type="dxa"/>
          </w:tcPr>
          <w:p>
            <w:pPr>
              <w:spacing w:before="0" w:after="0"/>
            </w:pPr>
            <w:r>
              <w:rPr>
                <w:sz w:val="20"/>
                <w:szCs w:val="20"/>
              </w:rPr>
              <w:t xml:space="preserve">4</w:t>
            </w:r>
          </w:p>
        </w:tc>
        <w:tc>
          <w:tcPr>
            <w:tcW w:w="2800" w:type="dxa"/>
          </w:tcPr>
          <w:p>
            <w:pPr>
              <w:spacing w:before="0" w:after="0"/>
            </w:pPr>
            <w:r>
              <w:rPr>
                <w:sz w:val="20"/>
                <w:szCs w:val="20"/>
              </w:rPr>
              <w:t xml:space="preserve">Glycerin</w:t>
            </w:r>
          </w:p>
        </w:tc>
        <w:tc>
          <w:tcPr>
            <w:tcW w:w="2200" w:type="dxa"/>
          </w:tcPr>
          <w:p>
            <w:pPr>
              <w:spacing w:before="0" w:after="0"/>
            </w:pPr>
            <w:r>
              <w:rPr>
                <w:sz w:val="20"/>
                <w:szCs w:val="20"/>
              </w:rPr>
              <w:t xml:space="preserve">Compliance 3)</w:t>
            </w:r>
          </w:p>
        </w:tc>
      </w:tr>
      <w:tr>
        <w:tc>
          <w:tcPr>
            <w:tcW w:w="2400" w:type="dxa"/>
          </w:tcPr>
          <w:p>
            <w:pPr>
              <w:spacing w:before="0" w:after="0"/>
            </w:pPr>
            <w:r>
              <w:rPr>
                <w:sz w:val="20"/>
                <w:szCs w:val="20"/>
              </w:rPr>
              <w:t xml:space="preserve">ALLANTOIN</w:t>
            </w:r>
          </w:p>
        </w:tc>
        <w:tc>
          <w:tcPr>
            <w:tcW w:w="2000" w:type="dxa"/>
          </w:tcPr>
          <w:p>
            <w:pPr>
              <w:spacing w:before="0" w:after="0"/>
            </w:pPr>
            <w:r>
              <w:rPr>
                <w:sz w:val="20"/>
                <w:szCs w:val="20"/>
              </w:rPr>
              <w:t xml:space="preserve">97-59-6</w:t>
            </w:r>
          </w:p>
        </w:tc>
        <w:tc>
          <w:tcPr>
            <w:tcW w:w="1400" w:type="dxa"/>
          </w:tcPr>
          <w:p>
            <w:pPr>
              <w:spacing w:before="0" w:after="0"/>
            </w:pPr>
            <w:r>
              <w:rPr>
                <w:sz w:val="20"/>
                <w:szCs w:val="20"/>
              </w:rPr>
              <w:t xml:space="preserve">0.2</w:t>
            </w:r>
          </w:p>
        </w:tc>
        <w:tc>
          <w:tcPr>
            <w:tcW w:w="2800" w:type="dxa"/>
          </w:tcPr>
          <w:p>
            <w:pPr>
              <w:spacing w:before="0" w:after="0"/>
            </w:pPr>
            <w:r>
              <w:rPr>
                <w:sz w:val="20"/>
                <w:szCs w:val="20"/>
              </w:rPr>
              <w:t xml:space="preserve">Allantoin</w:t>
            </w:r>
          </w:p>
        </w:tc>
        <w:tc>
          <w:tcPr>
            <w:tcW w:w="2200" w:type="dxa"/>
          </w:tcPr>
          <w:p>
            <w:pPr>
              <w:spacing w:before="0" w:after="0"/>
            </w:pPr>
            <w:r>
              <w:rPr>
                <w:sz w:val="20"/>
                <w:szCs w:val="20"/>
              </w:rPr>
              <w:t xml:space="preserve">Compliance 3)</w:t>
            </w:r>
          </w:p>
        </w:tc>
      </w:tr>
      <w:tr>
        <w:tc>
          <w:tcPr>
            <w:tcW w:w="2400" w:type="dxa"/>
          </w:tcPr>
          <w:p>
            <w:pPr>
              <w:spacing w:before="0" w:after="0"/>
            </w:pPr>
            <w:r>
              <w:rPr>
                <w:sz w:val="20"/>
                <w:szCs w:val="20"/>
              </w:rPr>
              <w:t xml:space="preserve">HYDROXYETHYLCELLULOSE</w:t>
            </w:r>
          </w:p>
        </w:tc>
        <w:tc>
          <w:tcPr>
            <w:tcW w:w="2000" w:type="dxa"/>
          </w:tcPr>
          <w:p>
            <w:pPr>
              <w:spacing w:before="0" w:after="0"/>
            </w:pPr>
            <w:r>
              <w:rPr>
                <w:sz w:val="20"/>
                <w:szCs w:val="20"/>
              </w:rPr>
              <w:t xml:space="preserve">9004-62-0</w:t>
            </w:r>
          </w:p>
        </w:tc>
        <w:tc>
          <w:tcPr>
            <w:tcW w:w="1400" w:type="dxa"/>
          </w:tcPr>
          <w:p>
            <w:pPr>
              <w:spacing w:before="0" w:after="0"/>
            </w:pPr>
            <w:r>
              <w:rPr>
                <w:sz w:val="20"/>
                <w:szCs w:val="20"/>
              </w:rPr>
              <w:t xml:space="preserve">0.1978</w:t>
            </w:r>
          </w:p>
        </w:tc>
        <w:tc>
          <w:tcPr>
            <w:tcW w:w="2800" w:type="dxa"/>
          </w:tcPr>
          <w:p>
            <w:pPr>
              <w:spacing w:before="0" w:after="0"/>
            </w:pPr>
            <w:r>
              <w:rPr>
                <w:sz w:val="20"/>
                <w:szCs w:val="20"/>
              </w:rPr>
              <w:t xml:space="preserve">Hydroxyethylcellulose</w:t>
            </w:r>
          </w:p>
        </w:tc>
        <w:tc>
          <w:tcPr>
            <w:tcW w:w="2200" w:type="dxa"/>
          </w:tcPr>
          <w:p>
            <w:pPr>
              <w:spacing w:before="0" w:after="0"/>
            </w:pPr>
            <w:r>
              <w:rPr>
                <w:sz w:val="20"/>
                <w:szCs w:val="20"/>
              </w:rPr>
              <w:t xml:space="preserve">Compliance 3)</w:t>
            </w:r>
          </w:p>
        </w:tc>
      </w:tr>
      <w:tr>
        <w:tc>
          <w:tcPr>
            <w:tcW w:w="2400" w:type="dxa"/>
          </w:tcPr>
          <w:p>
            <w:pPr>
              <w:spacing w:before="0" w:after="0"/>
            </w:pPr>
            <w:r>
              <w:rPr>
                <w:sz w:val="20"/>
                <w:szCs w:val="20"/>
              </w:rPr>
              <w:t xml:space="preserve">DIAZOLIDINYL UREA</w:t>
            </w:r>
          </w:p>
        </w:tc>
        <w:tc>
          <w:tcPr>
            <w:tcW w:w="2000" w:type="dxa"/>
          </w:tcPr>
          <w:p>
            <w:pPr>
              <w:spacing w:before="0" w:after="0"/>
            </w:pPr>
            <w:r>
              <w:rPr>
                <w:sz w:val="20"/>
                <w:szCs w:val="20"/>
              </w:rPr>
              <w:t xml:space="preserve">78491-02-8</w:t>
            </w:r>
          </w:p>
        </w:tc>
        <w:tc>
          <w:tcPr>
            <w:tcW w:w="1400" w:type="dxa"/>
          </w:tcPr>
          <w:p>
            <w:pPr>
              <w:spacing w:before="0" w:after="0"/>
            </w:pPr>
            <w:r>
              <w:rPr>
                <w:sz w:val="20"/>
                <w:szCs w:val="20"/>
              </w:rPr>
              <w:t xml:space="preserve">0.08</w:t>
            </w:r>
          </w:p>
        </w:tc>
        <w:tc>
          <w:tcPr>
            <w:tcW w:w="2800" w:type="dxa"/>
          </w:tcPr>
          <w:p>
            <w:pPr>
              <w:spacing w:before="0" w:after="0"/>
            </w:pPr>
            <w:r>
              <w:rPr>
                <w:sz w:val="20"/>
                <w:szCs w:val="20"/>
              </w:rPr>
              <w:t xml:space="preserve">Diazolidinyl Urea</w:t>
            </w:r>
          </w:p>
        </w:tc>
        <w:tc>
          <w:tcPr>
            <w:tcW w:w="2200" w:type="dxa"/>
          </w:tcPr>
          <w:p>
            <w:pPr>
              <w:spacing w:before="0" w:after="0"/>
            </w:pPr>
            <w:r>
              <w:rPr>
                <w:sz w:val="20"/>
                <w:szCs w:val="20"/>
              </w:rPr>
              <w:t xml:space="preserve">Compliance 4)</w:t>
            </w:r>
          </w:p>
        </w:tc>
      </w:tr>
      <w:tr>
        <w:tc>
          <w:tcPr>
            <w:tcW w:w="2400" w:type="dxa"/>
          </w:tcPr>
          <w:p>
            <w:pPr>
              <w:spacing w:before="0" w:after="0"/>
            </w:pPr>
            <w:r>
              <w:rPr>
                <w:sz w:val="20"/>
                <w:szCs w:val="20"/>
              </w:rPr>
              <w:t xml:space="preserve">CARBOMER</w:t>
            </w:r>
          </w:p>
        </w:tc>
        <w:tc>
          <w:tcPr>
            <w:tcW w:w="2000" w:type="dxa"/>
          </w:tcPr>
          <w:p>
            <w:pPr>
              <w:spacing w:before="0" w:after="0"/>
            </w:pPr>
            <w:r>
              <w:rPr>
                <w:sz w:val="20"/>
                <w:szCs w:val="20"/>
              </w:rPr>
              <w:t xml:space="preserve">9007-20-9</w:t>
            </w:r>
          </w:p>
        </w:tc>
        <w:tc>
          <w:tcPr>
            <w:tcW w:w="1400" w:type="dxa"/>
          </w:tcPr>
          <w:p>
            <w:pPr>
              <w:spacing w:before="0" w:after="0"/>
            </w:pPr>
            <w:r>
              <w:rPr>
                <w:sz w:val="20"/>
                <w:szCs w:val="20"/>
              </w:rPr>
              <w:t xml:space="preserve">0.08</w:t>
            </w:r>
          </w:p>
        </w:tc>
        <w:tc>
          <w:tcPr>
            <w:tcW w:w="2800" w:type="dxa"/>
          </w:tcPr>
          <w:p>
            <w:pPr>
              <w:spacing w:before="0" w:after="0"/>
            </w:pPr>
            <w:r>
              <w:rPr>
                <w:sz w:val="20"/>
                <w:szCs w:val="20"/>
              </w:rPr>
              <w:t xml:space="preserve">Carbomer</w:t>
            </w:r>
          </w:p>
        </w:tc>
        <w:tc>
          <w:tcPr>
            <w:tcW w:w="2200" w:type="dxa"/>
          </w:tcPr>
          <w:p>
            <w:pPr>
              <w:spacing w:before="0" w:after="0"/>
            </w:pPr>
            <w:r>
              <w:rPr>
                <w:sz w:val="20"/>
                <w:szCs w:val="20"/>
              </w:rPr>
              <w:t xml:space="preserve">Compliance 5)</w:t>
            </w:r>
          </w:p>
        </w:tc>
      </w:tr>
      <w:tr>
        <w:tc>
          <w:tcPr>
            <w:tcW w:w="2400" w:type="dxa"/>
          </w:tcPr>
          <w:p>
            <w:pPr>
              <w:spacing w:before="0" w:after="0"/>
            </w:pPr>
            <w:r>
              <w:rPr>
                <w:sz w:val="20"/>
                <w:szCs w:val="20"/>
              </w:rPr>
              <w:t xml:space="preserve">TRIETHANOLAMINE</w:t>
            </w:r>
          </w:p>
        </w:tc>
        <w:tc>
          <w:tcPr>
            <w:tcW w:w="2000" w:type="dxa"/>
          </w:tcPr>
          <w:p>
            <w:pPr>
              <w:spacing w:before="0" w:after="0"/>
            </w:pPr>
            <w:r>
              <w:rPr>
                <w:sz w:val="20"/>
                <w:szCs w:val="20"/>
              </w:rPr>
              <w:t xml:space="preserve">102-71-6</w:t>
            </w:r>
          </w:p>
        </w:tc>
        <w:tc>
          <w:tcPr>
            <w:tcW w:w="1400" w:type="dxa"/>
          </w:tcPr>
          <w:p>
            <w:pPr>
              <w:spacing w:before="0" w:after="0"/>
            </w:pPr>
            <w:r>
              <w:rPr>
                <w:sz w:val="20"/>
                <w:szCs w:val="20"/>
              </w:rPr>
              <w:t xml:space="preserve">0.08</w:t>
            </w:r>
          </w:p>
        </w:tc>
        <w:tc>
          <w:tcPr>
            <w:tcW w:w="2800" w:type="dxa"/>
          </w:tcPr>
          <w:p>
            <w:pPr>
              <w:spacing w:before="0" w:after="0"/>
            </w:pPr>
            <w:r>
              <w:rPr>
                <w:sz w:val="20"/>
                <w:szCs w:val="20"/>
              </w:rPr>
              <w:t xml:space="preserve">Triethanolamine</w:t>
            </w:r>
          </w:p>
        </w:tc>
        <w:tc>
          <w:tcPr>
            <w:tcW w:w="2200" w:type="dxa"/>
          </w:tcPr>
          <w:p>
            <w:pPr>
              <w:spacing w:before="0" w:after="0"/>
            </w:pPr>
            <w:r>
              <w:rPr>
                <w:sz w:val="20"/>
                <w:szCs w:val="20"/>
              </w:rPr>
              <w:t xml:space="preserve">Compliance 6)</w:t>
            </w:r>
          </w:p>
        </w:tc>
      </w:tr>
      <w:tr>
        <w:tc>
          <w:tcPr>
            <w:tcW w:w="2400" w:type="dxa"/>
          </w:tcPr>
          <w:p>
            <w:pPr>
              <w:spacing w:before="0" w:after="0"/>
            </w:pPr>
            <w:r>
              <w:rPr>
                <w:sz w:val="20"/>
                <w:szCs w:val="20"/>
              </w:rPr>
              <w:t xml:space="preserve">DISODIUM EDTA</w:t>
            </w:r>
          </w:p>
        </w:tc>
        <w:tc>
          <w:tcPr>
            <w:tcW w:w="2000" w:type="dxa"/>
          </w:tcPr>
          <w:p>
            <w:pPr>
              <w:spacing w:before="0" w:after="0"/>
            </w:pPr>
            <w:r>
              <w:rPr>
                <w:sz w:val="20"/>
                <w:szCs w:val="20"/>
              </w:rPr>
              <w:t xml:space="preserve">139-33-3</w:t>
            </w:r>
          </w:p>
        </w:tc>
        <w:tc>
          <w:tcPr>
            <w:tcW w:w="1400" w:type="dxa"/>
          </w:tcPr>
          <w:p>
            <w:pPr>
              <w:spacing w:before="0" w:after="0"/>
            </w:pPr>
            <w:r>
              <w:rPr>
                <w:sz w:val="20"/>
                <w:szCs w:val="20"/>
              </w:rPr>
              <w:t xml:space="preserve">0.03</w:t>
            </w:r>
          </w:p>
        </w:tc>
        <w:tc>
          <w:tcPr>
            <w:tcW w:w="2800" w:type="dxa"/>
          </w:tcPr>
          <w:p>
            <w:pPr>
              <w:spacing w:before="0" w:after="0"/>
            </w:pPr>
            <w:r>
              <w:rPr>
                <w:sz w:val="20"/>
                <w:szCs w:val="20"/>
              </w:rPr>
              <w:t xml:space="preserve">Disodium EDTA</w:t>
            </w:r>
          </w:p>
        </w:tc>
        <w:tc>
          <w:tcPr>
            <w:tcW w:w="2200" w:type="dxa"/>
          </w:tcPr>
          <w:p>
            <w:pPr>
              <w:spacing w:before="0" w:after="0"/>
            </w:pPr>
            <w:r>
              <w:rPr>
                <w:sz w:val="20"/>
                <w:szCs w:val="20"/>
              </w:rPr>
              <w:t xml:space="preserve">Compliance 3)</w:t>
            </w:r>
          </w:p>
        </w:tc>
      </w:tr>
      <w:tr>
        <w:tc>
          <w:tcPr>
            <w:tcW w:w="2400" w:type="dxa"/>
          </w:tcPr>
          <w:p>
            <w:pPr>
              <w:spacing w:before="0" w:after="0"/>
            </w:pPr>
            <w:r>
              <w:rPr>
                <w:sz w:val="20"/>
                <w:szCs w:val="20"/>
              </w:rPr>
              <w:t xml:space="preserve">PEG-40 HYDROGENATED CASTOR OIL</w:t>
            </w:r>
          </w:p>
        </w:tc>
        <w:tc>
          <w:tcPr>
            <w:tcW w:w="2000" w:type="dxa"/>
          </w:tcPr>
          <w:p>
            <w:pPr>
              <w:spacing w:before="0" w:after="0"/>
            </w:pPr>
            <w:r>
              <w:rPr>
                <w:sz w:val="20"/>
                <w:szCs w:val="20"/>
              </w:rPr>
              <w:t xml:space="preserve">61788-85-0</w:t>
            </w:r>
          </w:p>
        </w:tc>
        <w:tc>
          <w:tcPr>
            <w:tcW w:w="1400" w:type="dxa"/>
          </w:tcPr>
          <w:p>
            <w:pPr>
              <w:spacing w:before="0" w:after="0"/>
            </w:pPr>
            <w:r>
              <w:rPr>
                <w:sz w:val="20"/>
                <w:szCs w:val="20"/>
              </w:rPr>
              <w:t xml:space="preserve">0.018</w:t>
            </w:r>
          </w:p>
        </w:tc>
        <w:tc>
          <w:tcPr>
            <w:tcW w:w="2800" w:type="dxa"/>
          </w:tcPr>
          <w:p>
            <w:pPr>
              <w:spacing w:before="0" w:after="0"/>
            </w:pPr>
            <w:r>
              <w:rPr>
                <w:sz w:val="20"/>
                <w:szCs w:val="20"/>
              </w:rPr>
              <w:t xml:space="preserve">PEG-40 Hydrogenated Castor Oil</w:t>
            </w:r>
          </w:p>
        </w:tc>
        <w:tc>
          <w:tcPr>
            <w:tcW w:w="2200" w:type="dxa"/>
          </w:tcPr>
          <w:p>
            <w:pPr>
              <w:spacing w:before="0" w:after="0"/>
            </w:pPr>
            <w:r>
              <w:rPr>
                <w:sz w:val="20"/>
                <w:szCs w:val="20"/>
              </w:rPr>
              <w:t xml:space="preserve">Compliance 7)</w:t>
            </w:r>
          </w:p>
        </w:tc>
      </w:tr>
      <w:tr>
        <w:tc>
          <w:tcPr>
            <w:tcW w:w="2400" w:type="dxa"/>
          </w:tcPr>
          <w:p>
            <w:pPr>
              <w:spacing w:before="0" w:after="0"/>
            </w:pPr>
            <w:r>
              <w:rPr>
                <w:sz w:val="20"/>
                <w:szCs w:val="20"/>
              </w:rPr>
              <w:t xml:space="preserve">METHYLISOTHIAZOLINONE</w:t>
            </w:r>
          </w:p>
        </w:tc>
        <w:tc>
          <w:tcPr>
            <w:tcW w:w="2000" w:type="dxa"/>
          </w:tcPr>
          <w:p>
            <w:pPr>
              <w:spacing w:before="0" w:after="0"/>
            </w:pPr>
            <w:r>
              <w:rPr>
                <w:sz w:val="20"/>
                <w:szCs w:val="20"/>
              </w:rPr>
              <w:t xml:space="preserve">2682-20-4</w:t>
            </w:r>
          </w:p>
        </w:tc>
        <w:tc>
          <w:tcPr>
            <w:tcW w:w="1400" w:type="dxa"/>
          </w:tcPr>
          <w:p>
            <w:pPr>
              <w:spacing w:before="0" w:after="0"/>
            </w:pPr>
            <w:r>
              <w:rPr>
                <w:sz w:val="20"/>
                <w:szCs w:val="20"/>
              </w:rPr>
              <w:t xml:space="preserve">0.00594</w:t>
            </w:r>
          </w:p>
        </w:tc>
        <w:tc>
          <w:tcPr>
            <w:tcW w:w="2800" w:type="dxa"/>
          </w:tcPr>
          <w:p>
            <w:pPr>
              <w:spacing w:before="0" w:after="0"/>
            </w:pPr>
            <w:r>
              <w:rPr>
                <w:sz w:val="20"/>
                <w:szCs w:val="20"/>
              </w:rPr>
              <w:t xml:space="preserve">METHYLISOTHIAZOLINONE</w:t>
            </w:r>
          </w:p>
        </w:tc>
        <w:tc>
          <w:tcPr>
            <w:tcW w:w="2200" w:type="dxa"/>
          </w:tcPr>
          <w:p>
            <w:pPr>
              <w:spacing w:before="0" w:after="0"/>
            </w:pPr>
            <w:r>
              <w:rPr>
                <w:sz w:val="20"/>
                <w:szCs w:val="20"/>
              </w:rPr>
              <w:t xml:space="preserve">Compliance 8)</w:t>
            </w:r>
          </w:p>
        </w:tc>
      </w:tr>
      <w:tr>
        <w:tc>
          <w:tcPr>
            <w:tcW w:w="2400" w:type="dxa"/>
          </w:tcPr>
          <w:p>
            <w:pPr>
              <w:spacing w:before="0" w:after="0"/>
            </w:pPr>
            <w:r>
              <w:rPr>
                <w:sz w:val="20"/>
                <w:szCs w:val="20"/>
              </w:rPr>
              <w:t xml:space="preserve">FRAGRANCE</w:t>
            </w:r>
          </w:p>
        </w:tc>
        <w:tc>
          <w:tcPr>
            <w:tcW w:w="2000" w:type="dxa"/>
          </w:tcPr>
          <w:p>
            <w:pPr>
              <w:spacing w:before="0" w:after="0"/>
            </w:pPr>
            <w:r>
              <w:rPr>
                <w:sz w:val="20"/>
                <w:szCs w:val="20"/>
              </w:rPr>
              <w:t xml:space="preserve"/>
            </w:r>
          </w:p>
        </w:tc>
        <w:tc>
          <w:tcPr>
            <w:tcW w:w="1400" w:type="dxa"/>
          </w:tcPr>
          <w:p>
            <w:pPr>
              <w:spacing w:before="0" w:after="0"/>
            </w:pPr>
            <w:r>
              <w:rPr>
                <w:sz w:val="20"/>
                <w:szCs w:val="20"/>
              </w:rPr>
              <w:t xml:space="preserve">0.005</w:t>
            </w:r>
          </w:p>
        </w:tc>
        <w:tc>
          <w:tcPr>
            <w:tcW w:w="2800" w:type="dxa"/>
          </w:tcPr>
          <w:p>
            <w:pPr>
              <w:spacing w:before="0" w:after="0"/>
            </w:pPr>
            <w:r>
              <w:rPr>
                <w:sz w:val="20"/>
                <w:szCs w:val="20"/>
              </w:rPr>
              <w:t xml:space="preserve">FRAGRANCE</w:t>
            </w:r>
          </w:p>
        </w:tc>
        <w:tc>
          <w:tcPr>
            <w:tcW w:w="2200" w:type="dxa"/>
          </w:tcPr>
          <w:p>
            <w:pPr>
              <w:spacing w:before="0" w:after="0"/>
            </w:pPr>
            <w:r>
              <w:rPr>
                <w:sz w:val="20"/>
                <w:szCs w:val="20"/>
              </w:rPr>
              <w:t xml:space="preserve">Manual Review 9)</w:t>
            </w:r>
          </w:p>
        </w:tc>
      </w:tr>
      <w:tr>
        <w:tc>
          <w:tcPr>
            <w:tcW w:w="2400" w:type="dxa"/>
          </w:tcPr>
          <w:p>
            <w:pPr>
              <w:spacing w:before="0" w:after="0"/>
            </w:pPr>
            <w:r>
              <w:rPr>
                <w:sz w:val="20"/>
                <w:szCs w:val="20"/>
              </w:rPr>
              <w:t xml:space="preserve">PEG-10</w:t>
            </w:r>
          </w:p>
        </w:tc>
        <w:tc>
          <w:tcPr>
            <w:tcW w:w="2000" w:type="dxa"/>
          </w:tcPr>
          <w:p>
            <w:pPr>
              <w:spacing w:before="0" w:after="0"/>
            </w:pPr>
            <w:r>
              <w:rPr>
                <w:sz w:val="20"/>
                <w:szCs w:val="20"/>
              </w:rPr>
              <w:t xml:space="preserve">5579-66-8/25322-68-3</w:t>
            </w:r>
          </w:p>
        </w:tc>
        <w:tc>
          <w:tcPr>
            <w:tcW w:w="1400" w:type="dxa"/>
          </w:tcPr>
          <w:p>
            <w:pPr>
              <w:spacing w:before="0" w:after="0"/>
            </w:pPr>
            <w:r>
              <w:rPr>
                <w:sz w:val="20"/>
                <w:szCs w:val="20"/>
              </w:rPr>
              <w:t xml:space="preserve">0.002</w:t>
            </w:r>
          </w:p>
        </w:tc>
        <w:tc>
          <w:tcPr>
            <w:tcW w:w="2800" w:type="dxa"/>
          </w:tcPr>
          <w:p>
            <w:pPr>
              <w:spacing w:before="0" w:after="0"/>
            </w:pPr>
            <w:r>
              <w:rPr>
                <w:sz w:val="20"/>
                <w:szCs w:val="20"/>
              </w:rPr>
              <w:t xml:space="preserve">PEG-10</w:t>
            </w:r>
          </w:p>
        </w:tc>
        <w:tc>
          <w:tcPr>
            <w:tcW w:w="2200" w:type="dxa"/>
          </w:tcPr>
          <w:p>
            <w:pPr>
              <w:spacing w:before="0" w:after="0"/>
            </w:pPr>
            <w:r>
              <w:rPr>
                <w:sz w:val="20"/>
                <w:szCs w:val="20"/>
              </w:rPr>
              <w:t xml:space="preserve">Compliance 3)</w:t>
            </w:r>
          </w:p>
        </w:tc>
      </w:tr>
      <w:tr>
        <w:tc>
          <w:tcPr>
            <w:tcW w:w="2400" w:type="dxa"/>
          </w:tcPr>
          <w:p>
            <w:pPr>
              <w:spacing w:before="0" w:after="0"/>
            </w:pPr>
            <w:r>
              <w:rPr>
                <w:sz w:val="20"/>
                <w:szCs w:val="20"/>
              </w:rPr>
              <w:t xml:space="preserve">IODOPROPYNYL BUTYLCARBAMATE</w:t>
            </w:r>
          </w:p>
        </w:tc>
        <w:tc>
          <w:tcPr>
            <w:tcW w:w="2000" w:type="dxa"/>
          </w:tcPr>
          <w:p>
            <w:pPr>
              <w:spacing w:before="0" w:after="0"/>
            </w:pPr>
            <w:r>
              <w:rPr>
                <w:sz w:val="20"/>
                <w:szCs w:val="20"/>
              </w:rPr>
              <w:t xml:space="preserve">55406-53-6</w:t>
            </w:r>
          </w:p>
        </w:tc>
        <w:tc>
          <w:tcPr>
            <w:tcW w:w="1400" w:type="dxa"/>
          </w:tcPr>
          <w:p>
            <w:pPr>
              <w:spacing w:before="0" w:after="0"/>
            </w:pPr>
            <w:r>
              <w:rPr>
                <w:sz w:val="20"/>
                <w:szCs w:val="20"/>
              </w:rPr>
              <w:t xml:space="preserve">0.0017</w:t>
            </w:r>
          </w:p>
        </w:tc>
        <w:tc>
          <w:tcPr>
            <w:tcW w:w="2800" w:type="dxa"/>
          </w:tcPr>
          <w:p>
            <w:pPr>
              <w:spacing w:before="0" w:after="0"/>
            </w:pPr>
            <w:r>
              <w:rPr>
                <w:sz w:val="20"/>
                <w:szCs w:val="20"/>
              </w:rPr>
              <w:t xml:space="preserve">Iodopropynyl Butylcarbamate</w:t>
            </w:r>
          </w:p>
        </w:tc>
        <w:tc>
          <w:tcPr>
            <w:tcW w:w="2200" w:type="dxa"/>
          </w:tcPr>
          <w:p>
            <w:pPr>
              <w:spacing w:before="0" w:after="0"/>
            </w:pPr>
            <w:r>
              <w:rPr>
                <w:sz w:val="20"/>
                <w:szCs w:val="20"/>
              </w:rPr>
              <w:t xml:space="preserve">Compliance 10)</w:t>
            </w:r>
          </w:p>
        </w:tc>
      </w:tr>
      <w:tr>
        <w:tc>
          <w:tcPr>
            <w:tcW w:w="2400" w:type="dxa"/>
          </w:tcPr>
          <w:p>
            <w:pPr>
              <w:spacing w:before="0" w:after="0"/>
            </w:pPr>
            <w:r>
              <w:rPr>
                <w:sz w:val="20"/>
                <w:szCs w:val="20"/>
              </w:rPr>
              <w:t xml:space="preserve">POLYSORBATE 60</w:t>
            </w:r>
          </w:p>
        </w:tc>
        <w:tc>
          <w:tcPr>
            <w:tcW w:w="2000" w:type="dxa"/>
          </w:tcPr>
          <w:p>
            <w:pPr>
              <w:spacing w:before="0" w:after="0"/>
            </w:pPr>
            <w:r>
              <w:rPr>
                <w:sz w:val="20"/>
                <w:szCs w:val="20"/>
              </w:rPr>
              <w:t xml:space="preserve">9005-67-8</w:t>
            </w:r>
          </w:p>
        </w:tc>
        <w:tc>
          <w:tcPr>
            <w:tcW w:w="1400" w:type="dxa"/>
          </w:tcPr>
          <w:p>
            <w:pPr>
              <w:spacing w:before="0" w:after="0"/>
            </w:pPr>
            <w:r>
              <w:rPr>
                <w:sz w:val="20"/>
                <w:szCs w:val="20"/>
              </w:rPr>
              <w:t xml:space="preserve">0.001</w:t>
            </w:r>
          </w:p>
        </w:tc>
        <w:tc>
          <w:tcPr>
            <w:tcW w:w="2800" w:type="dxa"/>
          </w:tcPr>
          <w:p>
            <w:pPr>
              <w:spacing w:before="0" w:after="0"/>
            </w:pPr>
            <w:r>
              <w:rPr>
                <w:sz w:val="20"/>
                <w:szCs w:val="20"/>
              </w:rPr>
              <w:t xml:space="preserve">Polysorbate 60</w:t>
            </w:r>
          </w:p>
        </w:tc>
        <w:tc>
          <w:tcPr>
            <w:tcW w:w="2200" w:type="dxa"/>
          </w:tcPr>
          <w:p>
            <w:pPr>
              <w:spacing w:before="0" w:after="0"/>
            </w:pPr>
            <w:r>
              <w:rPr>
                <w:sz w:val="20"/>
                <w:szCs w:val="20"/>
              </w:rPr>
              <w:t xml:space="preserve">Compliance 11)</w:t>
            </w:r>
          </w:p>
        </w:tc>
      </w:tr>
      <w:tr>
        <w:tc>
          <w:tcPr>
            <w:tcW w:w="2400" w:type="dxa"/>
          </w:tcPr>
          <w:p>
            <w:pPr>
              <w:spacing w:before="0" w:after="0"/>
            </w:pPr>
            <w:r>
              <w:rPr>
                <w:sz w:val="20"/>
                <w:szCs w:val="20"/>
              </w:rPr>
              <w:t xml:space="preserve">DISODIUM PHOSPHATE</w:t>
            </w:r>
          </w:p>
        </w:tc>
        <w:tc>
          <w:tcPr>
            <w:tcW w:w="2000" w:type="dxa"/>
          </w:tcPr>
          <w:p>
            <w:pPr>
              <w:spacing w:before="0" w:after="0"/>
            </w:pPr>
            <w:r>
              <w:rPr>
                <w:sz w:val="20"/>
                <w:szCs w:val="20"/>
              </w:rPr>
              <w:t xml:space="preserve">7558-79-4</w:t>
            </w:r>
          </w:p>
        </w:tc>
        <w:tc>
          <w:tcPr>
            <w:tcW w:w="1400" w:type="dxa"/>
          </w:tcPr>
          <w:p>
            <w:pPr>
              <w:spacing w:before="0" w:after="0"/>
            </w:pPr>
            <w:r>
              <w:rPr>
                <w:sz w:val="20"/>
                <w:szCs w:val="20"/>
              </w:rPr>
              <w:t xml:space="preserve">0.001</w:t>
            </w:r>
          </w:p>
        </w:tc>
        <w:tc>
          <w:tcPr>
            <w:tcW w:w="2800" w:type="dxa"/>
          </w:tcPr>
          <w:p>
            <w:pPr>
              <w:spacing w:before="0" w:after="0"/>
            </w:pPr>
            <w:r>
              <w:rPr>
                <w:sz w:val="20"/>
                <w:szCs w:val="20"/>
              </w:rPr>
              <w:t xml:space="preserve">Disodium Phosphate</w:t>
            </w:r>
          </w:p>
        </w:tc>
        <w:tc>
          <w:tcPr>
            <w:tcW w:w="2200" w:type="dxa"/>
          </w:tcPr>
          <w:p>
            <w:pPr>
              <w:spacing w:before="0" w:after="0"/>
            </w:pPr>
            <w:r>
              <w:rPr>
                <w:sz w:val="20"/>
                <w:szCs w:val="20"/>
              </w:rPr>
              <w:t xml:space="preserve">Compliance 12)</w:t>
            </w:r>
          </w:p>
        </w:tc>
      </w:tr>
      <w:tr>
        <w:tc>
          <w:tcPr>
            <w:tcW w:w="2400" w:type="dxa"/>
          </w:tcPr>
          <w:p>
            <w:pPr>
              <w:spacing w:before="0" w:after="0"/>
            </w:pPr>
            <w:r>
              <w:rPr>
                <w:sz w:val="20"/>
                <w:szCs w:val="20"/>
              </w:rPr>
              <w:t xml:space="preserve">SODIUM PHOSPHATE</w:t>
            </w:r>
          </w:p>
        </w:tc>
        <w:tc>
          <w:tcPr>
            <w:tcW w:w="2000" w:type="dxa"/>
          </w:tcPr>
          <w:p>
            <w:pPr>
              <w:spacing w:before="0" w:after="0"/>
            </w:pPr>
            <w:r>
              <w:rPr>
                <w:sz w:val="20"/>
                <w:szCs w:val="20"/>
              </w:rPr>
              <w:t xml:space="preserve">7558-80-7</w:t>
            </w:r>
          </w:p>
        </w:tc>
        <w:tc>
          <w:tcPr>
            <w:tcW w:w="1400" w:type="dxa"/>
          </w:tcPr>
          <w:p>
            <w:pPr>
              <w:spacing w:before="0" w:after="0"/>
            </w:pPr>
            <w:r>
              <w:rPr>
                <w:sz w:val="20"/>
                <w:szCs w:val="20"/>
              </w:rPr>
              <w:t xml:space="preserve">0.0002</w:t>
            </w:r>
          </w:p>
        </w:tc>
        <w:tc>
          <w:tcPr>
            <w:tcW w:w="2800" w:type="dxa"/>
          </w:tcPr>
          <w:p>
            <w:pPr>
              <w:spacing w:before="0" w:after="0"/>
            </w:pPr>
            <w:r>
              <w:rPr>
                <w:sz w:val="20"/>
                <w:szCs w:val="20"/>
              </w:rPr>
              <w:t xml:space="preserve">Sodium Phosphate</w:t>
            </w:r>
          </w:p>
        </w:tc>
        <w:tc>
          <w:tcPr>
            <w:tcW w:w="2200" w:type="dxa"/>
          </w:tcPr>
          <w:p>
            <w:pPr>
              <w:spacing w:before="0" w:after="0"/>
            </w:pPr>
            <w:r>
              <w:rPr>
                <w:sz w:val="20"/>
                <w:szCs w:val="20"/>
              </w:rPr>
              <w:t xml:space="preserve">Compliance 13)</w:t>
            </w:r>
          </w:p>
        </w:tc>
      </w:tr>
    </w:tbl>
    <w:p>
      <w:pPr>
        <w:spacing w:before="0" w:after="80"/>
      </w:pPr>
      <w:r>
        <w:rPr>
          <w:sz w:val="20"/>
          <w:szCs w:val="20"/>
        </w:rPr>
        <w:t xml:space="preserve"/>
      </w:r>
    </w:p>
    <w:p>
      <w:pPr>
        <w:spacing w:before="0" w:after="120"/>
      </w:pPr>
      <w:r>
        <w:rPr>
          <w:b/>
          <w:bCs/>
          <w:sz w:val="24"/>
          <w:szCs w:val="24"/>
        </w:rPr>
        <w:t xml:space="preserve">Remarks</w:t>
      </w:r>
    </w:p>
    <w:p>
      <w:pPr>
        <w:spacing w:before="0" w:after="40"/>
      </w:pPr>
      <w:r>
        <w:rPr>
          <w:sz w:val="20"/>
          <w:szCs w:val="20"/>
        </w:rPr>
        <w:t xml:space="preserve">1) The substance was not found in the CFR prohibited and restricted substances list or the CIR Quick Reference Table.</w:t>
      </w:r>
    </w:p>
    <w:p>
      <w:pPr>
        <w:spacing w:before="0" w:after="40"/>
      </w:pPr>
      <w:r>
        <w:rPr>
          <w:sz w:val="20"/>
          <w:szCs w:val="20"/>
        </w:rPr>
        <w:t xml:space="preserve">2) The substance was found in the CIR Quick Reference Table, and is safe for use in cosmetics, with qualifications. Conclusion in the Quick Reference Table: The CIR Expert Panel concluded that ... PG and any PG &gt;= 3 are safe as cosmetic ingredients in present practices of use and concentration as described in this safety assessment when formulated to be nonirritating.</w:t>
      </w:r>
    </w:p>
    <w:p>
      <w:pPr>
        <w:spacing w:before="0" w:after="40"/>
      </w:pPr>
      <w:r>
        <w:rPr>
          <w:sz w:val="20"/>
          <w:szCs w:val="20"/>
        </w:rPr>
        <w:t xml:space="preserve">3) The substance was found in the CIR Quick Reference Table, and is Safe in the present practices of use and concentration.</w:t>
      </w:r>
    </w:p>
    <w:p>
      <w:pPr>
        <w:spacing w:before="0" w:after="40"/>
      </w:pPr>
      <w:r>
        <w:rPr>
          <w:sz w:val="20"/>
          <w:szCs w:val="20"/>
        </w:rPr>
        <w:t xml:space="preserve">4) The substance was found in the CIR Quick Reference Table, and is safe for use in cosmetics, with qualifications. Conclusion in the Quick Reference Table: On the basis of the animal and clinical data presented in this report, the CIR Expert Panel concludes that Diazolidinyl Urea is safe as a cosmetic ingredient up to a maximum concentration of 0.5 percent. Note: In 2006, the CIR Expert Panel considered available new data on this ingredient and confirmed the above conclusion.</w:t>
      </w:r>
    </w:p>
    <w:p>
      <w:pPr>
        <w:spacing w:before="0" w:after="40"/>
      </w:pPr>
      <w:r>
        <w:rPr>
          <w:sz w:val="20"/>
          <w:szCs w:val="20"/>
        </w:rPr>
        <w:t xml:space="preserve">5) The substance was found in the CIR Quick Reference Table, and is safe for use in cosmetics, with qualifications. Conclusion in the Quick Reference Table: The CIR Expert Panel concluded that the following 126 acrylates copolymers are safe in cosmetics in the present practices of use and concentration described in the safety assessment when formulated to be non-irritating..Carbomer...</w:t>
      </w:r>
    </w:p>
    <w:p>
      <w:pPr>
        <w:spacing w:before="0" w:after="40"/>
      </w:pPr>
      <w:r>
        <w:rPr>
          <w:sz w:val="20"/>
          <w:szCs w:val="20"/>
        </w:rPr>
        <w:t xml:space="preserve">6) The substance was found in the CIR Quick Reference Table, and is safe for use in cosmetics, with qualifications. Conclusion in the Quick Reference Table: The CIR Expert Panel concluded that TEA and the 31 related TEA-containing ingredients are safe in the present practices of use and concentration described in this safety assessment when formulated to be nonirritating and when the levels of free diethanolamine do not exceed the present practices of use and concentration of diethanolamine itself. These ingredients should not be used in cosmetic products in which N-nitroso compounds can be formed...Triethanolamine...</w:t>
      </w:r>
    </w:p>
    <w:p>
      <w:pPr>
        <w:spacing w:before="0" w:after="40"/>
      </w:pPr>
      <w:r>
        <w:rPr>
          <w:sz w:val="20"/>
          <w:szCs w:val="20"/>
        </w:rPr>
        <w:t xml:space="preserve">7) The substance was found in the CIR Quick Reference Table, and is safe for use in cosmetics, with qualifications. Conclusion in the Quick Reference Table: The CIR Expert Panel concluded that the 130 PEGylated oil ingredients listed subsequently are safe in the present practices of use and concentration in cosmetics when formulated to be nonirritating. The conclusion supersedes the earlier conclusion issued by the expert panel in 1997...PEG-40 Hydrogenated Castor Oil...</w:t>
      </w:r>
    </w:p>
    <w:p>
      <w:pPr>
        <w:spacing w:before="0" w:after="40"/>
      </w:pPr>
      <w:r>
        <w:rPr>
          <w:sz w:val="20"/>
          <w:szCs w:val="20"/>
        </w:rPr>
        <w:t xml:space="preserve">8) The substance was found in the CIR Quick Reference Table, and is safe for use in cosmetics, with qualifications. Conclusion in the Quick Reference Table: The Expert Panel for Cosmetic Ingredient Safety concluded that Methylisothiazolinone is safe for use in rinse-off cosmetic products at concentrations up to 100 ppm (i.e. 0.01%) and safe in leave-on cosmetic products when they are formulated to be non-sensitizing, which may be determined based on a QRA or similar methodology.</w:t>
      </w:r>
    </w:p>
    <w:p>
      <w:pPr>
        <w:spacing w:before="0" w:after="40"/>
      </w:pPr>
      <w:r>
        <w:rPr>
          <w:sz w:val="20"/>
          <w:szCs w:val="20"/>
        </w:rPr>
        <w:t xml:space="preserve">9) The substance is fragrance. Fragrance review workflow is not implemented in this version and requires manual review.</w:t>
      </w:r>
    </w:p>
    <w:p>
      <w:pPr>
        <w:spacing w:before="0" w:after="40"/>
      </w:pPr>
      <w:r>
        <w:rPr>
          <w:sz w:val="20"/>
          <w:szCs w:val="20"/>
        </w:rPr>
        <w:t xml:space="preserve">10) The substance was found in the CIR Quick Reference Table, and is safe for use in cosmetics, with qualifications. Conclusion in the Quick Reference Table: On the basis of the data presented in this report, the CIR Expert Panel concludes that Iodopropynyl Butylcarbamate (IPBC) is safe as a cosmetic ingredient at concentrations &amp;#8804; 0.1%. IPBC should not be used in products intended to be aerosolized.</w:t>
      </w:r>
    </w:p>
    <w:p>
      <w:pPr>
        <w:spacing w:before="0" w:after="40"/>
      </w:pPr>
      <w:r>
        <w:rPr>
          <w:sz w:val="20"/>
          <w:szCs w:val="20"/>
        </w:rPr>
        <w:t xml:space="preserve">11) The substance was found in the CIR Quick Reference Table, and is safe for use in cosmetics, with qualifications. Conclusion in the Quick Reference Table: The CIR Expert Panel concluded that the polysorbates listed below are safe in cosmetics when formulated to be nonirritating. This conclusion supersedes the conclusion reached in the 1984, 2000, and 2001 CIR safety assessments...Polysorbate 60...</w:t>
      </w:r>
    </w:p>
    <w:p>
      <w:pPr>
        <w:spacing w:before="0" w:after="40"/>
      </w:pPr>
      <w:r>
        <w:rPr>
          <w:sz w:val="20"/>
          <w:szCs w:val="20"/>
        </w:rPr>
        <w:t xml:space="preserve">12) The substance was found in the CIR Quick Reference Table, and is safe for use in cosmetics, with qualifications. Conclusion in the Quick Reference Table: The CIR Expert Panel concluded that the following 31 ingredients are safe in the present practices of use and concentration in cosmetics as described in this safety assessment, when formulated to be non-irritating...Disodium Phosphate...</w:t>
      </w:r>
    </w:p>
    <w:p>
      <w:pPr>
        <w:spacing w:before="0" w:after="40"/>
      </w:pPr>
      <w:r>
        <w:rPr>
          <w:sz w:val="20"/>
          <w:szCs w:val="20"/>
        </w:rPr>
        <w:t xml:space="preserve">13) The substance was found in the CIR Quick Reference Table, and is safe for use in cosmetics, with qualifications. Conclusion in the Quick Reference Table: The CIR Expert Panel concluded that the following 31 ingredients are safe in the present practices of use and concentration in cosmetics as described in this safety assessment, when formulated to be</w:t>
      </w:r>
    </w:p>
    <w:p>
      <w:pPr>
        <w:spacing w:before="0" w:after="40"/>
      </w:pPr>
      <w:r>
        <w:rPr>
          <w:sz w:val="20"/>
          <w:szCs w:val="20"/>
        </w:rPr>
        <w:t xml:space="preserve">TÜV SÜD provides its services in a knowledge capacity only and offers no legal opinion(s) herein. The service is according to company’s know-how and on publicly available sources at the time the services were supplied.</w:t>
      </w:r>
    </w:p>
    <w:p>
      <w:pPr>
        <w:spacing w:before="0" w:after="80"/>
      </w:pPr>
      <w:r>
        <w:rPr>
          <w:sz w:val="20"/>
          <w:szCs w:val="20"/>
        </w:rPr>
        <w:t xml:space="preserve"/>
      </w:r>
    </w:p>
    <w:p>
      <w:pPr>
        <w:spacing w:before="0" w:after="120"/>
      </w:pPr>
      <w:r>
        <w:rPr>
          <w:b/>
          <w:bCs/>
          <w:sz w:val="24"/>
          <w:szCs w:val="24"/>
        </w:rPr>
        <w:t xml:space="preserve">Prepared Remarks</w:t>
      </w:r>
    </w:p>
    <w:p>
      <w:pPr>
        <w:spacing w:before="0" w:after="40"/>
      </w:pPr>
      <w:r>
        <w:rPr>
          <w:sz w:val="20"/>
          <w:szCs w:val="20"/>
        </w:rPr>
        <w:t xml:space="preserve">Fragrance: Fragrance is a group name. The concentration of the fragrance in the formulation complies with the limit which indicated in the submitted 48h IFRA certificate of PL-247(G) Bee fragrance (Class 9.A maximum dosage 41.98%) submitted by the applicant. There is a typo in the submitted formulation. The correct name should be "fragrance".</w:t>
      </w:r>
    </w:p>
    <w:sectPr>
      <w:pgSz w:w="12240" w:h="15840"/>
      <w:pgMar w:top="1440" w:right="720" w:bottom="1440" w:left="720" w:header="708" w:footer="708" w:gutter="0"/>
    </w:sectPr>
  </w:body>
</w:document>
</file>

<file path=word/styles.xml><?xml version="1.0" encoding="utf-8"?>
<w:styles xmlns:w="http://schemas.openxmlformats.org/wordprocessingml/2006/main">
  <w:docDefaults>
    <w:rPrDefault>
      <w:rPr>
        <w:rFonts w:ascii="Calibri" w:hAnsi="Calibri" w:eastAsia="Calibri" w:cs="Calibri"/>
        <w:sz w:val="20"/>
        <w:szCs w:val="20"/>
      </w:rPr>
    </w:rPrDefault>
    <w:pPrDefault>
      <w:pPr>
        <w:spacing w:after="120"/>
      </w:pPr>
    </w:pPrDefault>
  </w:docDefaults>
</w:styles>
</file>

<file path=word/_rels/document.xml.rels><?xml version="1.0" encoding="UTF-8" standalone="yes"?>
<Relationships xmlns="http://schemas.openxmlformats.org/package/2006/relationships">
  <Relationship Id="rId1" Type="http://schemas.openxmlformats.org/officeDocument/2006/relationships/styles" Target="styles.xml"/>
</Relationships>

</file>

<file path=docProps/app.xml><?xml version="1.0" encoding="utf-8"?>
<Properties xmlns="http://schemas.openxmlformats.org/officeDocument/2006/extended-properties" xmlns:vt="http://schemas.openxmlformats.org/officeDocument/2006/docPropsVTypes">
  <Application>Microsoft Office Word</Application>
  <DocSecurity>0</DocSecurity>
  <ScaleCrop>false</ScaleCrop>
  <Company/>
  <LinksUpToDate>false</LinksUpToDate>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US Compliance Screening Report - FACIAL MASK - SWEET HONEY</dc:title>
  <dc:creator>Codex</dc:creator>
  <cp:lastModifiedBy>Codex</cp:lastModifiedBy>
  <dcterms:created xsi:type="dcterms:W3CDTF">2026-03-21T16:37:31Z</dcterms:created>
  <dcterms:modified xsi:type="dcterms:W3CDTF">2026-03-21T16:37:31Z</dcterms:modified>
</cp:coreProperties>
</file>