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WATERMELON</w:t>
      </w:r>
    </w:p>
    <w:p>
      <w:pPr>
        <w:spacing w:before="0" w:after="40"/>
      </w:pPr>
      <w:r>
        <w:rPr>
          <w:sz w:val="20"/>
          <w:szCs w:val="20"/>
        </w:rPr>
        <w:t xml:space="preserve">Region: US</w:t>
      </w:r>
    </w:p>
    <w:p>
      <w:pPr>
        <w:spacing w:before="0" w:after="40"/>
      </w:pPr>
      <w:r>
        <w:rPr>
          <w:sz w:val="20"/>
          <w:szCs w:val="20"/>
        </w:rPr>
        <w:t xml:space="preserve">Formula Code: FACIAL MASK - WATERMELON</w:t>
      </w:r>
    </w:p>
    <w:p>
      <w:pPr>
        <w:spacing w:before="0" w:after="40"/>
      </w:pPr>
      <w:r>
        <w:rPr>
          <w:sz w:val="20"/>
          <w:szCs w:val="20"/>
        </w:rPr>
        <w:t xml:space="preserve">Formula Name: FACIAL MASK - WATERMELON</w:t>
      </w:r>
    </w:p>
    <w:p>
      <w:pPr>
        <w:spacing w:before="0" w:after="40"/>
      </w:pPr>
      <w:r>
        <w:rPr>
          <w:sz w:val="20"/>
          <w:szCs w:val="20"/>
        </w:rPr>
        <w:t xml:space="preserve">Product Family: FACIAL MASK - WATERMELON</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WATERMELON</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90.08406</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5.1183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0.09</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5579-66-8/25322-68-3</w:t>
            </w:r>
          </w:p>
        </w:tc>
        <w:tc>
          <w:tcPr>
            <w:tcW w:w="1400" w:type="dxa"/>
          </w:tcPr>
          <w:p>
            <w:pPr>
              <w:spacing w:before="0" w:after="0"/>
            </w:pPr>
            <w:r>
              <w:rPr>
                <w:sz w:val="20"/>
                <w:szCs w:val="20"/>
              </w:rPr>
              <w:t xml:space="preserve">0.01</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METHYLISOTHIAZOLINONE</w:t>
            </w:r>
          </w:p>
        </w:tc>
        <w:tc>
          <w:tcPr>
            <w:tcW w:w="2000" w:type="dxa"/>
          </w:tcPr>
          <w:p>
            <w:pPr>
              <w:spacing w:before="0" w:after="0"/>
            </w:pPr>
            <w:r>
              <w:rPr>
                <w:sz w:val="20"/>
                <w:szCs w:val="20"/>
              </w:rPr>
              <w:t xml:space="preserve">2682-20-4</w:t>
            </w:r>
          </w:p>
        </w:tc>
        <w:tc>
          <w:tcPr>
            <w:tcW w:w="1400" w:type="dxa"/>
          </w:tcPr>
          <w:p>
            <w:pPr>
              <w:spacing w:before="0" w:after="0"/>
            </w:pPr>
            <w:r>
              <w:rPr>
                <w:sz w:val="20"/>
                <w:szCs w:val="20"/>
              </w:rPr>
              <w:t xml:space="preserve">0.00594</w:t>
            </w:r>
          </w:p>
        </w:tc>
        <w:tc>
          <w:tcPr>
            <w:tcW w:w="2800" w:type="dxa"/>
          </w:tcPr>
          <w:p>
            <w:pPr>
              <w:spacing w:before="0" w:after="0"/>
            </w:pPr>
            <w:r>
              <w:rPr>
                <w:sz w:val="20"/>
                <w:szCs w:val="20"/>
              </w:rPr>
              <w:t xml:space="preserve">METHYLISOTHIAZOLINONE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IODOPROPYNYL BUTYLCARBAMATE</w:t>
            </w:r>
          </w:p>
        </w:tc>
        <w:tc>
          <w:tcPr>
            <w:tcW w:w="2000" w:type="dxa"/>
          </w:tcPr>
          <w:p>
            <w:pPr>
              <w:spacing w:before="0" w:after="0"/>
            </w:pPr>
            <w:r>
              <w:rPr>
                <w:sz w:val="20"/>
                <w:szCs w:val="20"/>
              </w:rPr>
              <w:t xml:space="preserve">55406-53-6</w:t>
            </w:r>
          </w:p>
        </w:tc>
        <w:tc>
          <w:tcPr>
            <w:tcW w:w="1400" w:type="dxa"/>
          </w:tcPr>
          <w:p>
            <w:pPr>
              <w:spacing w:before="0" w:after="0"/>
            </w:pPr>
            <w:r>
              <w:rPr>
                <w:sz w:val="20"/>
                <w:szCs w:val="20"/>
              </w:rPr>
              <w:t xml:space="preserve">0.0017</w:t>
            </w:r>
          </w:p>
        </w:tc>
        <w:tc>
          <w:tcPr>
            <w:tcW w:w="28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12)</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rPr>
        <w:t xml:space="preserve">9) The substance was found in the CIR Quick Reference Table, and is safe for use in cosmetics, with qualifications. Conclusion in the Quick Reference Table: The Expert Panel for Cosmetic Ingredient Safety concluded that Methylisothiazolinone is safe for use in rinse-off cosmetic products at concentrations up to 100 ppm (i.e. 0.01%) and safe in leave-on cosmetic products when they are formulated to be non-sensitizing, which may be determined based on a QRA or similar methodology.</w:t>
      </w:r>
    </w:p>
    <w:p>
      <w:pPr>
        <w:spacing w:before="0" w:after="40"/>
      </w:pPr>
      <w:r>
        <w:rPr>
          <w:sz w:val="20"/>
          <w:szCs w:val="20"/>
        </w:rPr>
        <w:t xml:space="preserve">10) The substance was found in the CIR Quick Reference Table, and is safe for use in cosmetics, with qualifications. Conclusion in the Quick Reference Table: On the basis of the data presented in this report, the CIR Expert Panel concludes that Iodopropynyl Butylcarbamate (IPBC) is safe as a cosmetic ingredient at concentrations &amp;#8804; 0.1%. IPBC should not be used in products intended to be aerosolized.</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12)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13)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WATERMELON</dc:title>
  <dc:creator>Codex</dc:creator>
  <cp:lastModifiedBy>Codex</cp:lastModifiedBy>
  <dcterms:created xsi:type="dcterms:W3CDTF">2026-03-21T16:37:31Z</dcterms:created>
  <dcterms:modified xsi:type="dcterms:W3CDTF">2026-03-21T16:37:31Z</dcterms:modified>
</cp:coreProperties>
</file>