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HA494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HA494</w:t>
      </w:r>
    </w:p>
    <w:p>
      <w:pPr>
        <w:spacing w:before="0" w:after="40"/>
      </w:pPr>
      <w:r>
        <w:rPr>
          <w:sz w:val="20"/>
          <w:szCs w:val="20"/>
        </w:rPr>
        <w:t xml:space="preserve">Formula Name: HA494 - HA494 VITAMIN C</w:t>
      </w:r>
    </w:p>
    <w:p>
      <w:pPr>
        <w:spacing w:before="0" w:after="40"/>
      </w:pPr>
      <w:r>
        <w:rPr>
          <w:sz w:val="20"/>
          <w:szCs w:val="20"/>
        </w:rPr>
        <w:t xml:space="preserve">Product Family: HA494&amp;HA496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03_HA494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600"/>
        <w:gridCol w:w="2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82.35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107-88-0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CAPRYLIC/CAPRIC TRIGLYCERIDE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65381-09-1;73398-61-5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Caprylic/Capric Triglyceride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GLYCERETH-26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31694-55-0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Glycereth-26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ISOPROPYL MYRISTATE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110-27-0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Isopropyl Myristate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BUTYROSPERMUM PARKII (SHEA) BUTTER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91080-23-8;194043-92-0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Butyrospermum Parkii (Shea) Butter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107-52-8;141-62-8;141-63-9;9006-65-9;9016-00-6;63148-62-9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PEG-20 METHYL GLUCOSE SESQUISTEARATE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PEG-20 Methyl Glucose Sesquistearate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PEG-100 STEARATE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9004-99-3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PEG-100 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BEHENYL ALCOHOL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661-19-8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0.6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Behenyl Alcohol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25035-69-2;25212-88-8;25685-29-4;159666-35-0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0.56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 Copolymer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GLYCERYL STEARATE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123-94-4;11099-07-3;31566-31-1;85666-92-8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0.45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Glyceryl 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TRIETHANOLAMINE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102-71-6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Triethanolamine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CARBOMER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9003-01-4;9007-16-3;9007-17-4;9062-04-8;76050-42-5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Carbomer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CETEARETH-25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68439-49-6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Ceteareth-25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0.2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2)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XANTHAN GUM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11138-66-2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Xanthan Gum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DISODIUM EDTA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139-33-3;6381-92-6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Disodium EDTA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3-o-ETHYL ASCORBIC ACID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86404-04-8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3-o-ETHYL ASCORBIC ACID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Health Canada Cosmetic Ingredient Hotlist prohibited or restricted lists.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2) The substance is fragrance, which is a group name rather than a single defined ingredient. Manual review is required against the submitted IFRA documentation and label disclosure requirements.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Fragrance is a group name. The concentration of the fragrance in the formulation complies with the limit indicated in the submitted 51th IFRA certificate of [fragrance name from the submitted IFRA certificate] submitted by the applicant.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If allergenic fragrance ingredients exceed 0.01% in rinse-off products or 0.001% in leave-on products, the specific allergenic fragrance ingredients should be declared on the label.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HA494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