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HA496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HA496</w:t>
      </w:r>
    </w:p>
    <w:p>
      <w:pPr>
        <w:spacing w:before="0" w:after="40"/>
      </w:pPr>
      <w:r>
        <w:rPr>
          <w:sz w:val="20"/>
          <w:szCs w:val="20"/>
        </w:rPr>
        <w:t xml:space="preserve">Formula Name: HA496 - HA496 HYALURONATE ACID</w:t>
      </w:r>
    </w:p>
    <w:p>
      <w:pPr>
        <w:spacing w:before="0" w:after="40"/>
      </w:pPr>
      <w:r>
        <w:rPr>
          <w:sz w:val="20"/>
          <w:szCs w:val="20"/>
        </w:rPr>
        <w:t xml:space="preserve">Product Family: HA494&amp;HA496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03_HA496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82.3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CAPRYLIC/CAPRIC TRIGLYCERIDE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65381-09-1;73398-61-5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Caprylic/Capric Triglyceride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31694-55-0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ISOPROPYL MYRISTATE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110-27-0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Isopropyl Myristate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BUTYROSPERMUM PARKII (SHEA) BUTTER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91080-23-8;194043-92-0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Butyrospermum Parkii (Shea) Butter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107-52-8;141-62-8;141-63-9;9006-65-9;9016-00-6;63148-62-9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123-94-4;11099-07-3;31566-31-1;85666-92-8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TRIETHANOLAMINE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102-71-6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Triethanolamine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9003-01-4;9007-16-3;9007-17-4;9062-04-8;76050-42-5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139-33-3;6381-92-6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HA496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