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HA496</w:t>
      </w:r>
    </w:p>
    <w:p>
      <w:pPr>
        <w:spacing w:before="0" w:after="40"/>
      </w:pPr>
      <w:r>
        <w:rPr>
          <w:sz w:val="20"/>
          <w:szCs w:val="20"/>
        </w:rPr>
        <w:t xml:space="preserve">Region: US</w:t>
      </w:r>
    </w:p>
    <w:p>
      <w:pPr>
        <w:spacing w:before="0" w:after="40"/>
      </w:pPr>
      <w:r>
        <w:rPr>
          <w:sz w:val="20"/>
          <w:szCs w:val="20"/>
        </w:rPr>
        <w:t xml:space="preserve">Formula Code: HA496</w:t>
      </w:r>
    </w:p>
    <w:p>
      <w:pPr>
        <w:spacing w:before="0" w:after="40"/>
      </w:pPr>
      <w:r>
        <w:rPr>
          <w:sz w:val="20"/>
          <w:szCs w:val="20"/>
        </w:rPr>
        <w:t xml:space="preserve">Formula Name: HA496 - HA496 HYALURONATE ACID</w:t>
      </w:r>
    </w:p>
    <w:p>
      <w:pPr>
        <w:spacing w:before="0" w:after="40"/>
      </w:pPr>
      <w:r>
        <w:rPr>
          <w:sz w:val="20"/>
          <w:szCs w:val="20"/>
        </w:rPr>
        <w:t xml:space="preserve">Product Family: HA494&amp;HA496</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03_HA496</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WATER</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82.3</w:t>
            </w:r>
          </w:p>
        </w:tc>
        <w:tc>
          <w:tcPr>
            <w:tcW w:w="28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BUTYLENE GLYCOL</w:t>
            </w:r>
          </w:p>
        </w:tc>
        <w:tc>
          <w:tcPr>
            <w:tcW w:w="2000" w:type="dxa"/>
          </w:tcPr>
          <w:p>
            <w:pPr>
              <w:spacing w:before="0" w:after="0"/>
            </w:pPr>
            <w:r>
              <w:rPr>
                <w:sz w:val="20"/>
                <w:szCs w:val="20"/>
              </w:rPr>
              <w:t xml:space="preserve">107-88-0</w:t>
            </w:r>
          </w:p>
        </w:tc>
        <w:tc>
          <w:tcPr>
            <w:tcW w:w="1400" w:type="dxa"/>
          </w:tcPr>
          <w:p>
            <w:pPr>
              <w:spacing w:before="0" w:after="0"/>
            </w:pPr>
            <w:r>
              <w:rPr>
                <w:sz w:val="20"/>
                <w:szCs w:val="20"/>
              </w:rPr>
              <w:t xml:space="preserve">3</w:t>
            </w:r>
          </w:p>
        </w:tc>
        <w:tc>
          <w:tcPr>
            <w:tcW w:w="2800" w:type="dxa"/>
          </w:tcPr>
          <w:p>
            <w:pPr>
              <w:spacing w:before="0" w:after="0"/>
            </w:pPr>
            <w:r>
              <w:rPr>
                <w:sz w:val="20"/>
                <w:szCs w:val="20"/>
              </w:rPr>
              <w:t xml:space="preserve">Butylene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CAPRYLIC/CAPRIC TRIGLYCERIDE</w:t>
            </w:r>
          </w:p>
        </w:tc>
        <w:tc>
          <w:tcPr>
            <w:tcW w:w="2000" w:type="dxa"/>
          </w:tcPr>
          <w:p>
            <w:pPr>
              <w:spacing w:before="0" w:after="0"/>
            </w:pPr>
            <w:r>
              <w:rPr>
                <w:sz w:val="20"/>
                <w:szCs w:val="20"/>
              </w:rPr>
              <w:t xml:space="preserve">65381-09-1;73398-61-5</w:t>
            </w:r>
          </w:p>
        </w:tc>
        <w:tc>
          <w:tcPr>
            <w:tcW w:w="1400" w:type="dxa"/>
          </w:tcPr>
          <w:p>
            <w:pPr>
              <w:spacing w:before="0" w:after="0"/>
            </w:pPr>
            <w:r>
              <w:rPr>
                <w:sz w:val="20"/>
                <w:szCs w:val="20"/>
              </w:rPr>
              <w:t xml:space="preserve">2</w:t>
            </w:r>
          </w:p>
        </w:tc>
        <w:tc>
          <w:tcPr>
            <w:tcW w:w="2800" w:type="dxa"/>
          </w:tcPr>
          <w:p>
            <w:pPr>
              <w:spacing w:before="0" w:after="0"/>
            </w:pPr>
            <w:r>
              <w:rPr>
                <w:sz w:val="20"/>
                <w:szCs w:val="20"/>
              </w:rPr>
              <w:t xml:space="preserve">Caprylic/Capric Triglyceride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GLYCERETH-26</w:t>
            </w:r>
          </w:p>
        </w:tc>
        <w:tc>
          <w:tcPr>
            <w:tcW w:w="2000" w:type="dxa"/>
          </w:tcPr>
          <w:p>
            <w:pPr>
              <w:spacing w:before="0" w:after="0"/>
            </w:pPr>
            <w:r>
              <w:rPr>
                <w:sz w:val="20"/>
                <w:szCs w:val="20"/>
              </w:rPr>
              <w:t xml:space="preserve">31694-55-0</w:t>
            </w:r>
          </w:p>
        </w:tc>
        <w:tc>
          <w:tcPr>
            <w:tcW w:w="1400" w:type="dxa"/>
          </w:tcPr>
          <w:p>
            <w:pPr>
              <w:spacing w:before="0" w:after="0"/>
            </w:pPr>
            <w:r>
              <w:rPr>
                <w:sz w:val="20"/>
                <w:szCs w:val="20"/>
              </w:rPr>
              <w:t xml:space="preserve">2</w:t>
            </w:r>
          </w:p>
        </w:tc>
        <w:tc>
          <w:tcPr>
            <w:tcW w:w="2800" w:type="dxa"/>
          </w:tcPr>
          <w:p>
            <w:pPr>
              <w:spacing w:before="0" w:after="0"/>
            </w:pPr>
            <w:r>
              <w:rPr>
                <w:sz w:val="20"/>
                <w:szCs w:val="20"/>
              </w:rPr>
              <w:t xml:space="preserve">Glycereth-26</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ISOPROPYL MYRISTATE</w:t>
            </w:r>
          </w:p>
        </w:tc>
        <w:tc>
          <w:tcPr>
            <w:tcW w:w="2000" w:type="dxa"/>
          </w:tcPr>
          <w:p>
            <w:pPr>
              <w:spacing w:before="0" w:after="0"/>
            </w:pPr>
            <w:r>
              <w:rPr>
                <w:sz w:val="20"/>
                <w:szCs w:val="20"/>
              </w:rPr>
              <w:t xml:space="preserve">110-27-0</w:t>
            </w:r>
          </w:p>
        </w:tc>
        <w:tc>
          <w:tcPr>
            <w:tcW w:w="1400" w:type="dxa"/>
          </w:tcPr>
          <w:p>
            <w:pPr>
              <w:spacing w:before="0" w:after="0"/>
            </w:pPr>
            <w:r>
              <w:rPr>
                <w:sz w:val="20"/>
                <w:szCs w:val="20"/>
              </w:rPr>
              <w:t xml:space="preserve">1.5</w:t>
            </w:r>
          </w:p>
        </w:tc>
        <w:tc>
          <w:tcPr>
            <w:tcW w:w="2800" w:type="dxa"/>
          </w:tcPr>
          <w:p>
            <w:pPr>
              <w:spacing w:before="0" w:after="0"/>
            </w:pPr>
            <w:r>
              <w:rPr>
                <w:sz w:val="20"/>
                <w:szCs w:val="20"/>
              </w:rPr>
              <w:t xml:space="preserve">Isopropyl Myristate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BUTYROSPERMUM PARKII (SHEA) BUTTER</w:t>
            </w:r>
          </w:p>
        </w:tc>
        <w:tc>
          <w:tcPr>
            <w:tcW w:w="2000" w:type="dxa"/>
          </w:tcPr>
          <w:p>
            <w:pPr>
              <w:spacing w:before="0" w:after="0"/>
            </w:pPr>
            <w:r>
              <w:rPr>
                <w:sz w:val="20"/>
                <w:szCs w:val="20"/>
              </w:rPr>
              <w:t xml:space="preserve">91080-23-8;194043-92-0</w:t>
            </w:r>
          </w:p>
        </w:tc>
        <w:tc>
          <w:tcPr>
            <w:tcW w:w="1400" w:type="dxa"/>
          </w:tcPr>
          <w:p>
            <w:pPr>
              <w:spacing w:before="0" w:after="0"/>
            </w:pPr>
            <w:r>
              <w:rPr>
                <w:sz w:val="20"/>
                <w:szCs w:val="20"/>
              </w:rPr>
              <w:t xml:space="preserve">1.5</w:t>
            </w:r>
          </w:p>
        </w:tc>
        <w:tc>
          <w:tcPr>
            <w:tcW w:w="2800" w:type="dxa"/>
          </w:tcPr>
          <w:p>
            <w:pPr>
              <w:spacing w:before="0" w:after="0"/>
            </w:pPr>
            <w:r>
              <w:rPr>
                <w:sz w:val="20"/>
                <w:szCs w:val="20"/>
              </w:rPr>
              <w:t xml:space="preserve">Butyrospermum Parkii (Shea) Butter</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DIMETHICONE</w:t>
            </w:r>
          </w:p>
        </w:tc>
        <w:tc>
          <w:tcPr>
            <w:tcW w:w="2000" w:type="dxa"/>
          </w:tcPr>
          <w:p>
            <w:pPr>
              <w:spacing w:before="0" w:after="0"/>
            </w:pPr>
            <w:r>
              <w:rPr>
                <w:sz w:val="20"/>
                <w:szCs w:val="20"/>
              </w:rPr>
              <w:t xml:space="preserve">107-52-8;141-62-8;141-63-9;9006-65-9;9016-00-6;63148-62-9</w:t>
            </w:r>
          </w:p>
        </w:tc>
        <w:tc>
          <w:tcPr>
            <w:tcW w:w="1400" w:type="dxa"/>
          </w:tcPr>
          <w:p>
            <w:pPr>
              <w:spacing w:before="0" w:after="0"/>
            </w:pPr>
            <w:r>
              <w:rPr>
                <w:sz w:val="20"/>
                <w:szCs w:val="20"/>
              </w:rPr>
              <w:t xml:space="preserve">1.5</w:t>
            </w:r>
          </w:p>
        </w:tc>
        <w:tc>
          <w:tcPr>
            <w:tcW w:w="2800" w:type="dxa"/>
          </w:tcPr>
          <w:p>
            <w:pPr>
              <w:spacing w:before="0" w:after="0"/>
            </w:pPr>
            <w:r>
              <w:rPr>
                <w:sz w:val="20"/>
                <w:szCs w:val="20"/>
              </w:rPr>
              <w:t xml:space="preserve">Dimethicone</w:t>
            </w:r>
          </w:p>
        </w:tc>
        <w:tc>
          <w:tcPr>
            <w:tcW w:w="2200" w:type="dxa"/>
          </w:tcPr>
          <w:p>
            <w:pPr>
              <w:spacing w:before="0" w:after="0"/>
            </w:pPr>
            <w:r>
              <w:rPr>
                <w:sz w:val="20"/>
                <w:szCs w:val="20"/>
              </w:rPr>
              <w:t xml:space="preserve">Not Compliance 4)</w:t>
            </w:r>
          </w:p>
        </w:tc>
      </w:tr>
      <w:tr>
        <w:tc>
          <w:tcPr>
            <w:tcW w:w="2400" w:type="dxa"/>
          </w:tcPr>
          <w:p>
            <w:pPr>
              <w:spacing w:before="0" w:after="0"/>
            </w:pPr>
            <w:r>
              <w:rPr>
                <w:sz w:val="20"/>
                <w:szCs w:val="20"/>
              </w:rPr>
              <w:t xml:space="preserve">PEG-20 METHYL GLUCOSE SESQUISTEARATE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1.4</w:t>
            </w:r>
          </w:p>
        </w:tc>
        <w:tc>
          <w:tcPr>
            <w:tcW w:w="2800" w:type="dxa"/>
          </w:tcPr>
          <w:p>
            <w:pPr>
              <w:spacing w:before="0" w:after="0"/>
            </w:pPr>
            <w:r>
              <w:rPr>
                <w:sz w:val="20"/>
                <w:szCs w:val="20"/>
              </w:rPr>
              <w:t xml:space="preserve">PEG-20 Methyl Glucose Sesquistearate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PEG-100 STEARATE</w:t>
            </w:r>
          </w:p>
        </w:tc>
        <w:tc>
          <w:tcPr>
            <w:tcW w:w="2000" w:type="dxa"/>
          </w:tcPr>
          <w:p>
            <w:pPr>
              <w:spacing w:before="0" w:after="0"/>
            </w:pPr>
            <w:r>
              <w:rPr>
                <w:sz w:val="20"/>
                <w:szCs w:val="20"/>
              </w:rPr>
              <w:t xml:space="preserve">9004-99-3</w:t>
            </w:r>
          </w:p>
        </w:tc>
        <w:tc>
          <w:tcPr>
            <w:tcW w:w="1400" w:type="dxa"/>
          </w:tcPr>
          <w:p>
            <w:pPr>
              <w:spacing w:before="0" w:after="0"/>
            </w:pPr>
            <w:r>
              <w:rPr>
                <w:sz w:val="20"/>
                <w:szCs w:val="20"/>
              </w:rPr>
              <w:t xml:space="preserve">1.05</w:t>
            </w:r>
          </w:p>
        </w:tc>
        <w:tc>
          <w:tcPr>
            <w:tcW w:w="2800" w:type="dxa"/>
          </w:tcPr>
          <w:p>
            <w:pPr>
              <w:spacing w:before="0" w:after="0"/>
            </w:pPr>
            <w:r>
              <w:rPr>
                <w:sz w:val="20"/>
                <w:szCs w:val="20"/>
              </w:rPr>
              <w:t xml:space="preserve">PEG-100 Stearate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PHENOXYETHANOL</w:t>
            </w:r>
          </w:p>
        </w:tc>
        <w:tc>
          <w:tcPr>
            <w:tcW w:w="2000" w:type="dxa"/>
          </w:tcPr>
          <w:p>
            <w:pPr>
              <w:spacing w:before="0" w:after="0"/>
            </w:pPr>
            <w:r>
              <w:rPr>
                <w:sz w:val="20"/>
                <w:szCs w:val="20"/>
              </w:rPr>
              <w:t xml:space="preserve">122-99-6</w:t>
            </w:r>
          </w:p>
        </w:tc>
        <w:tc>
          <w:tcPr>
            <w:tcW w:w="1400" w:type="dxa"/>
          </w:tcPr>
          <w:p>
            <w:pPr>
              <w:spacing w:before="0" w:after="0"/>
            </w:pPr>
            <w:r>
              <w:rPr>
                <w:sz w:val="20"/>
                <w:szCs w:val="20"/>
              </w:rPr>
              <w:t xml:space="preserve">0.72</w:t>
            </w:r>
          </w:p>
        </w:tc>
        <w:tc>
          <w:tcPr>
            <w:tcW w:w="28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BEHENYL ALCOHOL</w:t>
            </w:r>
          </w:p>
        </w:tc>
        <w:tc>
          <w:tcPr>
            <w:tcW w:w="2000" w:type="dxa"/>
          </w:tcPr>
          <w:p>
            <w:pPr>
              <w:spacing w:before="0" w:after="0"/>
            </w:pPr>
            <w:r>
              <w:rPr>
                <w:sz w:val="20"/>
                <w:szCs w:val="20"/>
              </w:rPr>
              <w:t xml:space="preserve">661-19-8</w:t>
            </w:r>
          </w:p>
        </w:tc>
        <w:tc>
          <w:tcPr>
            <w:tcW w:w="1400" w:type="dxa"/>
          </w:tcPr>
          <w:p>
            <w:pPr>
              <w:spacing w:before="0" w:after="0"/>
            </w:pPr>
            <w:r>
              <w:rPr>
                <w:sz w:val="20"/>
                <w:szCs w:val="20"/>
              </w:rPr>
              <w:t xml:space="preserve">0.6</w:t>
            </w:r>
          </w:p>
        </w:tc>
        <w:tc>
          <w:tcPr>
            <w:tcW w:w="2800" w:type="dxa"/>
          </w:tcPr>
          <w:p>
            <w:pPr>
              <w:spacing w:before="0" w:after="0"/>
            </w:pPr>
            <w:r>
              <w:rPr>
                <w:sz w:val="20"/>
                <w:szCs w:val="20"/>
              </w:rPr>
              <w:t xml:space="preserve">Behenyl Alcohol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ACRYLATES COPOLYMER</w:t>
            </w:r>
          </w:p>
        </w:tc>
        <w:tc>
          <w:tcPr>
            <w:tcW w:w="2000" w:type="dxa"/>
          </w:tcPr>
          <w:p>
            <w:pPr>
              <w:spacing w:before="0" w:after="0"/>
            </w:pPr>
            <w:r>
              <w:rPr>
                <w:sz w:val="20"/>
                <w:szCs w:val="20"/>
              </w:rPr>
              <w:t xml:space="preserve">25035-69-2;25212-88-8;25685-29-4;159666-35-0</w:t>
            </w:r>
          </w:p>
        </w:tc>
        <w:tc>
          <w:tcPr>
            <w:tcW w:w="1400" w:type="dxa"/>
          </w:tcPr>
          <w:p>
            <w:pPr>
              <w:spacing w:before="0" w:after="0"/>
            </w:pPr>
            <w:r>
              <w:rPr>
                <w:sz w:val="20"/>
                <w:szCs w:val="20"/>
              </w:rPr>
              <w:t xml:space="preserve">0.56</w:t>
            </w:r>
          </w:p>
        </w:tc>
        <w:tc>
          <w:tcPr>
            <w:tcW w:w="2800" w:type="dxa"/>
          </w:tcPr>
          <w:p>
            <w:pPr>
              <w:spacing w:before="0" w:after="0"/>
            </w:pPr>
            <w:r>
              <w:rPr>
                <w:sz w:val="20"/>
                <w:szCs w:val="20"/>
              </w:rPr>
              <w:t xml:space="preserve">Acrylates Copolymer</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GLYCERYL STEARATE</w:t>
            </w:r>
          </w:p>
        </w:tc>
        <w:tc>
          <w:tcPr>
            <w:tcW w:w="2000" w:type="dxa"/>
          </w:tcPr>
          <w:p>
            <w:pPr>
              <w:spacing w:before="0" w:after="0"/>
            </w:pPr>
            <w:r>
              <w:rPr>
                <w:sz w:val="20"/>
                <w:szCs w:val="20"/>
              </w:rPr>
              <w:t xml:space="preserve">123-94-4;11099-07-3;31566-31-1;85666-92-8</w:t>
            </w:r>
          </w:p>
        </w:tc>
        <w:tc>
          <w:tcPr>
            <w:tcW w:w="1400" w:type="dxa"/>
          </w:tcPr>
          <w:p>
            <w:pPr>
              <w:spacing w:before="0" w:after="0"/>
            </w:pPr>
            <w:r>
              <w:rPr>
                <w:sz w:val="20"/>
                <w:szCs w:val="20"/>
              </w:rPr>
              <w:t xml:space="preserve">0.45</w:t>
            </w:r>
          </w:p>
        </w:tc>
        <w:tc>
          <w:tcPr>
            <w:tcW w:w="2800" w:type="dxa"/>
          </w:tcPr>
          <w:p>
            <w:pPr>
              <w:spacing w:before="0" w:after="0"/>
            </w:pPr>
            <w:r>
              <w:rPr>
                <w:sz w:val="20"/>
                <w:szCs w:val="20"/>
              </w:rPr>
              <w:t xml:space="preserve">Glyceryl Stearate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TRIETHANOLAMINE</w:t>
            </w:r>
          </w:p>
        </w:tc>
        <w:tc>
          <w:tcPr>
            <w:tcW w:w="2000" w:type="dxa"/>
          </w:tcPr>
          <w:p>
            <w:pPr>
              <w:spacing w:before="0" w:after="0"/>
            </w:pPr>
            <w:r>
              <w:rPr>
                <w:sz w:val="20"/>
                <w:szCs w:val="20"/>
              </w:rPr>
              <w:t xml:space="preserve">102-71-6</w:t>
            </w:r>
          </w:p>
        </w:tc>
        <w:tc>
          <w:tcPr>
            <w:tcW w:w="1400" w:type="dxa"/>
          </w:tcPr>
          <w:p>
            <w:pPr>
              <w:spacing w:before="0" w:after="0"/>
            </w:pPr>
            <w:r>
              <w:rPr>
                <w:sz w:val="20"/>
                <w:szCs w:val="20"/>
              </w:rPr>
              <w:t xml:space="preserve">0.35</w:t>
            </w:r>
          </w:p>
        </w:tc>
        <w:tc>
          <w:tcPr>
            <w:tcW w:w="2800" w:type="dxa"/>
          </w:tcPr>
          <w:p>
            <w:pPr>
              <w:spacing w:before="0" w:after="0"/>
            </w:pPr>
            <w:r>
              <w:rPr>
                <w:sz w:val="20"/>
                <w:szCs w:val="20"/>
              </w:rPr>
              <w:t xml:space="preserve">Triethanolamine</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CARBOMER</w:t>
            </w:r>
          </w:p>
        </w:tc>
        <w:tc>
          <w:tcPr>
            <w:tcW w:w="2000" w:type="dxa"/>
          </w:tcPr>
          <w:p>
            <w:pPr>
              <w:spacing w:before="0" w:after="0"/>
            </w:pPr>
            <w:r>
              <w:rPr>
                <w:sz w:val="20"/>
                <w:szCs w:val="20"/>
              </w:rPr>
              <w:t xml:space="preserve">9003-01-4;9007-16-3;9007-17-4;9062-04-8;76050-42-5</w:t>
            </w:r>
          </w:p>
        </w:tc>
        <w:tc>
          <w:tcPr>
            <w:tcW w:w="1400" w:type="dxa"/>
          </w:tcPr>
          <w:p>
            <w:pPr>
              <w:spacing w:before="0" w:after="0"/>
            </w:pPr>
            <w:r>
              <w:rPr>
                <w:sz w:val="20"/>
                <w:szCs w:val="20"/>
              </w:rPr>
              <w:t xml:space="preserve">0.35</w:t>
            </w:r>
          </w:p>
        </w:tc>
        <w:tc>
          <w:tcPr>
            <w:tcW w:w="2800" w:type="dxa"/>
          </w:tcPr>
          <w:p>
            <w:pPr>
              <w:spacing w:before="0" w:after="0"/>
            </w:pPr>
            <w:r>
              <w:rPr>
                <w:sz w:val="20"/>
                <w:szCs w:val="20"/>
              </w:rPr>
              <w:t xml:space="preserve">Carbomer</w:t>
            </w:r>
          </w:p>
        </w:tc>
        <w:tc>
          <w:tcPr>
            <w:tcW w:w="2200" w:type="dxa"/>
          </w:tcPr>
          <w:p>
            <w:pPr>
              <w:spacing w:before="0" w:after="0"/>
            </w:pPr>
            <w:r>
              <w:rPr>
                <w:sz w:val="20"/>
                <w:szCs w:val="20"/>
              </w:rPr>
              <w:t xml:space="preserve">Compliance 7)</w:t>
            </w:r>
          </w:p>
        </w:tc>
      </w:tr>
      <w:tr>
        <w:tc>
          <w:tcPr>
            <w:tcW w:w="2400" w:type="dxa"/>
          </w:tcPr>
          <w:p>
            <w:pPr>
              <w:spacing w:before="0" w:after="0"/>
            </w:pPr>
            <w:r>
              <w:rPr>
                <w:sz w:val="20"/>
                <w:szCs w:val="20"/>
              </w:rPr>
              <w:t xml:space="preserve">CETEARETH-25</w:t>
            </w:r>
          </w:p>
        </w:tc>
        <w:tc>
          <w:tcPr>
            <w:tcW w:w="2000" w:type="dxa"/>
          </w:tcPr>
          <w:p>
            <w:pPr>
              <w:spacing w:before="0" w:after="0"/>
            </w:pPr>
            <w:r>
              <w:rPr>
                <w:sz w:val="20"/>
                <w:szCs w:val="20"/>
              </w:rPr>
              <w:t xml:space="preserve">68439-49-6</w:t>
            </w:r>
          </w:p>
        </w:tc>
        <w:tc>
          <w:tcPr>
            <w:tcW w:w="1400" w:type="dxa"/>
          </w:tcPr>
          <w:p>
            <w:pPr>
              <w:spacing w:before="0" w:after="0"/>
            </w:pPr>
            <w:r>
              <w:rPr>
                <w:sz w:val="20"/>
                <w:szCs w:val="20"/>
              </w:rPr>
              <w:t xml:space="preserve">0.24</w:t>
            </w:r>
          </w:p>
        </w:tc>
        <w:tc>
          <w:tcPr>
            <w:tcW w:w="2800" w:type="dxa"/>
          </w:tcPr>
          <w:p>
            <w:pPr>
              <w:spacing w:before="0" w:after="0"/>
            </w:pPr>
            <w:r>
              <w:rPr>
                <w:sz w:val="20"/>
                <w:szCs w:val="20"/>
              </w:rPr>
              <w:t xml:space="preserve">Ceteareth-25</w:t>
            </w:r>
          </w:p>
        </w:tc>
        <w:tc>
          <w:tcPr>
            <w:tcW w:w="2200" w:type="dxa"/>
          </w:tcPr>
          <w:p>
            <w:pPr>
              <w:spacing w:before="0" w:after="0"/>
            </w:pPr>
            <w:r>
              <w:rPr>
                <w:sz w:val="20"/>
                <w:szCs w:val="20"/>
              </w:rPr>
              <w:t xml:space="preserve">Compliance 8)</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9)</w:t>
            </w:r>
          </w:p>
        </w:tc>
      </w:tr>
      <w:tr>
        <w:tc>
          <w:tcPr>
            <w:tcW w:w="2400" w:type="dxa"/>
          </w:tcPr>
          <w:p>
            <w:pPr>
              <w:spacing w:before="0" w:after="0"/>
            </w:pPr>
            <w:r>
              <w:rPr>
                <w:sz w:val="20"/>
                <w:szCs w:val="20"/>
              </w:rPr>
              <w:t xml:space="preserve">SODIUM HYALURONATE</w:t>
            </w:r>
          </w:p>
        </w:tc>
        <w:tc>
          <w:tcPr>
            <w:tcW w:w="2000" w:type="dxa"/>
          </w:tcPr>
          <w:p>
            <w:pPr>
              <w:spacing w:before="0" w:after="0"/>
            </w:pPr>
            <w:r>
              <w:rPr>
                <w:sz w:val="20"/>
                <w:szCs w:val="20"/>
              </w:rPr>
              <w:t xml:space="preserve">9067-32-7</w:t>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Sodium Hyaluronate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ETHYLHEXYLGLYCERIN</w:t>
            </w:r>
          </w:p>
        </w:tc>
        <w:tc>
          <w:tcPr>
            <w:tcW w:w="2000" w:type="dxa"/>
          </w:tcPr>
          <w:p>
            <w:pPr>
              <w:spacing w:before="0" w:after="0"/>
            </w:pPr>
            <w:r>
              <w:rPr>
                <w:sz w:val="20"/>
                <w:szCs w:val="20"/>
              </w:rPr>
              <w:t xml:space="preserve">70445-33-9</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XANTHAN GUM</w:t>
            </w:r>
          </w:p>
        </w:tc>
        <w:tc>
          <w:tcPr>
            <w:tcW w:w="2000" w:type="dxa"/>
          </w:tcPr>
          <w:p>
            <w:pPr>
              <w:spacing w:before="0" w:after="0"/>
            </w:pPr>
            <w:r>
              <w:rPr>
                <w:sz w:val="20"/>
                <w:szCs w:val="20"/>
              </w:rPr>
              <w:t xml:space="preserve">11138-66-2</w:t>
            </w:r>
          </w:p>
        </w:tc>
        <w:tc>
          <w:tcPr>
            <w:tcW w:w="1400" w:type="dxa"/>
          </w:tcPr>
          <w:p>
            <w:pPr>
              <w:spacing w:before="0" w:after="0"/>
            </w:pPr>
            <w:r>
              <w:rPr>
                <w:sz w:val="20"/>
                <w:szCs w:val="20"/>
              </w:rPr>
              <w:t xml:space="preserve">0.05</w:t>
            </w:r>
          </w:p>
        </w:tc>
        <w:tc>
          <w:tcPr>
            <w:tcW w:w="2800" w:type="dxa"/>
          </w:tcPr>
          <w:p>
            <w:pPr>
              <w:spacing w:before="0" w:after="0"/>
            </w:pPr>
            <w:r>
              <w:rPr>
                <w:sz w:val="20"/>
                <w:szCs w:val="20"/>
              </w:rPr>
              <w:t xml:space="preserve">Xanthan Gum</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DISODIUM EDTA</w:t>
            </w:r>
          </w:p>
        </w:tc>
        <w:tc>
          <w:tcPr>
            <w:tcW w:w="2000" w:type="dxa"/>
          </w:tcPr>
          <w:p>
            <w:pPr>
              <w:spacing w:before="0" w:after="0"/>
            </w:pPr>
            <w:r>
              <w:rPr>
                <w:sz w:val="20"/>
                <w:szCs w:val="20"/>
              </w:rPr>
              <w:t xml:space="preserve">139-33-3;6381-92-6</w:t>
            </w:r>
          </w:p>
        </w:tc>
        <w:tc>
          <w:tcPr>
            <w:tcW w:w="1400" w:type="dxa"/>
          </w:tcPr>
          <w:p>
            <w:pPr>
              <w:spacing w:before="0" w:after="0"/>
            </w:pPr>
            <w:r>
              <w:rPr>
                <w:sz w:val="20"/>
                <w:szCs w:val="20"/>
              </w:rPr>
              <w:t xml:space="preserve">0.05</w:t>
            </w:r>
          </w:p>
        </w:tc>
        <w:tc>
          <w:tcPr>
            <w:tcW w:w="28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2)</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and is Safe in the present practices of use and concentration.</w:t>
      </w:r>
    </w:p>
    <w:p>
      <w:pPr>
        <w:spacing w:before="0" w:after="40"/>
      </w:pPr>
      <w:r>
        <w:rPr>
          <w:sz w:val="20"/>
          <w:szCs w:val="20"/>
        </w:rPr>
        <w:t xml:space="preserve">3) The substance was found in the CIR Quick Reference Table, and is safe for use in cosmetics, with qualifications. Conclusion in the Quick Reference Table: The Expert Panel for Cosmetic Ingredient Safety concluded that the following 8 ethoxylated glycerin ingredients are safe in cosmetics in the present practices of use and concentration described in this safety assessment when formulated to be non-irritating...Glycereth-26</w:t>
      </w:r>
    </w:p>
    <w:p>
      <w:pPr>
        <w:spacing w:before="0" w:after="40"/>
      </w:pPr>
      <w:r>
        <w:rPr>
          <w:sz w:val="20"/>
          <w:szCs w:val="20"/>
        </w:rPr>
        <w:t xml:space="preserve">4) The substance was found in the CIR Quick Reference Table with finding 'Dimethicone: S</w:t>
        <w:br/>
        <w:t xml:space="preserve">---</w:t>
        <w:br/>
        <w:t xml:space="preserve">Dimethicone: SQ;I'. Conclusion in the Quick Reference Table: Dimethicone: (blank in CIR source)</w:t>
        <w:br/>
        <w:t xml:space="preserve">---</w:t>
        <w:br/>
        <w:t xml:space="preserve">Dimethicone: The Expert Panel for Cosmetic Ingredient Safety concluded that the following 30 dimethicone, methicone, and substituted-methicone polymers are safe in cosmetics in the present practices of use and concentration described in this safety assessment when formulated to be non-irritating, with the exception that the available data are insufficient to make a determination of safety for use of these ingredients in products that may be incidentally inhaled when applied using airbrush devices: Dimethicone</w:t>
      </w:r>
    </w:p>
    <w:p>
      <w:pPr>
        <w:spacing w:before="0" w:after="40"/>
      </w:pPr>
      <w:r>
        <w:rPr>
          <w:sz w:val="20"/>
          <w:szCs w:val="20"/>
        </w:rPr>
        <w:t xml:space="preserve">5)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non-irritating..Acrylates Copolymer...</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TEA and the 31 related TEA-containing ingredients are safe in the present practices of use and concentration described in this safety assessment when formulated to be nonirritating and when the levels of free diethanolamine do not exceed the present practices of use and concentration of diethanolamine itself. These ingredients should not be used in cosmetic products in which N-nitroso compounds can be formed...Triethanolamine...</w:t>
      </w:r>
    </w:p>
    <w:p>
      <w:pPr>
        <w:spacing w:before="0" w:after="40"/>
      </w:pPr>
      <w:r>
        <w:rPr>
          <w:sz w:val="20"/>
          <w:szCs w:val="20"/>
        </w:rPr>
        <w:t xml:space="preserve">7)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non-irritating..Carbomer...</w:t>
      </w:r>
    </w:p>
    <w:p>
      <w:pPr>
        <w:spacing w:before="0" w:after="40"/>
      </w:pPr>
      <w:r>
        <w:rPr>
          <w:sz w:val="20"/>
          <w:szCs w:val="20"/>
        </w:rPr>
        <w:t xml:space="preserve">8) The substance was found in the CIR Quick Reference Table, and is safe for use in cosmetics, with qualifications. Conclusion in the Quick Reference Table: The CIR Expert Panel concluded that the alkyl PEG ethers, listed below, are safe in the present practices of use and concentration described in this safety assessment when formulated to be nonirritating. This assessment is also intended to address future alkyl PEG ether cosmetic ingredients that vary from those ingredients recited herein only by the number of ethylene glycol repeat units...Ceteareth-25...</w:t>
      </w:r>
    </w:p>
    <w:p>
      <w:pPr>
        <w:spacing w:before="0" w:after="40"/>
      </w:pPr>
      <w:r>
        <w:rPr>
          <w:sz w:val="20"/>
          <w:szCs w:val="20"/>
        </w:rPr>
        <w:t xml:space="preserve">9) The substance is fragrance. Fragrance review workflow is not implemented in this version and requires manual review.</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HA496</dc:title>
  <dc:creator>Codex</dc:creator>
  <cp:lastModifiedBy>Codex</cp:lastModifiedBy>
  <dcterms:created xsi:type="dcterms:W3CDTF">2026-03-21T16:37:31Z</dcterms:created>
  <dcterms:modified xsi:type="dcterms:W3CDTF">2026-03-21T16:37:31Z</dcterms:modified>
</cp:coreProperties>
</file>