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HA556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HA556</w:t>
      </w:r>
    </w:p>
    <w:p>
      <w:pPr>
        <w:spacing w:before="0" w:after="40"/>
      </w:pPr>
      <w:r>
        <w:rPr>
          <w:sz w:val="20"/>
          <w:szCs w:val="20"/>
        </w:rPr>
        <w:t xml:space="preserve">Formula Name: HA556 - HA556 COLLAGEN</w:t>
      </w:r>
    </w:p>
    <w:p>
      <w:pPr>
        <w:spacing w:before="0" w:after="40"/>
      </w:pPr>
      <w:r>
        <w:rPr>
          <w:sz w:val="20"/>
          <w:szCs w:val="20"/>
        </w:rPr>
        <w:t xml:space="preserve">Product Family: HAND CREAM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03_HA556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AQUA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90.8699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AQUA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8042-47-5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8009-03-8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9006-65-9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8005-44-5;67762-27-0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0.7214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25035-69-2;25212-88-8;25685-29-4;159666-35-0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0.595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68439-49-6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9003-01-4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11138-66-2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0.0802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HYDROLYZED COLLAGEN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73049-73-7;92113-31-0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0.07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HYDROLYZED COLLAGEN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3)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0.0185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3) The substance was found in Health Canada Cosmetic Ingredient Hotlist-Restricted. Relevant Hotlist entry: Human origin, substance of. Conditions of use / allowed body site: Manufacturers using substances of human origin must provide the following information to Health Canada:</w:t>
        <w:br/>
        <w:t xml:space="preserve">1. Source of the substance;</w:t>
        <w:br/>
        <w:t xml:space="preserve">2. A description of the method of production;</w:t>
        <w:br/>
        <w:t xml:space="preserve">3. Quality control data, particularly those relating to microbial limits (including viruses) and the absence of estrogenic substances;</w:t>
        <w:br/>
        <w:t xml:space="preserve">4. Product labelling.. Manual review is required to confirm product type, body site, concentration, and labeling.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Restricted entries in the Health Canada Cosmetic Ingredient Hotlist should be reviewed against product type, body site, concentration, and warning statement requirements before release.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HA556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