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HA608-2</w:t>
      </w:r>
    </w:p>
    <w:p>
      <w:pPr>
        <w:spacing w:before="0" w:after="40"/>
      </w:pPr>
      <w:r>
        <w:rPr>
          <w:sz w:val="20"/>
          <w:szCs w:val="20"/>
        </w:rPr>
        <w:t xml:space="preserve">Region: US</w:t>
      </w:r>
    </w:p>
    <w:p>
      <w:pPr>
        <w:spacing w:before="0" w:after="40"/>
      </w:pPr>
      <w:r>
        <w:rPr>
          <w:sz w:val="20"/>
          <w:szCs w:val="20"/>
        </w:rPr>
        <w:t xml:space="preserve">Formula Code: HA608-2</w:t>
      </w:r>
    </w:p>
    <w:p>
      <w:pPr>
        <w:spacing w:before="0" w:after="40"/>
      </w:pPr>
      <w:r>
        <w:rPr>
          <w:sz w:val="20"/>
          <w:szCs w:val="20"/>
        </w:rPr>
        <w:t xml:space="preserve">Formula Name: HA608-2 - HA608-2 HYALURONATE</w:t>
      </w:r>
    </w:p>
    <w:p>
      <w:pPr>
        <w:spacing w:before="0" w:after="40"/>
      </w:pPr>
      <w:r>
        <w:rPr>
          <w:sz w:val="20"/>
          <w:szCs w:val="20"/>
        </w:rPr>
        <w:t xml:space="preserve">Product Family: FOAM CLEANSER</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03_HA608-2</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93.0249</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BUTYLENE GLYCOL</w:t>
            </w:r>
          </w:p>
        </w:tc>
        <w:tc>
          <w:tcPr>
            <w:tcW w:w="2000" w:type="dxa"/>
          </w:tcPr>
          <w:p>
            <w:pPr>
              <w:spacing w:before="0" w:after="0"/>
            </w:pPr>
            <w:r>
              <w:rPr>
                <w:sz w:val="20"/>
                <w:szCs w:val="20"/>
              </w:rPr>
              <w:t xml:space="preserve">107-88-0</w:t>
            </w:r>
          </w:p>
        </w:tc>
        <w:tc>
          <w:tcPr>
            <w:tcW w:w="1400" w:type="dxa"/>
          </w:tcPr>
          <w:p>
            <w:pPr>
              <w:spacing w:before="0" w:after="0"/>
            </w:pPr>
            <w:r>
              <w:rPr>
                <w:sz w:val="20"/>
                <w:szCs w:val="20"/>
              </w:rPr>
              <w:t xml:space="preserve">2</w:t>
            </w:r>
          </w:p>
        </w:tc>
        <w:tc>
          <w:tcPr>
            <w:tcW w:w="28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POTASSIUM LAUROYL GLUTAMATE</w:t>
            </w:r>
          </w:p>
        </w:tc>
        <w:tc>
          <w:tcPr>
            <w:tcW w:w="2000" w:type="dxa"/>
          </w:tcPr>
          <w:p>
            <w:pPr>
              <w:spacing w:before="0" w:after="0"/>
            </w:pPr>
            <w:r>
              <w:rPr>
                <w:sz w:val="20"/>
                <w:szCs w:val="20"/>
              </w:rPr>
              <w:t xml:space="preserve">89187-78-0</w:t>
            </w:r>
          </w:p>
        </w:tc>
        <w:tc>
          <w:tcPr>
            <w:tcW w:w="1400" w:type="dxa"/>
          </w:tcPr>
          <w:p>
            <w:pPr>
              <w:spacing w:before="0" w:after="0"/>
            </w:pPr>
            <w:r>
              <w:rPr>
                <w:sz w:val="20"/>
                <w:szCs w:val="20"/>
              </w:rPr>
              <w:t xml:space="preserve">0.9625</w:t>
            </w:r>
          </w:p>
        </w:tc>
        <w:tc>
          <w:tcPr>
            <w:tcW w:w="2800" w:type="dxa"/>
          </w:tcPr>
          <w:p>
            <w:pPr>
              <w:spacing w:before="0" w:after="0"/>
            </w:pPr>
            <w:r>
              <w:rPr>
                <w:sz w:val="20"/>
                <w:szCs w:val="20"/>
              </w:rPr>
              <w:t xml:space="preserve">Potassium Lauroyl Glutamate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DECYL GLUCOSIDE</w:t>
            </w:r>
          </w:p>
        </w:tc>
        <w:tc>
          <w:tcPr>
            <w:tcW w:w="2000" w:type="dxa"/>
          </w:tcPr>
          <w:p>
            <w:pPr>
              <w:spacing w:before="0" w:after="0"/>
            </w:pPr>
            <w:r>
              <w:rPr>
                <w:sz w:val="20"/>
                <w:szCs w:val="20"/>
              </w:rPr>
              <w:t xml:space="preserve">68515-73-1</w:t>
            </w:r>
          </w:p>
        </w:tc>
        <w:tc>
          <w:tcPr>
            <w:tcW w:w="1400" w:type="dxa"/>
          </w:tcPr>
          <w:p>
            <w:pPr>
              <w:spacing w:before="0" w:after="0"/>
            </w:pPr>
            <w:r>
              <w:rPr>
                <w:sz w:val="20"/>
                <w:szCs w:val="20"/>
              </w:rPr>
              <w:t xml:space="preserve">0.825</w:t>
            </w:r>
          </w:p>
        </w:tc>
        <w:tc>
          <w:tcPr>
            <w:tcW w:w="2800" w:type="dxa"/>
          </w:tcPr>
          <w:p>
            <w:pPr>
              <w:spacing w:before="0" w:after="0"/>
            </w:pPr>
            <w:r>
              <w:rPr>
                <w:sz w:val="20"/>
                <w:szCs w:val="20"/>
              </w:rPr>
              <w:t xml:space="preserve">Decyl Glucoside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BETAINE</w:t>
            </w:r>
          </w:p>
        </w:tc>
        <w:tc>
          <w:tcPr>
            <w:tcW w:w="2000" w:type="dxa"/>
          </w:tcPr>
          <w:p>
            <w:pPr>
              <w:spacing w:before="0" w:after="0"/>
            </w:pPr>
            <w:r>
              <w:rPr>
                <w:sz w:val="20"/>
                <w:szCs w:val="20"/>
              </w:rPr>
              <w:t xml:space="preserve">107-43-7</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Betaine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PHENOXYETHANOL</w:t>
            </w:r>
          </w:p>
        </w:tc>
        <w:tc>
          <w:tcPr>
            <w:tcW w:w="2000" w:type="dxa"/>
          </w:tcPr>
          <w:p>
            <w:pPr>
              <w:spacing w:before="0" w:after="0"/>
            </w:pPr>
            <w:r>
              <w:rPr>
                <w:sz w:val="20"/>
                <w:szCs w:val="20"/>
              </w:rPr>
              <w:t xml:space="preserve">122-99-6</w:t>
            </w:r>
          </w:p>
        </w:tc>
        <w:tc>
          <w:tcPr>
            <w:tcW w:w="1400" w:type="dxa"/>
          </w:tcPr>
          <w:p>
            <w:pPr>
              <w:spacing w:before="0" w:after="0"/>
            </w:pPr>
            <w:r>
              <w:rPr>
                <w:sz w:val="20"/>
                <w:szCs w:val="20"/>
              </w:rPr>
              <w:t xml:space="preserve">0.7375</w:t>
            </w:r>
          </w:p>
        </w:tc>
        <w:tc>
          <w:tcPr>
            <w:tcW w:w="28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COCOAMPHOACETATE</w:t>
            </w:r>
          </w:p>
        </w:tc>
        <w:tc>
          <w:tcPr>
            <w:tcW w:w="2000" w:type="dxa"/>
          </w:tcPr>
          <w:p>
            <w:pPr>
              <w:spacing w:before="0" w:after="0"/>
            </w:pPr>
            <w:r>
              <w:rPr>
                <w:sz w:val="20"/>
                <w:szCs w:val="20"/>
              </w:rPr>
              <w:t xml:space="preserve">68334-21-4</w:t>
            </w:r>
          </w:p>
        </w:tc>
        <w:tc>
          <w:tcPr>
            <w:tcW w:w="1400" w:type="dxa"/>
          </w:tcPr>
          <w:p>
            <w:pPr>
              <w:spacing w:before="0" w:after="0"/>
            </w:pPr>
            <w:r>
              <w:rPr>
                <w:sz w:val="20"/>
                <w:szCs w:val="20"/>
              </w:rPr>
              <w:t xml:space="preserve">0.35</w:t>
            </w:r>
          </w:p>
        </w:tc>
        <w:tc>
          <w:tcPr>
            <w:tcW w:w="2800" w:type="dxa"/>
          </w:tcPr>
          <w:p>
            <w:pPr>
              <w:spacing w:before="0" w:after="0"/>
            </w:pPr>
            <w:r>
              <w:rPr>
                <w:sz w:val="20"/>
                <w:szCs w:val="20"/>
              </w:rPr>
              <w:t xml:space="preserve">Sodium Cocoamphoacetate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w:t>
            </w:r>
          </w:p>
        </w:tc>
        <w:tc>
          <w:tcPr>
            <w:tcW w:w="1400" w:type="dxa"/>
          </w:tcPr>
          <w:p>
            <w:pPr>
              <w:spacing w:before="0" w:after="0"/>
            </w:pPr>
            <w:r>
              <w:rPr>
                <w:sz w:val="20"/>
                <w:szCs w:val="20"/>
              </w:rPr>
              <w:t xml:space="preserve">0.21</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8)</w:t>
            </w:r>
          </w:p>
        </w:tc>
      </w:tr>
      <w:tr>
        <w:tc>
          <w:tcPr>
            <w:tcW w:w="2400" w:type="dxa"/>
          </w:tcPr>
          <w:p>
            <w:pPr>
              <w:spacing w:before="0" w:after="0"/>
            </w:pPr>
            <w:r>
              <w:rPr>
                <w:sz w:val="20"/>
                <w:szCs w:val="20"/>
              </w:rPr>
              <w:t xml:space="preserve">ETHYLHEXYLGLYCERIN</w:t>
            </w:r>
          </w:p>
        </w:tc>
        <w:tc>
          <w:tcPr>
            <w:tcW w:w="2000" w:type="dxa"/>
          </w:tcPr>
          <w:p>
            <w:pPr>
              <w:spacing w:before="0" w:after="0"/>
            </w:pPr>
            <w:r>
              <w:rPr>
                <w:sz w:val="20"/>
                <w:szCs w:val="20"/>
              </w:rPr>
              <w:t xml:space="preserve">70445-33-9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HYALURONATE</w:t>
            </w:r>
          </w:p>
        </w:tc>
        <w:tc>
          <w:tcPr>
            <w:tcW w:w="2000" w:type="dxa"/>
          </w:tcPr>
          <w:p>
            <w:pPr>
              <w:spacing w:before="0" w:after="0"/>
            </w:pPr>
            <w:r>
              <w:rPr>
                <w:sz w:val="20"/>
                <w:szCs w:val="20"/>
              </w:rPr>
              <w:t xml:space="preserve">9067-32-7</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Hyaluronate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color w:val="C00000"/>
              </w:rPr>
              <w:t xml:space="preserve">FD &amp; C BLUE 1 (CI 42090)</w:t>
            </w:r>
          </w:p>
        </w:tc>
        <w:tc>
          <w:tcPr>
            <w:tcW w:w="2000" w:type="dxa"/>
          </w:tcPr>
          <w:p>
            <w:pPr>
              <w:spacing w:before="0" w:after="0"/>
            </w:pPr>
            <w:r>
              <w:rPr>
                <w:sz w:val="20"/>
                <w:szCs w:val="20"/>
                <w:color w:val="C00000"/>
              </w:rPr>
              <w:t xml:space="preserve">3844-45-9</w:t>
            </w:r>
          </w:p>
        </w:tc>
        <w:tc>
          <w:tcPr>
            <w:tcW w:w="1400" w:type="dxa"/>
          </w:tcPr>
          <w:p>
            <w:pPr>
              <w:spacing w:before="0" w:after="0"/>
            </w:pPr>
            <w:r>
              <w:rPr>
                <w:sz w:val="20"/>
                <w:szCs w:val="20"/>
                <w:color w:val="C00000"/>
              </w:rPr>
              <w:t xml:space="preserve">0.00002</w:t>
            </w:r>
          </w:p>
        </w:tc>
        <w:tc>
          <w:tcPr>
            <w:tcW w:w="2800" w:type="dxa"/>
          </w:tcPr>
          <w:p>
            <w:pPr>
              <w:spacing w:before="0" w:after="0"/>
            </w:pPr>
            <w:r>
              <w:rPr>
                <w:sz w:val="20"/>
                <w:szCs w:val="20"/>
                <w:color w:val="C00000"/>
              </w:rPr>
              <w:t xml:space="preserve">FD&amp;C Blue No. 1</w:t>
            </w:r>
          </w:p>
        </w:tc>
        <w:tc>
          <w:tcPr>
            <w:tcW w:w="2200" w:type="dxa"/>
          </w:tcPr>
          <w:p>
            <w:pPr>
              <w:spacing w:before="0" w:after="0"/>
            </w:pPr>
            <w:r>
              <w:rPr>
                <w:sz w:val="20"/>
                <w:szCs w:val="20"/>
                <w:color w:val="C00000"/>
              </w:rPr>
              <w:t xml:space="preserve">Compliance 9) / Manual Review</w:t>
            </w:r>
          </w:p>
        </w:tc>
      </w:tr>
      <w:tr>
        <w:tc>
          <w:tcPr>
            <w:tcW w:w="2400" w:type="dxa"/>
          </w:tcPr>
          <w:p>
            <w:pPr>
              <w:spacing w:before="0" w:after="0"/>
            </w:pPr>
            <w:r>
              <w:rPr>
                <w:sz w:val="20"/>
                <w:szCs w:val="20"/>
                <w:color w:val="C00000"/>
              </w:rPr>
              <w:t xml:space="preserve">D &amp; C RED 33 (CI 17200)</w:t>
            </w:r>
          </w:p>
        </w:tc>
        <w:tc>
          <w:tcPr>
            <w:tcW w:w="2000" w:type="dxa"/>
          </w:tcPr>
          <w:p>
            <w:pPr>
              <w:spacing w:before="0" w:after="0"/>
            </w:pPr>
            <w:r>
              <w:rPr>
                <w:sz w:val="20"/>
                <w:szCs w:val="20"/>
                <w:color w:val="C00000"/>
              </w:rPr>
              <w:t xml:space="preserve">3567-66- 6</w:t>
            </w:r>
          </w:p>
        </w:tc>
        <w:tc>
          <w:tcPr>
            <w:tcW w:w="1400" w:type="dxa"/>
          </w:tcPr>
          <w:p>
            <w:pPr>
              <w:spacing w:before="0" w:after="0"/>
            </w:pPr>
            <w:r>
              <w:rPr>
                <w:sz w:val="20"/>
                <w:szCs w:val="20"/>
                <w:color w:val="C00000"/>
              </w:rPr>
              <w:t xml:space="preserve">0.00008</w:t>
            </w:r>
          </w:p>
        </w:tc>
        <w:tc>
          <w:tcPr>
            <w:tcW w:w="2800" w:type="dxa"/>
          </w:tcPr>
          <w:p>
            <w:pPr>
              <w:spacing w:before="0" w:after="0"/>
            </w:pPr>
            <w:r>
              <w:rPr>
                <w:sz w:val="20"/>
                <w:szCs w:val="20"/>
                <w:color w:val="C00000"/>
              </w:rPr>
              <w:t xml:space="preserve">D&amp;C Red No. 33</w:t>
            </w:r>
          </w:p>
        </w:tc>
        <w:tc>
          <w:tcPr>
            <w:tcW w:w="2200" w:type="dxa"/>
          </w:tcPr>
          <w:p>
            <w:pPr>
              <w:spacing w:before="0" w:after="0"/>
            </w:pPr>
            <w:r>
              <w:rPr>
                <w:sz w:val="20"/>
                <w:szCs w:val="20"/>
                <w:color w:val="C00000"/>
              </w:rPr>
              <w:t xml:space="preserve">Compliance 10) / Manual Review</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panel concluded that the 115 amino acid alkyl amides listed below are safe in the present practices of use and concentration in cosmetics, when formulated to be non-irritating...Potassium Lauroyl Glutamate...</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19 alkyl glucosides listed below are safe in the present practices of use and concentrations when formulated to be nonirritating...Decyl Glucoside...</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the eleven alkyl betaines listed below are safe in the present practices of use and concentration in cosmetics, when formulated to be non-irritating...Betaine...</w:t>
      </w:r>
    </w:p>
    <w:p>
      <w:pPr>
        <w:spacing w:before="0" w:after="40"/>
      </w:pPr>
      <w:r>
        <w:rPr>
          <w:sz w:val="20"/>
          <w:szCs w:val="20"/>
        </w:rPr>
        <w:t xml:space="preserve">7)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8) The substance is fragrance. Fragrance review workflow is not implemented in this version and requires manual review.</w:t>
      </w:r>
    </w:p>
    <w:p>
      <w:pPr>
        <w:spacing w:before="0" w:after="40"/>
      </w:pPr>
      <w:r>
        <w:rPr>
          <w:sz w:val="20"/>
          <w:szCs w:val="20"/>
          <w:color w:val="C00000"/>
        </w:rPr>
        <w:t xml:space="preserve">9) The substance was found as FD&amp;C Blue No. 1 in 21 CFR Part 74-Listing of Color Additives Subject to Certification. It requires certification. Use restriction is Foods generally. Added Mn spec. Ingested drugs generally; externally applied drugs including eye area use (includes lakes). Cosmetics generally. Allows MnO2 in manufacture. Eye area use (includes lakes). Manual review required.</w:t>
      </w:r>
    </w:p>
    <w:p>
      <w:pPr>
        <w:spacing w:before="0" w:after="40"/>
      </w:pPr>
      <w:r>
        <w:rPr>
          <w:sz w:val="20"/>
          <w:szCs w:val="20"/>
          <w:color w:val="C00000"/>
        </w:rPr>
        <w:t xml:space="preserve">10) The substance was found as D&amp;C Red No. 33 in 21 CFR Part 74-Listing of Color Additives Subject to Certification. It requires certification. Use restriction is The color additive D&amp;C Red No. 33 may be safely used for coloring cosmetic lip products in amounts not to exceed 3 percent total color by weight of the finished cosmetic products. D&amp;C Red No. 33 may be safely used for coloring mouthwashes (including breath fresheners), dentifrices, and externally applied cosmetics in amounts consistent with current good manufacturing practice. Manual review required.</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HA608-2</dc:title>
  <dc:creator>Codex</dc:creator>
  <cp:lastModifiedBy>Codex</cp:lastModifiedBy>
  <dcterms:created xsi:type="dcterms:W3CDTF">2026-03-21T16:37:31Z</dcterms:created>
  <dcterms:modified xsi:type="dcterms:W3CDTF">2026-03-21T16:37:31Z</dcterms:modified>
</cp:coreProperties>
</file>