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SAH181</w:t>
      </w:r>
    </w:p>
    <w:p>
      <w:pPr>
        <w:spacing w:before="0" w:after="40"/>
      </w:pPr>
      <w:r>
        <w:rPr>
          <w:sz w:val="20"/>
          <w:szCs w:val="20"/>
        </w:rPr>
        <w:t xml:space="preserve">Region: US</w:t>
      </w:r>
    </w:p>
    <w:p>
      <w:pPr>
        <w:spacing w:before="0" w:after="40"/>
      </w:pPr>
      <w:r>
        <w:rPr>
          <w:sz w:val="20"/>
          <w:szCs w:val="20"/>
        </w:rPr>
        <w:t xml:space="preserve">Formula Code: SAH181</w:t>
      </w:r>
    </w:p>
    <w:p>
      <w:pPr>
        <w:spacing w:before="0" w:after="40"/>
      </w:pPr>
      <w:r>
        <w:rPr>
          <w:sz w:val="20"/>
          <w:szCs w:val="20"/>
        </w:rPr>
        <w:t xml:space="preserve">Formula Name: SAH181 - SAH181 LOLLIPOP</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03_SAH181</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90.8834</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MINERAL OIL</w:t>
            </w:r>
          </w:p>
        </w:tc>
        <w:tc>
          <w:tcPr>
            <w:tcW w:w="2000" w:type="dxa"/>
          </w:tcPr>
          <w:p>
            <w:pPr>
              <w:spacing w:before="0" w:after="0"/>
            </w:pPr>
            <w:r>
              <w:rPr>
                <w:sz w:val="20"/>
                <w:szCs w:val="20"/>
              </w:rPr>
              <w:t xml:space="preserve">8012-95-1</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MINERAL OIL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PETROLATUM</w:t>
            </w:r>
          </w:p>
        </w:tc>
        <w:tc>
          <w:tcPr>
            <w:tcW w:w="2000" w:type="dxa"/>
          </w:tcPr>
          <w:p>
            <w:pPr>
              <w:spacing w:before="0" w:after="0"/>
            </w:pPr>
            <w:r>
              <w:rPr>
                <w:sz w:val="20"/>
                <w:szCs w:val="20"/>
              </w:rPr>
              <w:t xml:space="preserve">8009-03-8</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PETROLATUM</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9006-65-9</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2)</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67762-27-0</w:t>
            </w:r>
          </w:p>
        </w:tc>
        <w:tc>
          <w:tcPr>
            <w:tcW w:w="1400" w:type="dxa"/>
          </w:tcPr>
          <w:p>
            <w:pPr>
              <w:spacing w:before="0" w:after="0"/>
            </w:pPr>
            <w:r>
              <w:rPr>
                <w:sz w:val="20"/>
                <w:szCs w:val="20"/>
              </w:rPr>
              <w:t xml:space="preserve">0.85</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0.723</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w:t>
            </w:r>
          </w:p>
        </w:tc>
        <w:tc>
          <w:tcPr>
            <w:tcW w:w="1400" w:type="dxa"/>
          </w:tcPr>
          <w:p>
            <w:pPr>
              <w:spacing w:before="0" w:after="0"/>
            </w:pPr>
            <w:r>
              <w:rPr>
                <w:sz w:val="20"/>
                <w:szCs w:val="20"/>
              </w:rPr>
              <w:t xml:space="preserve">0.595</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5)</w:t>
            </w:r>
          </w:p>
        </w:tc>
      </w:tr>
      <w:tr>
        <w:tc>
          <w:tcPr>
            <w:tcW w:w="2400" w:type="dxa"/>
          </w:tcPr>
          <w:p>
            <w:pPr>
              <w:spacing w:before="0" w:after="0"/>
            </w:pPr>
            <w:r>
              <w:rPr>
                <w:sz w:val="20"/>
                <w:szCs w:val="20"/>
              </w:rPr>
              <w:t xml:space="preserve">CETEARETH-25</w:t>
            </w:r>
          </w:p>
        </w:tc>
        <w:tc>
          <w:tcPr>
            <w:tcW w:w="2000" w:type="dxa"/>
          </w:tcPr>
          <w:p>
            <w:pPr>
              <w:spacing w:before="0" w:after="0"/>
            </w:pPr>
            <w:r>
              <w:rPr>
                <w:sz w:val="20"/>
                <w:szCs w:val="20"/>
              </w:rPr>
              <w:t xml:space="preserve">68439-49-6</w:t>
            </w:r>
          </w:p>
        </w:tc>
        <w:tc>
          <w:tcPr>
            <w:tcW w:w="1400" w:type="dxa"/>
          </w:tcPr>
          <w:p>
            <w:pPr>
              <w:spacing w:before="0" w:after="0"/>
            </w:pPr>
            <w:r>
              <w:rPr>
                <w:sz w:val="20"/>
                <w:szCs w:val="20"/>
              </w:rPr>
              <w:t xml:space="preserve">0.255</w:t>
            </w:r>
          </w:p>
        </w:tc>
        <w:tc>
          <w:tcPr>
            <w:tcW w:w="2800" w:type="dxa"/>
          </w:tcPr>
          <w:p>
            <w:pPr>
              <w:spacing w:before="0" w:after="0"/>
            </w:pPr>
            <w:r>
              <w:rPr>
                <w:sz w:val="20"/>
                <w:szCs w:val="20"/>
              </w:rPr>
              <w:t xml:space="preserve">Ceteareth-25</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0.048</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0.035</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0.0006</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5) The substance is fragrance. Fragrance review workflow is not implemented in this version and requires manual review.</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alkyl PEG ethers, listed below, are safe in the present practices of use and concentration described in this safety assessment when formulated to be nonirritating. This assessment is also intended to address future alkyl PEG ether cosmetic ingredients that vary from those ingredients recited herein only by the number of ethylene glycol repeat units...Ceteareth-25...</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SAH181</dc:title>
  <dc:creator>Codex</dc:creator>
  <cp:lastModifiedBy>Codex</cp:lastModifiedBy>
  <dcterms:created xsi:type="dcterms:W3CDTF">2026-03-21T16:37:31Z</dcterms:created>
  <dcterms:modified xsi:type="dcterms:W3CDTF">2026-03-21T16:37:31Z</dcterms:modified>
</cp:coreProperties>
</file>