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240"/>
      </w:pPr>
      <w:r>
        <w:rPr>
          <w:b/>
          <w:bCs/>
          <w:sz w:val="32"/>
          <w:szCs w:val="32"/>
        </w:rPr>
        <w:t xml:space="preserve">CA Compliance Screening Report - SAH216-1</w:t>
      </w:r>
    </w:p>
    <w:p>
      <w:pPr>
        <w:spacing w:before="0" w:after="40"/>
      </w:pPr>
      <w:r>
        <w:rPr>
          <w:sz w:val="20"/>
          <w:szCs w:val="20"/>
        </w:rPr>
        <w:t xml:space="preserve">Region: CA</w:t>
      </w:r>
    </w:p>
    <w:p>
      <w:pPr>
        <w:spacing w:before="0" w:after="40"/>
      </w:pPr>
      <w:r>
        <w:rPr>
          <w:sz w:val="20"/>
          <w:szCs w:val="20"/>
        </w:rPr>
        <w:t xml:space="preserve">Formula Code: SAH216-1</w:t>
      </w:r>
    </w:p>
    <w:p>
      <w:pPr>
        <w:spacing w:before="0" w:after="40"/>
      </w:pPr>
      <w:r>
        <w:rPr>
          <w:sz w:val="20"/>
          <w:szCs w:val="20"/>
        </w:rPr>
        <w:t xml:space="preserve">Formula Name: SAH216-1 - SAH216-1 STRAWBERRY</w:t>
      </w:r>
    </w:p>
    <w:p>
      <w:pPr>
        <w:spacing w:before="0" w:after="40"/>
      </w:pPr>
      <w:r>
        <w:rPr>
          <w:sz w:val="20"/>
          <w:szCs w:val="20"/>
        </w:rPr>
        <w:t xml:space="preserve">Product Family: BODY SCRUB</w:t>
      </w:r>
    </w:p>
    <w:p>
      <w:pPr>
        <w:spacing w:before="0" w:after="40"/>
      </w:pPr>
      <w:r>
        <w:rPr>
          <w:sz w:val="20"/>
          <w:szCs w:val="20"/>
        </w:rPr>
        <w:t xml:space="preserve">Source Workbook: Cosmetic_Compliance_Output_20260321_170036.xlsx</w:t>
      </w:r>
    </w:p>
    <w:p>
      <w:pPr>
        <w:spacing w:before="0" w:after="40"/>
      </w:pPr>
      <w:r>
        <w:rPr>
          <w:sz w:val="20"/>
          <w:szCs w:val="20"/>
        </w:rPr>
        <w:t xml:space="preserve">Source Sheet: 03_SAH216-1</w:t>
      </w:r>
    </w:p>
    <w:p>
      <w:pPr>
        <w:spacing w:before="0" w:after="40"/>
      </w:pPr>
      <w:r>
        <w:rPr>
          <w:sz w:val="20"/>
          <w:szCs w:val="20"/>
        </w:rPr>
        <w:t xml:space="preserve">Generated At: 2026-03-22 00:37:31</w:t>
      </w:r>
    </w:p>
    <w:p>
      <w:pPr>
        <w:spacing w:before="0" w:after="80"/>
      </w:pPr>
      <w:r>
        <w:rPr>
          <w:sz w:val="20"/>
          <w:szCs w:val="20"/>
        </w:rPr>
        <w:t xml:space="preserve"/>
      </w:r>
    </w:p>
    <w:tbl>
      <w:tblPr>
        <w:tblW w:w="0" w:type="auto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BFBFBF"/>
          <w:insideV w:val="single" w:sz="4" w:space="0" w:color="BFBFBF"/>
        </w:tblBorders>
      </w:tblPr>
      <w:tblGrid>
        <w:gridCol w:w="2200"/>
        <w:gridCol w:w="1900"/>
        <w:gridCol w:w="1300"/>
        <w:gridCol w:w="2600"/>
        <w:gridCol w:w="2200"/>
      </w:tblGrid>
      <w:tr>
        <w:tc>
          <w:tcPr>
            <w:tcW w:w="22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Ingredient Name</w:t>
            </w:r>
          </w:p>
        </w:tc>
        <w:tc>
          <w:tcPr>
            <w:tcW w:w="19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CAS No.</w:t>
            </w:r>
          </w:p>
        </w:tc>
        <w:tc>
          <w:tcPr>
            <w:tcW w:w="13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Concentration (%)</w:t>
            </w:r>
          </w:p>
        </w:tc>
        <w:tc>
          <w:tcPr>
            <w:tcW w:w="26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INCI Name</w:t>
            </w:r>
          </w:p>
        </w:tc>
        <w:tc>
          <w:tcPr>
            <w:tcW w:w="22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Conclusion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7732-18-5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81.4665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LAURETH SULFATE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1335-72-4;3088-31-1;9004-82-4;68585-34-2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5.6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Laureth Sulfate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ACRYLATES COPOLYMER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25035-69-2;25212-88-8;25685-29-4;159666-35-0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2.44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Acrylates Copolymer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SILICA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7631-86-9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Silica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COCAMIDOPROPYL BETAINE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61789-40-0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1.4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Cocamidopropyl Betaine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LAUROAMPHOACETATE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66161-62-4;68608-66-2;156028-14-7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1.2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LAUROAMPHOACETATE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COCAMIDE MEA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68140-00-1;69227-24-3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1.188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Cocamide MEA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DECYL GLUCOSIDE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68515-73-1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1.1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Decyl Glucoside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PEG-120 METHYL GLUCOSE DIOLEATE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86893-19-8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0.8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PEG-120 Methyl Glucose Dioleate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DIPROPYLENE GLYCOL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110-98-5;25265-71-8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0.6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Dipropylene Glycol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>FRAGRANCE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>0.5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>FRAGRANCE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>Manual Review 2)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HYDROXYACETOPHENONE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99-93-4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0.36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HYDROXYACETOPHENONE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POTASSIUM LAUROYL GLUTAMATE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89187-78-0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0.275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Potassium Lauroyl Glutamate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FRAGARIA ANANASSA (STRAWBERRY) EXTRACT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0.25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FRAGARIA ANANASSA (STRAWBERRY) EXTRACT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RASPBERRY KETONE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5471-51-2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0.24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RASPBERRY KETONE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HYDROXIDE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1310-73-2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0.2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Hydroxide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CHLORIDE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7647-14-5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0.2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CHLORIDE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FRAGARIA CHILOENSIS (STRAWBERRY) FRUIT EXTRACT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0.095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FRAGARIA CHILOENSIS (STRAWBERRY) FRUIT EXTRACT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PROPYLENE GLYCOL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57-55-6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0.075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Propylene Glycol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PHENOXYETHANOL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122-99-6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0.01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Phenoxyethanol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 &amp; C RED 28(CI 45410)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18472-87-2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0.0002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 &amp; C RED 28(CI 45410)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FD &amp; C RED 40 (CI 16035)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25956-17-6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0.0003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FD &amp; C RED 40 (CI 16035)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spacing w:before="0" w:after="120"/>
      </w:pPr>
      <w:r>
        <w:rPr>
          <w:b/>
          <w:bCs/>
          <w:sz w:val="24"/>
          <w:szCs w:val="24"/>
        </w:rPr>
        <w:t xml:space="preserve">Remarks</w:t>
      </w:r>
    </w:p>
    <w:p>
      <w:pPr>
        <w:spacing w:before="0" w:after="40"/>
      </w:pPr>
      <w:r>
        <w:rPr>
          <w:sz w:val="20"/>
          <w:szCs w:val="20"/>
        </w:rPr>
        <w:t xml:space="preserve">1) The substance was not found in the Health Canada Cosmetic Ingredient Hotlist prohibited or restricted lists.</w:t>
      </w:r>
    </w:p>
    <w:p>
      <w:pPr>
        <w:spacing w:before="0" w:after="40"/>
      </w:pPr>
      <w:r>
        <w:rPr>
          <w:sz w:val="20"/>
          <w:szCs w:val="20"/>
          <w:color w:val="C00000"/>
        </w:rPr>
        <w:t xml:space="preserve">2) The substance is fragrance, which is a group name rather than a single defined ingredient. Manual review is required against the submitted IFRA documentation and label disclosure requirements.</w:t>
      </w:r>
    </w:p>
    <w:p>
      <w:pPr>
        <w:spacing w:before="0" w:after="40"/>
      </w:pPr>
      <w:r>
        <w:rPr>
          <w:sz w:val="20"/>
          <w:szCs w:val="20"/>
        </w:rPr>
        <w:t xml:space="preserve">TÜV SÜD provides its services in a knowledge capacity only and offers no legal opinion(s) herein. The service is according to company’s know-how and on publicly available sources at the time the services were supplied.</w:t>
      </w:r>
    </w:p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spacing w:before="0" w:after="120"/>
      </w:pPr>
      <w:r>
        <w:rPr>
          <w:b/>
          <w:bCs/>
          <w:sz w:val="24"/>
          <w:szCs w:val="24"/>
        </w:rPr>
        <w:t xml:space="preserve">Prepared Remarks</w:t>
      </w:r>
    </w:p>
    <w:p>
      <w:pPr>
        <w:spacing w:before="0" w:after="40"/>
      </w:pPr>
      <w:r>
        <w:rPr>
          <w:sz w:val="20"/>
          <w:szCs w:val="20"/>
          <w:color w:val="C00000"/>
        </w:rPr>
        <w:t xml:space="preserve">Fragrance is a group name. The concentration of the fragrance in the formulation complies with the limit indicated in the submitted 51th IFRA certificate of [fragrance name from the submitted IFRA certificate] submitted by the applicant.</w:t>
      </w:r>
    </w:p>
    <w:p>
      <w:pPr>
        <w:spacing w:before="0" w:after="40"/>
      </w:pPr>
      <w:r>
        <w:rPr>
          <w:sz w:val="20"/>
          <w:szCs w:val="20"/>
          <w:color w:val="C00000"/>
        </w:rPr>
        <w:t xml:space="preserve">If allergenic fragrance ingredients exceed 0.01% in rinse-off products or 0.001% in leave-on products, the specific allergenic fragrance ingredients should be declared on the label.</w:t>
      </w:r>
    </w:p>
    <w:sectPr>
      <w:pgSz w:w="12240" w:h="15840"/>
      <w:pgMar w:top="1440" w:right="720" w:bottom="1440" w:left="72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0"/>
        <w:szCs w:val="20"/>
      </w:rPr>
    </w:rPrDefault>
    <w:pPrDefault>
      <w:pPr>
        <w:spacing w:after="120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 Compliance Screening Report - SAH216-1</dc:title>
  <dc:creator>Codex</dc:creator>
  <cp:lastModifiedBy>Codex</cp:lastModifiedBy>
  <dcterms:created xsi:type="dcterms:W3CDTF">2026-03-21T16:37:31Z</dcterms:created>
  <dcterms:modified xsi:type="dcterms:W3CDTF">2026-03-21T16:37:31Z</dcterms:modified>
</cp:coreProperties>
</file>