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SAH216-2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SAH216-2</w:t>
      </w:r>
    </w:p>
    <w:p>
      <w:pPr>
        <w:spacing w:before="0" w:after="40"/>
      </w:pPr>
      <w:r>
        <w:rPr>
          <w:sz w:val="20"/>
          <w:szCs w:val="20"/>
        </w:rPr>
        <w:t xml:space="preserve">Formula Name: SAH216-2 - SAH216-2 GRAPES</w:t>
      </w:r>
    </w:p>
    <w:p>
      <w:pPr>
        <w:spacing w:before="0" w:after="40"/>
      </w:pPr>
      <w:r>
        <w:rPr>
          <w:sz w:val="20"/>
          <w:szCs w:val="20"/>
        </w:rPr>
        <w:t xml:space="preserve">Product Family: BODY SCRUB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03_SAH216-2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81.4975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LAURETH SULFATE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1335-72-4;3088-31-1;9004-82-4;68585-34-2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Laureth Sulfate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2.44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SILICA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7631-86-9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Silica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66161-62-4;68608-66-2;156028-14-7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68140-00-1;69227-24-3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1.188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PEG-120 METHYL GLUCOSE DIOLEATE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86893-19-8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PEG-120 Methyl Glucose Dioleate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110-98-5;25265-71-8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ANANASSA (STRAWBERRY)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ANANASSA (STRAWBERRY)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RASPBERRY KETONE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5471-51-2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RASPBERRY KETONE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VITIS VINIFERA (GRAPE) SEED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85594-37-2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Vitis Vinifera (Grape) Seed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0.00405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BLUE 1 (CI 42090)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3844-45-9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BLUE 1 (CI 42090)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SAH216-2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