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US Compliance Screening Report - UC068</w:t>
      </w:r>
    </w:p>
    <w:p>
      <w:pPr>
        <w:spacing w:before="0" w:after="40"/>
      </w:pPr>
      <w:r>
        <w:rPr>
          <w:sz w:val="20"/>
          <w:szCs w:val="20"/>
        </w:rPr>
        <w:t xml:space="preserve">Region: US</w:t>
      </w:r>
    </w:p>
    <w:p>
      <w:pPr>
        <w:spacing w:before="0" w:after="40"/>
      </w:pPr>
      <w:r>
        <w:rPr>
          <w:sz w:val="20"/>
          <w:szCs w:val="20"/>
        </w:rPr>
        <w:t xml:space="preserve">Formula Code: UC068</w:t>
      </w:r>
    </w:p>
    <w:p>
      <w:pPr>
        <w:spacing w:before="0" w:after="40"/>
      </w:pPr>
      <w:r>
        <w:rPr>
          <w:sz w:val="20"/>
          <w:szCs w:val="20"/>
        </w:rPr>
        <w:t xml:space="preserve">Formula Name: UC068</w:t>
      </w:r>
    </w:p>
    <w:p>
      <w:pPr>
        <w:spacing w:before="0" w:after="40"/>
      </w:pPr>
      <w:r>
        <w:rPr>
          <w:sz w:val="20"/>
          <w:szCs w:val="20"/>
        </w:rPr>
        <w:t xml:space="preserve">Product Family: SETTING SPRAY</w:t>
      </w:r>
    </w:p>
    <w:p>
      <w:pPr>
        <w:spacing w:before="0" w:after="40"/>
      </w:pPr>
      <w:r>
        <w:rPr>
          <w:sz w:val="20"/>
          <w:szCs w:val="20"/>
        </w:rPr>
        <w:t xml:space="preserve">Source Workbook: Cosmetic_Compliance_Output_20260321_170036.xlsx</w:t>
      </w:r>
    </w:p>
    <w:p>
      <w:pPr>
        <w:spacing w:before="0" w:after="40"/>
      </w:pPr>
      <w:r>
        <w:rPr>
          <w:sz w:val="20"/>
          <w:szCs w:val="20"/>
        </w:rPr>
        <w:t xml:space="preserve">Source Sheet: 03_UC068</w:t>
      </w:r>
    </w:p>
    <w:p>
      <w:pPr>
        <w:spacing w:before="0" w:after="40"/>
      </w:pPr>
      <w:r>
        <w:rPr>
          <w:sz w:val="20"/>
          <w:szCs w:val="20"/>
        </w:rPr>
        <w:t xml:space="preserve">Generated At: 2026-03-22 00:37:31</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400"/>
        <w:gridCol w:w="2000"/>
        <w:gridCol w:w="1400"/>
        <w:gridCol w:w="2800"/>
        <w:gridCol w:w="2200"/>
      </w:tblGrid>
      <w:tr>
        <w:tc>
          <w:tcPr>
            <w:tcW w:w="2400" w:type="dxa"/>
            <w:shd w:val="clear" w:color="auto" w:fill="D9E2F3"/>
          </w:tcPr>
          <w:p>
            <w:pPr>
              <w:spacing w:before="0" w:after="0"/>
            </w:pPr>
            <w:r>
              <w:rPr>
                <w:b/>
                <w:bCs/>
                <w:sz w:val="20"/>
                <w:szCs w:val="20"/>
              </w:rPr>
              <w:t xml:space="preserve">Ingredient Name</w:t>
            </w:r>
          </w:p>
        </w:tc>
        <w:tc>
          <w:tcPr>
            <w:tcW w:w="2000" w:type="dxa"/>
            <w:shd w:val="clear" w:color="auto" w:fill="D9E2F3"/>
          </w:tcPr>
          <w:p>
            <w:pPr>
              <w:spacing w:before="0" w:after="0"/>
            </w:pPr>
            <w:r>
              <w:rPr>
                <w:b/>
                <w:bCs/>
                <w:sz w:val="20"/>
                <w:szCs w:val="20"/>
              </w:rPr>
              <w:t xml:space="preserve">CAS No.</w:t>
            </w:r>
          </w:p>
        </w:tc>
        <w:tc>
          <w:tcPr>
            <w:tcW w:w="1400" w:type="dxa"/>
            <w:shd w:val="clear" w:color="auto" w:fill="D9E2F3"/>
          </w:tcPr>
          <w:p>
            <w:pPr>
              <w:spacing w:before="0" w:after="0"/>
            </w:pPr>
            <w:r>
              <w:rPr>
                <w:b/>
                <w:bCs/>
                <w:sz w:val="20"/>
                <w:szCs w:val="20"/>
              </w:rPr>
              <w:t xml:space="preserve">Concentration (%)</w:t>
            </w:r>
          </w:p>
        </w:tc>
        <w:tc>
          <w:tcPr>
            <w:tcW w:w="2800" w:type="dxa"/>
            <w:shd w:val="clear" w:color="auto" w:fill="D9E2F3"/>
          </w:tcPr>
          <w:p>
            <w:pPr>
              <w:spacing w:before="0" w:after="0"/>
            </w:pPr>
            <w:r>
              <w:rPr>
                <w:b/>
                <w:bCs/>
                <w:sz w:val="20"/>
                <w:szCs w:val="20"/>
              </w:rPr>
              <w:t xml:space="preserve">INCI/Color additive Name</w:t>
            </w:r>
          </w:p>
        </w:tc>
        <w:tc>
          <w:tcPr>
            <w:tcW w:w="2200" w:type="dxa"/>
            <w:shd w:val="clear" w:color="auto" w:fill="D9E2F3"/>
          </w:tcPr>
          <w:p>
            <w:pPr>
              <w:spacing w:before="0" w:after="0"/>
            </w:pPr>
            <w:r>
              <w:rPr>
                <w:b/>
                <w:bCs/>
                <w:sz w:val="20"/>
                <w:szCs w:val="20"/>
              </w:rPr>
              <w:t xml:space="preserve">Conclusion</w:t>
            </w:r>
          </w:p>
        </w:tc>
      </w:tr>
      <w:tr>
        <w:tc>
          <w:tcPr>
            <w:tcW w:w="2400" w:type="dxa"/>
          </w:tcPr>
          <w:p>
            <w:pPr>
              <w:spacing w:before="0" w:after="0"/>
            </w:pPr>
            <w:r>
              <w:rPr>
                <w:sz w:val="20"/>
                <w:szCs w:val="20"/>
              </w:rPr>
              <w:t xml:space="preserve">WATER</w:t>
            </w:r>
          </w:p>
        </w:tc>
        <w:tc>
          <w:tcPr>
            <w:tcW w:w="2000" w:type="dxa"/>
          </w:tcPr>
          <w:p>
            <w:pPr>
              <w:spacing w:before="0" w:after="0"/>
            </w:pPr>
            <w:r>
              <w:rPr>
                <w:sz w:val="20"/>
                <w:szCs w:val="20"/>
              </w:rPr>
              <w:t xml:space="preserve">7732-18-5</w:t>
            </w:r>
          </w:p>
        </w:tc>
        <w:tc>
          <w:tcPr>
            <w:tcW w:w="1400" w:type="dxa"/>
          </w:tcPr>
          <w:p>
            <w:pPr>
              <w:spacing w:before="0" w:after="0"/>
            </w:pPr>
            <w:r>
              <w:rPr>
                <w:sz w:val="20"/>
                <w:szCs w:val="20"/>
              </w:rPr>
              <w:t xml:space="preserve">91.548</w:t>
            </w:r>
          </w:p>
        </w:tc>
        <w:tc>
          <w:tcPr>
            <w:tcW w:w="2800" w:type="dxa"/>
          </w:tcPr>
          <w:p>
            <w:pPr>
              <w:spacing w:before="0" w:after="0"/>
            </w:pPr>
            <w:r>
              <w:rPr>
                <w:sz w:val="20"/>
                <w:szCs w:val="20"/>
              </w:rPr>
              <w:t xml:space="preserve">WATER</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PROPYLENE GLYCOL</w:t>
            </w:r>
          </w:p>
        </w:tc>
        <w:tc>
          <w:tcPr>
            <w:tcW w:w="2000" w:type="dxa"/>
          </w:tcPr>
          <w:p>
            <w:pPr>
              <w:spacing w:before="0" w:after="0"/>
            </w:pPr>
            <w:r>
              <w:rPr>
                <w:sz w:val="20"/>
                <w:szCs w:val="20"/>
              </w:rPr>
              <w:t xml:space="preserve">57-55-6</w:t>
            </w:r>
          </w:p>
        </w:tc>
        <w:tc>
          <w:tcPr>
            <w:tcW w:w="1400" w:type="dxa"/>
          </w:tcPr>
          <w:p>
            <w:pPr>
              <w:spacing w:before="0" w:after="0"/>
            </w:pPr>
            <w:r>
              <w:rPr>
                <w:sz w:val="20"/>
                <w:szCs w:val="20"/>
              </w:rPr>
              <w:t xml:space="preserve">5</w:t>
            </w:r>
          </w:p>
        </w:tc>
        <w:tc>
          <w:tcPr>
            <w:tcW w:w="2800" w:type="dxa"/>
          </w:tcPr>
          <w:p>
            <w:pPr>
              <w:spacing w:before="0" w:after="0"/>
            </w:pPr>
            <w:r>
              <w:rPr>
                <w:sz w:val="20"/>
                <w:szCs w:val="20"/>
              </w:rPr>
              <w:t xml:space="preserve">Propylene Glycol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PVP</w:t>
            </w:r>
          </w:p>
        </w:tc>
        <w:tc>
          <w:tcPr>
            <w:tcW w:w="2000" w:type="dxa"/>
          </w:tcPr>
          <w:p>
            <w:pPr>
              <w:spacing w:before="0" w:after="0"/>
            </w:pPr>
            <w:r>
              <w:rPr>
                <w:sz w:val="20"/>
                <w:szCs w:val="20"/>
              </w:rPr>
              <w:t xml:space="preserve">9003-39-8</w:t>
            </w:r>
          </w:p>
        </w:tc>
        <w:tc>
          <w:tcPr>
            <w:tcW w:w="1400" w:type="dxa"/>
          </w:tcPr>
          <w:p>
            <w:pPr>
              <w:spacing w:before="0" w:after="0"/>
            </w:pPr>
            <w:r>
              <w:rPr>
                <w:sz w:val="20"/>
                <w:szCs w:val="20"/>
              </w:rPr>
              <w:t xml:space="preserve">1</w:t>
            </w:r>
          </w:p>
        </w:tc>
        <w:tc>
          <w:tcPr>
            <w:tcW w:w="2800" w:type="dxa"/>
          </w:tcPr>
          <w:p>
            <w:pPr>
              <w:spacing w:before="0" w:after="0"/>
            </w:pPr>
            <w:r>
              <w:rPr>
                <w:sz w:val="20"/>
                <w:szCs w:val="20"/>
              </w:rPr>
              <w:t xml:space="preserve">PVP</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PHENOXYETHANOL</w:t>
            </w:r>
          </w:p>
        </w:tc>
        <w:tc>
          <w:tcPr>
            <w:tcW w:w="2000" w:type="dxa"/>
          </w:tcPr>
          <w:p>
            <w:pPr>
              <w:spacing w:before="0" w:after="0"/>
            </w:pPr>
            <w:r>
              <w:rPr>
                <w:sz w:val="20"/>
                <w:szCs w:val="20"/>
              </w:rPr>
              <w:t xml:space="preserve">122-99-6</w:t>
            </w:r>
          </w:p>
        </w:tc>
        <w:tc>
          <w:tcPr>
            <w:tcW w:w="1400" w:type="dxa"/>
          </w:tcPr>
          <w:p>
            <w:pPr>
              <w:spacing w:before="0" w:after="0"/>
            </w:pPr>
            <w:r>
              <w:rPr>
                <w:sz w:val="20"/>
                <w:szCs w:val="20"/>
              </w:rPr>
              <w:t xml:space="preserve">0.752</w:t>
            </w:r>
          </w:p>
        </w:tc>
        <w:tc>
          <w:tcPr>
            <w:tcW w:w="2800" w:type="dxa"/>
          </w:tcPr>
          <w:p>
            <w:pPr>
              <w:spacing w:before="0" w:after="0"/>
            </w:pPr>
            <w:r>
              <w:rPr>
                <w:sz w:val="20"/>
                <w:szCs w:val="20"/>
              </w:rPr>
              <w:t xml:space="preserve">Phenoxyethanol</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BUTYLENE GLYCOL</w:t>
            </w:r>
          </w:p>
        </w:tc>
        <w:tc>
          <w:tcPr>
            <w:tcW w:w="2000" w:type="dxa"/>
          </w:tcPr>
          <w:p>
            <w:pPr>
              <w:spacing w:before="0" w:after="0"/>
            </w:pPr>
            <w:r>
              <w:rPr>
                <w:sz w:val="20"/>
                <w:szCs w:val="20"/>
              </w:rPr>
              <w:t xml:space="preserve">107-88-0</w:t>
            </w:r>
          </w:p>
        </w:tc>
        <w:tc>
          <w:tcPr>
            <w:tcW w:w="1400" w:type="dxa"/>
          </w:tcPr>
          <w:p>
            <w:pPr>
              <w:spacing w:before="0" w:after="0"/>
            </w:pPr>
            <w:r>
              <w:rPr>
                <w:sz w:val="20"/>
                <w:szCs w:val="20"/>
              </w:rPr>
              <w:t xml:space="preserve">0.4</w:t>
            </w:r>
          </w:p>
        </w:tc>
        <w:tc>
          <w:tcPr>
            <w:tcW w:w="2800" w:type="dxa"/>
          </w:tcPr>
          <w:p>
            <w:pPr>
              <w:spacing w:before="0" w:after="0"/>
            </w:pPr>
            <w:r>
              <w:rPr>
                <w:sz w:val="20"/>
                <w:szCs w:val="20"/>
              </w:rPr>
              <w:t xml:space="preserve">Butylene Glycol</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GLYCERIN</w:t>
            </w:r>
          </w:p>
        </w:tc>
        <w:tc>
          <w:tcPr>
            <w:tcW w:w="2000" w:type="dxa"/>
          </w:tcPr>
          <w:p>
            <w:pPr>
              <w:spacing w:before="0" w:after="0"/>
            </w:pPr>
            <w:r>
              <w:rPr>
                <w:sz w:val="20"/>
                <w:szCs w:val="20"/>
              </w:rPr>
              <w:t xml:space="preserve">56-81-5</w:t>
            </w:r>
          </w:p>
        </w:tc>
        <w:tc>
          <w:tcPr>
            <w:tcW w:w="1400" w:type="dxa"/>
          </w:tcPr>
          <w:p>
            <w:pPr>
              <w:spacing w:before="0" w:after="0"/>
            </w:pPr>
            <w:r>
              <w:rPr>
                <w:sz w:val="20"/>
                <w:szCs w:val="20"/>
              </w:rPr>
              <w:t xml:space="preserve">0.225</w:t>
            </w:r>
          </w:p>
        </w:tc>
        <w:tc>
          <w:tcPr>
            <w:tcW w:w="2800" w:type="dxa"/>
          </w:tcPr>
          <w:p>
            <w:pPr>
              <w:spacing w:before="0" w:after="0"/>
            </w:pPr>
            <w:r>
              <w:rPr>
                <w:sz w:val="20"/>
                <w:szCs w:val="20"/>
              </w:rPr>
              <w:t xml:space="preserve">Glycerin</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FRAGRANCE</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0.2</w:t>
            </w:r>
          </w:p>
        </w:tc>
        <w:tc>
          <w:tcPr>
            <w:tcW w:w="2800" w:type="dxa"/>
          </w:tcPr>
          <w:p>
            <w:pPr>
              <w:spacing w:before="0" w:after="0"/>
            </w:pPr>
            <w:r>
              <w:rPr>
                <w:sz w:val="20"/>
                <w:szCs w:val="20"/>
              </w:rPr>
              <w:t xml:space="preserve">FRAGRANCE</w:t>
            </w:r>
          </w:p>
        </w:tc>
        <w:tc>
          <w:tcPr>
            <w:tcW w:w="2200" w:type="dxa"/>
          </w:tcPr>
          <w:p>
            <w:pPr>
              <w:spacing w:before="0" w:after="0"/>
            </w:pPr>
            <w:r>
              <w:rPr>
                <w:sz w:val="20"/>
                <w:szCs w:val="20"/>
              </w:rPr>
              <w:t xml:space="preserve">Manual Review 4)</w:t>
            </w:r>
          </w:p>
        </w:tc>
      </w:tr>
      <w:tr>
        <w:tc>
          <w:tcPr>
            <w:tcW w:w="2400" w:type="dxa"/>
          </w:tcPr>
          <w:p>
            <w:pPr>
              <w:spacing w:before="0" w:after="0"/>
            </w:pPr>
            <w:r>
              <w:rPr>
                <w:sz w:val="20"/>
                <w:szCs w:val="20"/>
              </w:rPr>
              <w:t xml:space="preserve">TOCOPHEROL</w:t>
            </w:r>
          </w:p>
        </w:tc>
        <w:tc>
          <w:tcPr>
            <w:tcW w:w="2000" w:type="dxa"/>
          </w:tcPr>
          <w:p>
            <w:pPr>
              <w:spacing w:before="0" w:after="0"/>
            </w:pPr>
            <w:r>
              <w:rPr>
                <w:sz w:val="20"/>
                <w:szCs w:val="20"/>
              </w:rPr>
              <w:t xml:space="preserve">10191-41-0</w:t>
            </w:r>
          </w:p>
        </w:tc>
        <w:tc>
          <w:tcPr>
            <w:tcW w:w="1400" w:type="dxa"/>
          </w:tcPr>
          <w:p>
            <w:pPr>
              <w:spacing w:before="0" w:after="0"/>
            </w:pPr>
            <w:r>
              <w:rPr>
                <w:sz w:val="20"/>
                <w:szCs w:val="20"/>
              </w:rPr>
              <w:t xml:space="preserve">0.2</w:t>
            </w:r>
          </w:p>
        </w:tc>
        <w:tc>
          <w:tcPr>
            <w:tcW w:w="2800" w:type="dxa"/>
          </w:tcPr>
          <w:p>
            <w:pPr>
              <w:spacing w:before="0" w:after="0"/>
            </w:pPr>
            <w:r>
              <w:rPr>
                <w:sz w:val="20"/>
                <w:szCs w:val="20"/>
              </w:rPr>
              <w:t xml:space="preserve">Tocopherol</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AESCULUS HIPPOCASTANUM (HORSE CHESTNUT) EXTRACT</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0.2</w:t>
            </w:r>
          </w:p>
        </w:tc>
        <w:tc>
          <w:tcPr>
            <w:tcW w:w="2800" w:type="dxa"/>
          </w:tcPr>
          <w:p>
            <w:pPr>
              <w:spacing w:before="0" w:after="0"/>
            </w:pPr>
            <w:r>
              <w:rPr>
                <w:sz w:val="20"/>
                <w:szCs w:val="20"/>
              </w:rPr>
              <w:t xml:space="preserve">AESCULUS HIPPOCASTANUM (HORSE CHESTNUT) EXTRACT</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PEG-40 HYDROGENATED CASTOR OIL</w:t>
            </w:r>
          </w:p>
        </w:tc>
        <w:tc>
          <w:tcPr>
            <w:tcW w:w="2000" w:type="dxa"/>
          </w:tcPr>
          <w:p>
            <w:pPr>
              <w:spacing w:before="0" w:after="0"/>
            </w:pPr>
            <w:r>
              <w:rPr>
                <w:sz w:val="20"/>
                <w:szCs w:val="20"/>
              </w:rPr>
              <w:t xml:space="preserve">61788-85-0</w:t>
            </w:r>
          </w:p>
        </w:tc>
        <w:tc>
          <w:tcPr>
            <w:tcW w:w="1400" w:type="dxa"/>
          </w:tcPr>
          <w:p>
            <w:pPr>
              <w:spacing w:before="0" w:after="0"/>
            </w:pPr>
            <w:r>
              <w:rPr>
                <w:sz w:val="20"/>
                <w:szCs w:val="20"/>
              </w:rPr>
              <w:t xml:space="preserve">0.2</w:t>
            </w:r>
          </w:p>
        </w:tc>
        <w:tc>
          <w:tcPr>
            <w:tcW w:w="2800" w:type="dxa"/>
          </w:tcPr>
          <w:p>
            <w:pPr>
              <w:spacing w:before="0" w:after="0"/>
            </w:pPr>
            <w:r>
              <w:rPr>
                <w:sz w:val="20"/>
                <w:szCs w:val="20"/>
              </w:rPr>
              <w:t xml:space="preserve">PEG-40 Hydrogenated Castor Oil</w:t>
            </w:r>
          </w:p>
        </w:tc>
        <w:tc>
          <w:tcPr>
            <w:tcW w:w="2200" w:type="dxa"/>
          </w:tcPr>
          <w:p>
            <w:pPr>
              <w:spacing w:before="0" w:after="0"/>
            </w:pPr>
            <w:r>
              <w:rPr>
                <w:sz w:val="20"/>
                <w:szCs w:val="20"/>
              </w:rPr>
              <w:t xml:space="preserve">Compliance 5)</w:t>
            </w:r>
          </w:p>
        </w:tc>
      </w:tr>
      <w:tr>
        <w:tc>
          <w:tcPr>
            <w:tcW w:w="2400" w:type="dxa"/>
          </w:tcPr>
          <w:p>
            <w:pPr>
              <w:spacing w:before="0" w:after="0"/>
            </w:pPr>
            <w:r>
              <w:rPr>
                <w:sz w:val="20"/>
                <w:szCs w:val="20"/>
              </w:rPr>
              <w:t xml:space="preserve">ALOE BARBADENSIS LEAF EXTRACT</w:t>
            </w:r>
          </w:p>
        </w:tc>
        <w:tc>
          <w:tcPr>
            <w:tcW w:w="2000" w:type="dxa"/>
          </w:tcPr>
          <w:p>
            <w:pPr>
              <w:spacing w:before="0" w:after="0"/>
            </w:pPr>
            <w:r>
              <w:rPr>
                <w:sz w:val="20"/>
                <w:szCs w:val="20"/>
              </w:rPr>
              <w:t xml:space="preserve">85507-69-3;94349-62-9</w:t>
            </w:r>
          </w:p>
        </w:tc>
        <w:tc>
          <w:tcPr>
            <w:tcW w:w="1400" w:type="dxa"/>
          </w:tcPr>
          <w:p>
            <w:pPr>
              <w:spacing w:before="0" w:after="0"/>
            </w:pPr>
            <w:r>
              <w:rPr>
                <w:sz w:val="20"/>
                <w:szCs w:val="20"/>
              </w:rPr>
              <w:t xml:space="preserve">0.1</w:t>
            </w:r>
          </w:p>
        </w:tc>
        <w:tc>
          <w:tcPr>
            <w:tcW w:w="2800" w:type="dxa"/>
          </w:tcPr>
          <w:p>
            <w:pPr>
              <w:spacing w:before="0" w:after="0"/>
            </w:pPr>
            <w:r>
              <w:rPr>
                <w:sz w:val="20"/>
                <w:szCs w:val="20"/>
              </w:rPr>
              <w:t xml:space="preserve">Aloe Barbadensis Leaf Extract</w:t>
            </w:r>
          </w:p>
        </w:tc>
        <w:tc>
          <w:tcPr>
            <w:tcW w:w="2200" w:type="dxa"/>
          </w:tcPr>
          <w:p>
            <w:pPr>
              <w:spacing w:before="0" w:after="0"/>
            </w:pPr>
            <w:r>
              <w:rPr>
                <w:sz w:val="20"/>
                <w:szCs w:val="20"/>
              </w:rPr>
              <w:t xml:space="preserve">Compliance 6)</w:t>
            </w:r>
          </w:p>
        </w:tc>
      </w:tr>
      <w:tr>
        <w:tc>
          <w:tcPr>
            <w:tcW w:w="2400" w:type="dxa"/>
          </w:tcPr>
          <w:p>
            <w:pPr>
              <w:spacing w:before="0" w:after="0"/>
            </w:pPr>
            <w:r>
              <w:rPr>
                <w:sz w:val="20"/>
                <w:szCs w:val="20"/>
              </w:rPr>
              <w:t xml:space="preserve">CUCUMIS SATIVUS (CUCUMBER) EXTRACT</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0.095</w:t>
            </w:r>
          </w:p>
        </w:tc>
        <w:tc>
          <w:tcPr>
            <w:tcW w:w="2800" w:type="dxa"/>
          </w:tcPr>
          <w:p>
            <w:pPr>
              <w:spacing w:before="0" w:after="0"/>
            </w:pPr>
            <w:r>
              <w:rPr>
                <w:sz w:val="20"/>
                <w:szCs w:val="20"/>
              </w:rPr>
              <w:t xml:space="preserve">Cucumis Sativus (Cucumber) Extract</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ETHYLHEXYLGLYCERIN</w:t>
            </w:r>
          </w:p>
        </w:tc>
        <w:tc>
          <w:tcPr>
            <w:tcW w:w="2000" w:type="dxa"/>
          </w:tcPr>
          <w:p>
            <w:pPr>
              <w:spacing w:before="0" w:after="0"/>
            </w:pPr>
            <w:r>
              <w:rPr>
                <w:sz w:val="20"/>
                <w:szCs w:val="20"/>
              </w:rPr>
              <w:t xml:space="preserve">70445-33-9</w:t>
            </w:r>
          </w:p>
        </w:tc>
        <w:tc>
          <w:tcPr>
            <w:tcW w:w="1400" w:type="dxa"/>
          </w:tcPr>
          <w:p>
            <w:pPr>
              <w:spacing w:before="0" w:after="0"/>
            </w:pPr>
            <w:r>
              <w:rPr>
                <w:sz w:val="20"/>
                <w:szCs w:val="20"/>
              </w:rPr>
              <w:t xml:space="preserve">0.08</w:t>
            </w:r>
          </w:p>
        </w:tc>
        <w:tc>
          <w:tcPr>
            <w:tcW w:w="2800" w:type="dxa"/>
          </w:tcPr>
          <w:p>
            <w:pPr>
              <w:spacing w:before="0" w:after="0"/>
            </w:pPr>
            <w:r>
              <w:rPr>
                <w:sz w:val="20"/>
                <w:szCs w:val="20"/>
              </w:rPr>
              <w:t xml:space="preserve">Ethylhexylglycerin</w:t>
            </w:r>
          </w:p>
        </w:tc>
        <w:tc>
          <w:tcPr>
            <w:tcW w:w="2200" w:type="dxa"/>
          </w:tcPr>
          <w:p>
            <w:pPr>
              <w:spacing w:before="0" w:after="0"/>
            </w:pPr>
            <w:r>
              <w:rPr>
                <w:sz w:val="20"/>
                <w:szCs w:val="20"/>
              </w:rPr>
              <w:t xml:space="preserve">Compliance 3)</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CFR prohibited and restricted substances list or the CIR Quick Reference Table.</w:t>
      </w:r>
    </w:p>
    <w:p>
      <w:pPr>
        <w:spacing w:before="0" w:after="40"/>
      </w:pPr>
      <w:r>
        <w:rPr>
          <w:sz w:val="20"/>
          <w:szCs w:val="20"/>
        </w:rPr>
        <w:t xml:space="preserve">2) The substance was found in the CIR Quick Reference Table, and is safe for use in cosmetics, with qualifications. Conclusion in the Quick Reference Table: The CIR Expert Panel concluded that ... PG and any PG &gt;= 3 are safe as cosmetic ingredients in present practices of use and concentration as described in this safety assessment when formulated to be nonirritating.</w:t>
      </w:r>
    </w:p>
    <w:p>
      <w:pPr>
        <w:spacing w:before="0" w:after="40"/>
      </w:pPr>
      <w:r>
        <w:rPr>
          <w:sz w:val="20"/>
          <w:szCs w:val="20"/>
        </w:rPr>
        <w:t xml:space="preserve">3) The substance was found in the CIR Quick Reference Table, and is Safe in the present practices of use and concentration.</w:t>
      </w:r>
    </w:p>
    <w:p>
      <w:pPr>
        <w:spacing w:before="0" w:after="40"/>
      </w:pPr>
      <w:r>
        <w:rPr>
          <w:sz w:val="20"/>
          <w:szCs w:val="20"/>
        </w:rPr>
        <w:t xml:space="preserve">4) The substance is fragrance. Fragrance review workflow is not implemented in this version and requires manual review.</w:t>
      </w:r>
    </w:p>
    <w:p>
      <w:pPr>
        <w:spacing w:before="0" w:after="40"/>
      </w:pPr>
      <w:r>
        <w:rPr>
          <w:sz w:val="20"/>
          <w:szCs w:val="20"/>
        </w:rPr>
        <w:t xml:space="preserve">5) The substance was found in the CIR Quick Reference Table, and is safe for use in cosmetics, with qualifications. Conclusion in the Quick Reference Table: The CIR Expert Panel concluded that the 130 PEGylated oil ingredients listed subsequently are safe in the present practices of use and concentration in cosmetics when formulated to be nonirritating. The conclusion supersedes the earlier conclusion issued by the expert panel in 1997...PEG-40 Hydrogenated Castor Oil...</w:t>
      </w:r>
    </w:p>
    <w:p>
      <w:pPr>
        <w:spacing w:before="0" w:after="40"/>
      </w:pPr>
      <w:r>
        <w:rPr>
          <w:sz w:val="20"/>
          <w:szCs w:val="20"/>
        </w:rPr>
        <w:t xml:space="preserve">6) The substance was found in the CIR Quick Reference Table, and is safe for use in cosmetics, with qualifications. Conclusion in the Quick Reference Table: The CIR Expert Panel concluded that Aloe Barbadensis Flower Extract, Aloe Barbadensis Leaf, Aloe Barbadensis Leaf Extract, Aloe Barbadensis Leaf Juice, Aloe Barbadensis Polysaccharides, and Aloe Barbadensis Leaf Water are safe as cosmetic ingredients in the practices of use and concentrations as described in this safety assessment, if anthraquinone levels in the ingredients do not exceed 50 ppm. The available data are insufficient to support the safety of Aloe Andongensis Extract, Aloe Andongensis Leaf Juice, Aloe Arborescens Leaf Extract, Aloe Arborescens Leaf Juice, Aloe Ferox Leaf Extract, Aloe Ferox Leaf Juice, or Aloe Ferox Leaf Juice Extract in cosmetic products.</w:t>
      </w:r>
    </w:p>
    <w:p>
      <w:pPr>
        <w:spacing w:before="0" w:after="40"/>
      </w:pPr>
      <w:r>
        <w:rPr>
          <w:sz w:val="20"/>
          <w:szCs w:val="20"/>
        </w:rPr>
        <w:t xml:space="preserve">TÜV SÜD provides its services in a knowledge capacity only and offers no legal opinion(s) herein. The service is according to company’s know-how and on publicly available sources at the time the services were supplied.</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rPr>
        <w:t xml:space="preserve">Fragrance: Fragrance is a group name. The concentration of the fragrance in the formulation complies with the limit which indicated in the submitted 48h IFRA certificate of PL-247(G) Bee fragrance (Class 9.A maximum dosage 41.98%) submitted by the applicant. There is a typo in the submitted formulation. The correct name should be "fragrance".</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Compliance Screening Report - UC068</dc:title>
  <dc:creator>Codex</dc:creator>
  <cp:lastModifiedBy>Codex</cp:lastModifiedBy>
  <dcterms:created xsi:type="dcterms:W3CDTF">2026-03-21T16:37:31Z</dcterms:created>
  <dcterms:modified xsi:type="dcterms:W3CDTF">2026-03-21T16:37:31Z</dcterms:modified>
</cp:coreProperties>
</file>