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0000"/>
          <w:sz w:val="40"/>
          <w:szCs w:val="40"/>
        </w:rPr>
        <w:t xml:space="preserve">Maintenance &amp; Follow-Up Plan</w:t>
      </w:r>
    </w:p>
    <w:p>
      <w:pPr>
        <w:spacing w:after="40"/>
      </w:pPr>
      <w:r>
        <w:rPr>
          <w:color w:val="000000"/>
          <w:sz w:val="24"/>
          <w:szCs w:val="24"/>
        </w:rPr>
        <w:t xml:space="preserve">Workforce Intelligence and Organizational Performance Analysis</w:t>
      </w:r>
    </w:p>
    <w:p>
      <w:pPr>
        <w:spacing w:after="40"/>
      </w:pPr>
      <w:r>
        <w:rPr>
          <w:color w:val="000000"/>
          <w:sz w:val="22"/>
          <w:szCs w:val="22"/>
        </w:rPr>
        <w:t xml:space="preserve">Roblox Africa Operations (Ghana Hub)</w:t>
      </w:r>
    </w:p>
    <w:p>
      <w:pPr>
        <w:spacing w:after="300"/>
      </w:pPr>
      <w:r>
        <w:rPr>
          <w:color w:val="000000"/>
          <w:sz w:val="20"/>
          <w:szCs w:val="20"/>
        </w:rPr>
        <w:t xml:space="preserve">Stage 10 · Day 10 and Ongoing · 7 August 2026</w:t>
      </w:r>
    </w:p>
    <w:p>
      <w:pPr>
        <w:pStyle w:val="Heading1"/>
        <w:spacing w:after="140" w:before="320"/>
      </w:pPr>
      <w:r>
        <w:rPr>
          <w:b/>
          <w:bCs/>
          <w:color w:val="000000"/>
        </w:rPr>
        <w:t xml:space="preserve">1. Purpose</w:t>
      </w:r>
    </w:p>
    <w:p>
      <w:pPr>
        <w:spacing w:after="160"/>
      </w:pPr>
      <w:r>
        <w:rPr>
          <w:sz w:val="22"/>
          <w:szCs w:val="22"/>
        </w:rPr>
        <w:t xml:space="preserve">This plan describes how the dashboard, the underlying data pipeline, and the insights delivered in this project will be kept accurate and useful after handover. It also sets out how Roblox's future needs will be addressed as they come up, and lists the items that are still open with the client. It is the direct follow-through on the “Maintenance and Follow-Up” stage committed to in the Stage 1 project outline.</w:t>
      </w:r>
    </w:p>
    <w:p>
      <w:pPr>
        <w:pStyle w:val="Heading1"/>
        <w:spacing w:after="140" w:before="320"/>
      </w:pPr>
      <w:r>
        <w:rPr>
          <w:b/>
          <w:bCs/>
          <w:color w:val="000000"/>
        </w:rPr>
        <w:t xml:space="preserve">2. Keeping the Dashboard Current</w:t>
      </w:r>
    </w:p>
    <w:p>
      <w:pPr>
        <w:pStyle w:val="ListParagraph"/>
        <w:numPr>
          <w:ilvl w:val="0"/>
          <w:numId w:val="2"/>
        </w:numPr>
        <w:spacing w:after="100"/>
      </w:pPr>
      <w:r>
        <w:rPr>
          <w:sz w:val="22"/>
          <w:szCs w:val="22"/>
        </w:rPr>
        <w:t xml:space="preserve">The dashboard is published to the Power BI Service with a scheduled monthly refresh, aligned to the HR and payroll reporting cycle.</w:t>
      </w:r>
    </w:p>
    <w:p>
      <w:pPr>
        <w:pStyle w:val="ListParagraph"/>
        <w:numPr>
          <w:ilvl w:val="0"/>
          <w:numId w:val="2"/>
        </w:numPr>
        <w:spacing w:after="100"/>
      </w:pPr>
      <w:r>
        <w:rPr>
          <w:sz w:val="22"/>
          <w:szCs w:val="22"/>
        </w:rPr>
        <w:t xml:space="preserve">Monthly matches how often the underlying HR and payroll extracts actually change. A faster refresh would not add new information; a slower one risks the dashboard going stale before a decision gets made on it.</w:t>
      </w:r>
    </w:p>
    <w:p>
      <w:pPr>
        <w:pStyle w:val="ListParagraph"/>
        <w:numPr>
          <w:ilvl w:val="0"/>
          <w:numId w:val="2"/>
        </w:numPr>
        <w:spacing w:after="100"/>
      </w:pPr>
      <w:r>
        <w:rPr>
          <w:sz w:val="22"/>
          <w:szCs w:val="22"/>
        </w:rPr>
        <w:t xml:space="preserve">Each refresh should be spot-checked against the Validation Checklist reconciliation figures before it is trusted for a leadership conversation.</w:t>
      </w:r>
    </w:p>
    <w:p>
      <w:pPr>
        <w:pStyle w:val="Heading1"/>
        <w:spacing w:after="140" w:before="320"/>
      </w:pPr>
      <w:r>
        <w:rPr>
          <w:b/>
          <w:bCs/>
          <w:color w:val="000000"/>
        </w:rPr>
        <w:t xml:space="preserve">3. Handing Over the Data Pipeline</w:t>
      </w:r>
    </w:p>
    <w:p>
      <w:pPr>
        <w:pStyle w:val="ListParagraph"/>
        <w:numPr>
          <w:ilvl w:val="0"/>
          <w:numId w:val="2"/>
        </w:numPr>
        <w:spacing w:after="100"/>
      </w:pPr>
      <w:r>
        <w:rPr>
          <w:sz w:val="22"/>
          <w:szCs w:val="22"/>
        </w:rPr>
        <w:t xml:space="preserve">The SQL build script and the Python cleaning script are handed over as part of this deliverable, so the full pipeline (raw files → cleaned files → database → dashboard) can be re-run on next month's extract without being rebuilt from scratch.</w:t>
      </w:r>
    </w:p>
    <w:p>
      <w:pPr>
        <w:pStyle w:val="ListParagraph"/>
        <w:numPr>
          <w:ilvl w:val="0"/>
          <w:numId w:val="2"/>
        </w:numPr>
        <w:spacing w:after="100"/>
      </w:pPr>
      <w:r>
        <w:rPr>
          <w:sz w:val="22"/>
          <w:szCs w:val="22"/>
        </w:rPr>
        <w:t xml:space="preserve">Every cleaning rule used in this project (duplicate removal, filling confirmed values, correcting the gender spelling, converting Date Joined and Phone Number) is already coded and logged, so re-running it on new data is mechanical, not manual.</w:t>
      </w:r>
    </w:p>
    <w:p>
      <w:pPr>
        <w:pStyle w:val="ListParagraph"/>
        <w:numPr>
          <w:ilvl w:val="0"/>
          <w:numId w:val="2"/>
        </w:numPr>
        <w:spacing w:after="100"/>
      </w:pPr>
      <w:r>
        <w:rPr>
          <w:sz w:val="22"/>
          <w:szCs w:val="22"/>
        </w:rPr>
        <w:t xml:space="preserve">The one rule that must not change: raw files are always read-only. Every correction happens in the script, and is written to a separate cleaned output, so the original extract is never edited directly.</w:t>
      </w:r>
    </w:p>
    <w:p>
      <w:pPr>
        <w:pStyle w:val="Heading1"/>
        <w:spacing w:after="140" w:before="320"/>
      </w:pPr>
      <w:r>
        <w:rPr>
          <w:b/>
          <w:bCs/>
          <w:color w:val="000000"/>
        </w:rPr>
        <w:t xml:space="preserve">4. Data Ownership Going Forward</w:t>
      </w:r>
    </w:p>
    <w:p>
      <w:pPr>
        <w:spacing w:after="160"/>
      </w:pPr>
      <w:r>
        <w:rPr>
          <w:sz w:val="22"/>
          <w:szCs w:val="22"/>
        </w:rPr>
        <w:t xml:space="preserve">Each of the seven source datasets is assigned a named owner inside Roblox, who is responsible for the accuracy of their own source data from this point 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400"/>
      </w:tblGrid>
      <w:tr>
        <w:tc>
          <w:tcPr>
            <w:tcW w:type="dxa" w:w="3200"/>
            <w:shd w:fill="F2F2F2" w:val="clear"/>
            <w:tcMar>
              <w:top w:type="dxa" w:w="100"/>
              <w:left w:type="dxa" w:w="120"/>
              <w:bottom w:type="dxa" w:w="100"/>
              <w:right w:type="dxa" w:w="120"/>
            </w:tcMar>
          </w:tcPr>
          <w:p>
            <w:r>
              <w:rPr>
                <w:b/>
                <w:bCs/>
                <w:color w:val="000000"/>
                <w:sz w:val="20"/>
                <w:szCs w:val="20"/>
              </w:rPr>
              <w:t xml:space="preserve">Dataset</w:t>
            </w:r>
          </w:p>
        </w:tc>
        <w:tc>
          <w:tcPr>
            <w:tcW w:type="dxa" w:w="2600"/>
            <w:shd w:fill="F2F2F2" w:val="clear"/>
            <w:tcMar>
              <w:top w:type="dxa" w:w="100"/>
              <w:left w:type="dxa" w:w="120"/>
              <w:bottom w:type="dxa" w:w="100"/>
              <w:right w:type="dxa" w:w="120"/>
            </w:tcMar>
          </w:tcPr>
          <w:p>
            <w:r>
              <w:rPr>
                <w:b/>
                <w:bCs/>
                <w:color w:val="000000"/>
                <w:sz w:val="20"/>
                <w:szCs w:val="20"/>
              </w:rPr>
              <w:t xml:space="preserve">Owner</w:t>
            </w:r>
          </w:p>
        </w:tc>
        <w:tc>
          <w:tcPr>
            <w:tcW w:type="dxa" w:w="3400"/>
            <w:shd w:fill="F2F2F2" w:val="clear"/>
            <w:tcMar>
              <w:top w:type="dxa" w:w="100"/>
              <w:left w:type="dxa" w:w="120"/>
              <w:bottom w:type="dxa" w:w="100"/>
              <w:right w:type="dxa" w:w="120"/>
            </w:tcMar>
          </w:tcPr>
          <w:p>
            <w:r>
              <w:rPr>
                <w:b/>
                <w:bCs/>
                <w:color w:val="000000"/>
                <w:sz w:val="20"/>
                <w:szCs w:val="20"/>
              </w:rPr>
              <w:t xml:space="preserve">Responsibility</w:t>
            </w:r>
          </w:p>
        </w:tc>
      </w:tr>
      <w:tr>
        <w:tc>
          <w:tcPr>
            <w:tcW w:type="dxa" w:w="3200"/>
            <w:tcMar>
              <w:top w:type="dxa" w:w="100"/>
              <w:left w:type="dxa" w:w="120"/>
              <w:bottom w:type="dxa" w:w="100"/>
              <w:right w:type="dxa" w:w="120"/>
            </w:tcMar>
          </w:tcPr>
          <w:p>
            <w:r>
              <w:rPr>
                <w:b w:val="false"/>
                <w:bCs w:val="false"/>
                <w:color w:val="000000"/>
                <w:sz w:val="20"/>
                <w:szCs w:val="20"/>
              </w:rPr>
              <w:t xml:space="preserve">Employee and Education</w:t>
            </w:r>
          </w:p>
        </w:tc>
        <w:tc>
          <w:tcPr>
            <w:tcW w:type="dxa" w:w="2600"/>
            <w:tcMar>
              <w:top w:type="dxa" w:w="100"/>
              <w:left w:type="dxa" w:w="120"/>
              <w:bottom w:type="dxa" w:w="100"/>
              <w:right w:type="dxa" w:w="120"/>
            </w:tcMar>
          </w:tcPr>
          <w:p>
            <w:r>
              <w:rPr>
                <w:b w:val="false"/>
                <w:bCs w:val="false"/>
                <w:color w:val="000000"/>
                <w:sz w:val="20"/>
                <w:szCs w:val="20"/>
              </w:rPr>
              <w:t xml:space="preserve">HR</w:t>
            </w:r>
          </w:p>
        </w:tc>
        <w:tc>
          <w:tcPr>
            <w:tcW w:type="dxa" w:w="3400"/>
            <w:tcMar>
              <w:top w:type="dxa" w:w="100"/>
              <w:left w:type="dxa" w:w="120"/>
              <w:bottom w:type="dxa" w:w="100"/>
              <w:right w:type="dxa" w:w="120"/>
            </w:tcMar>
          </w:tcPr>
          <w:p>
            <w:r>
              <w:rPr>
                <w:b w:val="false"/>
                <w:bCs w:val="false"/>
                <w:color w:val="000000"/>
                <w:sz w:val="20"/>
                <w:szCs w:val="20"/>
              </w:rPr>
              <w:t xml:space="preserve">Accuracy of demographic, employment status, and education records</w:t>
            </w:r>
          </w:p>
        </w:tc>
      </w:tr>
      <w:tr>
        <w:tc>
          <w:tcPr>
            <w:tcW w:type="dxa" w:w="3200"/>
            <w:tcMar>
              <w:top w:type="dxa" w:w="100"/>
              <w:left w:type="dxa" w:w="120"/>
              <w:bottom w:type="dxa" w:w="100"/>
              <w:right w:type="dxa" w:w="120"/>
            </w:tcMar>
          </w:tcPr>
          <w:p>
            <w:r>
              <w:rPr>
                <w:b w:val="false"/>
                <w:bCs w:val="false"/>
                <w:color w:val="000000"/>
                <w:sz w:val="20"/>
                <w:szCs w:val="20"/>
              </w:rPr>
              <w:t xml:space="preserve">Finance</w:t>
            </w:r>
          </w:p>
        </w:tc>
        <w:tc>
          <w:tcPr>
            <w:tcW w:type="dxa" w:w="2600"/>
            <w:tcMar>
              <w:top w:type="dxa" w:w="100"/>
              <w:left w:type="dxa" w:w="120"/>
              <w:bottom w:type="dxa" w:w="100"/>
              <w:right w:type="dxa" w:w="120"/>
            </w:tcMar>
          </w:tcPr>
          <w:p>
            <w:r>
              <w:rPr>
                <w:b w:val="false"/>
                <w:bCs w:val="false"/>
                <w:color w:val="000000"/>
                <w:sz w:val="20"/>
                <w:szCs w:val="20"/>
              </w:rPr>
              <w:t xml:space="preserve">Finance</w:t>
            </w:r>
          </w:p>
        </w:tc>
        <w:tc>
          <w:tcPr>
            <w:tcW w:type="dxa" w:w="3400"/>
            <w:tcMar>
              <w:top w:type="dxa" w:w="100"/>
              <w:left w:type="dxa" w:w="120"/>
              <w:bottom w:type="dxa" w:w="100"/>
              <w:right w:type="dxa" w:w="120"/>
            </w:tcMar>
          </w:tcPr>
          <w:p>
            <w:r>
              <w:rPr>
                <w:b w:val="false"/>
                <w:bCs w:val="false"/>
                <w:color w:val="000000"/>
                <w:sz w:val="20"/>
                <w:szCs w:val="20"/>
              </w:rPr>
              <w:t xml:space="preserve">Accuracy of salary and allowance figures; confirming the pay period (see Section 7)</w:t>
            </w:r>
          </w:p>
        </w:tc>
      </w:tr>
      <w:tr>
        <w:tc>
          <w:tcPr>
            <w:tcW w:type="dxa" w:w="3200"/>
            <w:tcMar>
              <w:top w:type="dxa" w:w="100"/>
              <w:left w:type="dxa" w:w="120"/>
              <w:bottom w:type="dxa" w:w="100"/>
              <w:right w:type="dxa" w:w="120"/>
            </w:tcMar>
          </w:tcPr>
          <w:p>
            <w:r>
              <w:rPr>
                <w:b w:val="false"/>
                <w:bCs w:val="false"/>
                <w:color w:val="000000"/>
                <w:sz w:val="20"/>
                <w:szCs w:val="20"/>
              </w:rPr>
              <w:t xml:space="preserve">Health</w:t>
            </w:r>
          </w:p>
        </w:tc>
        <w:tc>
          <w:tcPr>
            <w:tcW w:type="dxa" w:w="2600"/>
            <w:tcMar>
              <w:top w:type="dxa" w:w="100"/>
              <w:left w:type="dxa" w:w="120"/>
              <w:bottom w:type="dxa" w:w="100"/>
              <w:right w:type="dxa" w:w="120"/>
            </w:tcMar>
          </w:tcPr>
          <w:p>
            <w:r>
              <w:rPr>
                <w:b w:val="false"/>
                <w:bCs w:val="false"/>
                <w:color w:val="000000"/>
                <w:sz w:val="20"/>
                <w:szCs w:val="20"/>
              </w:rPr>
              <w:t xml:space="preserve">Benefits Administration</w:t>
            </w:r>
          </w:p>
        </w:tc>
        <w:tc>
          <w:tcPr>
            <w:tcW w:type="dxa" w:w="3400"/>
            <w:tcMar>
              <w:top w:type="dxa" w:w="100"/>
              <w:left w:type="dxa" w:w="120"/>
              <w:bottom w:type="dxa" w:w="100"/>
              <w:right w:type="dxa" w:w="120"/>
            </w:tcMar>
          </w:tcPr>
          <w:p>
            <w:r>
              <w:rPr>
                <w:b w:val="false"/>
                <w:bCs w:val="false"/>
                <w:color w:val="000000"/>
                <w:sz w:val="20"/>
                <w:szCs w:val="20"/>
              </w:rPr>
              <w:t xml:space="preserve">Accuracy of insurance status, plan type, and leave balance records</w:t>
            </w:r>
          </w:p>
        </w:tc>
      </w:tr>
      <w:tr>
        <w:tc>
          <w:tcPr>
            <w:tcW w:type="dxa" w:w="3200"/>
            <w:tcMar>
              <w:top w:type="dxa" w:w="100"/>
              <w:left w:type="dxa" w:w="120"/>
              <w:bottom w:type="dxa" w:w="100"/>
              <w:right w:type="dxa" w:w="120"/>
            </w:tcMar>
          </w:tcPr>
          <w:p>
            <w:r>
              <w:rPr>
                <w:b w:val="false"/>
                <w:bCs w:val="false"/>
                <w:color w:val="000000"/>
                <w:sz w:val="20"/>
                <w:szCs w:val="20"/>
              </w:rPr>
              <w:t xml:space="preserve">Department and Department Performance</w:t>
            </w:r>
          </w:p>
        </w:tc>
        <w:tc>
          <w:tcPr>
            <w:tcW w:type="dxa" w:w="2600"/>
            <w:tcMar>
              <w:top w:type="dxa" w:w="100"/>
              <w:left w:type="dxa" w:w="120"/>
              <w:bottom w:type="dxa" w:w="100"/>
              <w:right w:type="dxa" w:w="120"/>
            </w:tcMar>
          </w:tcPr>
          <w:p>
            <w:r>
              <w:rPr>
                <w:b w:val="false"/>
                <w:bCs w:val="false"/>
                <w:color w:val="000000"/>
                <w:sz w:val="20"/>
                <w:szCs w:val="20"/>
              </w:rPr>
              <w:t xml:space="preserve">HR and Finance jointly</w:t>
            </w:r>
          </w:p>
        </w:tc>
        <w:tc>
          <w:tcPr>
            <w:tcW w:type="dxa" w:w="3400"/>
            <w:tcMar>
              <w:top w:type="dxa" w:w="100"/>
              <w:left w:type="dxa" w:w="120"/>
              <w:bottom w:type="dxa" w:w="100"/>
              <w:right w:type="dxa" w:w="120"/>
            </w:tcMar>
          </w:tcPr>
          <w:p>
            <w:r>
              <w:rPr>
                <w:b w:val="false"/>
                <w:bCs w:val="false"/>
                <w:color w:val="000000"/>
                <w:sz w:val="20"/>
                <w:szCs w:val="20"/>
              </w:rPr>
              <w:t xml:space="preserve">Keeping department structure and yearly performance figures current</w:t>
            </w:r>
          </w:p>
        </w:tc>
      </w:tr>
    </w:tbl>
    <w:p>
      <w:pPr>
        <w:pStyle w:val="Heading1"/>
        <w:spacing w:after="140" w:before="320"/>
      </w:pPr>
      <w:r>
        <w:rPr>
          <w:b/>
          <w:bCs/>
          <w:color w:val="000000"/>
        </w:rPr>
        <w:t xml:space="preserve">5. Preventing the Same Errors From Recurring</w:t>
      </w:r>
    </w:p>
    <w:p>
      <w:pPr>
        <w:spacing w:after="160"/>
      </w:pPr>
      <w:r>
        <w:rPr>
          <w:sz w:val="22"/>
          <w:szCs w:val="22"/>
        </w:rPr>
        <w:t xml:space="preserve">The cleaning stage of this project found 21 data quality issues. Most were fixable in code, but the better fix is to stop them from happening again. The following entry-point rules are recommended:</w:t>
      </w:r>
    </w:p>
    <w:p>
      <w:pPr>
        <w:pStyle w:val="ListParagraph"/>
        <w:numPr>
          <w:ilvl w:val="0"/>
          <w:numId w:val="2"/>
        </w:numPr>
        <w:spacing w:after="100"/>
      </w:pPr>
      <w:r>
        <w:rPr>
          <w:sz w:val="22"/>
          <w:szCs w:val="22"/>
        </w:rPr>
        <w:t xml:space="preserve">Make Gender and Employee Status mandatory fields that cannot be left blank at the point of entry.</w:t>
      </w:r>
    </w:p>
    <w:p>
      <w:pPr>
        <w:pStyle w:val="ListParagraph"/>
        <w:numPr>
          <w:ilvl w:val="0"/>
          <w:numId w:val="2"/>
        </w:numPr>
        <w:spacing w:after="100"/>
      </w:pPr>
      <w:r>
        <w:rPr>
          <w:sz w:val="22"/>
          <w:szCs w:val="22"/>
        </w:rPr>
        <w:t xml:space="preserve">Validate that Age falls within a plausible range (18 to 65) before a record can be saved.</w:t>
      </w:r>
    </w:p>
    <w:p>
      <w:pPr>
        <w:pStyle w:val="ListParagraph"/>
        <w:numPr>
          <w:ilvl w:val="0"/>
          <w:numId w:val="2"/>
        </w:numPr>
        <w:spacing w:after="100"/>
      </w:pPr>
      <w:r>
        <w:rPr>
          <w:sz w:val="22"/>
          <w:szCs w:val="22"/>
        </w:rPr>
        <w:t xml:space="preserve">Store Phone Number and Account Number as text from the start, in one consistent format, so a leading digit can never be silently dropped.</w:t>
      </w:r>
    </w:p>
    <w:p>
      <w:pPr>
        <w:pStyle w:val="ListParagraph"/>
        <w:numPr>
          <w:ilvl w:val="0"/>
          <w:numId w:val="2"/>
        </w:numPr>
        <w:spacing w:after="100"/>
      </w:pPr>
      <w:r>
        <w:rPr>
          <w:sz w:val="22"/>
          <w:szCs w:val="22"/>
        </w:rPr>
        <w:t xml:space="preserve">Enforce a single, unique employee identifier across every current and future system, so the same person is never spelled four different ways (EmployeeID, employee_id, StaffID, Employee ID) again.</w:t>
      </w:r>
    </w:p>
    <w:p>
      <w:pPr>
        <w:pStyle w:val="ListParagraph"/>
        <w:numPr>
          <w:ilvl w:val="0"/>
          <w:numId w:val="2"/>
        </w:numPr>
        <w:spacing w:after="100"/>
      </w:pPr>
      <w:r>
        <w:rPr>
          <w:sz w:val="22"/>
          <w:szCs w:val="22"/>
        </w:rPr>
        <w:t xml:space="preserve">Standardise column naming and capitalisation (for example created_at and updated_at) at the point the database is designed, not after the fact.</w:t>
      </w:r>
    </w:p>
    <w:p>
      <w:pPr>
        <w:pStyle w:val="ListParagraph"/>
        <w:numPr>
          <w:ilvl w:val="0"/>
          <w:numId w:val="2"/>
        </w:numPr>
        <w:spacing w:after="100"/>
      </w:pPr>
      <w:r>
        <w:rPr>
          <w:sz w:val="22"/>
          <w:szCs w:val="22"/>
        </w:rPr>
        <w:t xml:space="preserve">Record whether Basic Salary and Allowances are monthly or annual figures directly in the field name or a metadata note, so this is never ambiguous again.</w:t>
      </w:r>
    </w:p>
    <w:p>
      <w:pPr>
        <w:pStyle w:val="Heading1"/>
        <w:spacing w:after="140" w:before="320"/>
      </w:pPr>
      <w:r>
        <w:rPr>
          <w:b/>
          <w:bCs/>
          <w:color w:val="000000"/>
        </w:rPr>
        <w:t xml:space="preserve">6. Keeping Documentation Current</w:t>
      </w:r>
    </w:p>
    <w:p>
      <w:pPr>
        <w:pStyle w:val="ListParagraph"/>
        <w:numPr>
          <w:ilvl w:val="0"/>
          <w:numId w:val="2"/>
        </w:numPr>
        <w:spacing w:after="100"/>
      </w:pPr>
      <w:r>
        <w:rPr>
          <w:sz w:val="22"/>
          <w:szCs w:val="22"/>
        </w:rPr>
        <w:t xml:space="preserve">The data dictionary and the entity relationship diagram (ERD) are version controlled, and both are updated whenever a field is added, renamed, or changed.</w:t>
      </w:r>
    </w:p>
    <w:p>
      <w:pPr>
        <w:pStyle w:val="ListParagraph"/>
        <w:numPr>
          <w:ilvl w:val="0"/>
          <w:numId w:val="2"/>
        </w:numPr>
        <w:spacing w:after="100"/>
      </w:pPr>
      <w:r>
        <w:rPr>
          <w:sz w:val="22"/>
          <w:szCs w:val="22"/>
        </w:rPr>
        <w:t xml:space="preserve">Any new join, table, or measure added to the model should be reflected in the ERD and the data dictionary before it is used in a dashboard visual, so the documentation never falls behind the dashboard itself.</w:t>
      </w:r>
    </w:p>
    <w:p>
      <w:pPr>
        <w:pStyle w:val="Heading1"/>
        <w:spacing w:after="140" w:before="320"/>
      </w:pPr>
      <w:r>
        <w:rPr>
          <w:b/>
          <w:bCs/>
          <w:color w:val="000000"/>
        </w:rPr>
        <w:t xml:space="preserve">7. Items Still Open With the Client</w:t>
      </w:r>
    </w:p>
    <w:p>
      <w:pPr>
        <w:spacing w:after="160"/>
      </w:pPr>
      <w:r>
        <w:rPr>
          <w:sz w:val="22"/>
          <w:szCs w:val="22"/>
        </w:rPr>
        <w:t xml:space="preserve">Five items from the data quality audit could not be resolved by rule and were not covered by the client's first reply. Each needs a follow-up answer from Roblox. Where no answer arrives, the documented assumption already on file stands, and the limitation stays flagged in the analysis report.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200"/>
      </w:tblGrid>
      <w:tr>
        <w:tc>
          <w:tcPr>
            <w:tcW w:type="dxa" w:w="3800"/>
            <w:shd w:fill="F2F2F2" w:val="clear"/>
            <w:tcMar>
              <w:top w:type="dxa" w:w="100"/>
              <w:left w:type="dxa" w:w="120"/>
              <w:bottom w:type="dxa" w:w="100"/>
              <w:right w:type="dxa" w:w="120"/>
            </w:tcMar>
          </w:tcPr>
          <w:p>
            <w:r>
              <w:rPr>
                <w:b/>
                <w:bCs/>
                <w:color w:val="000000"/>
                <w:sz w:val="20"/>
                <w:szCs w:val="20"/>
              </w:rPr>
              <w:t xml:space="preserve">Open item</w:t>
            </w:r>
          </w:p>
        </w:tc>
        <w:tc>
          <w:tcPr>
            <w:tcW w:type="dxa" w:w="3200"/>
            <w:shd w:fill="F2F2F2" w:val="clear"/>
            <w:tcMar>
              <w:top w:type="dxa" w:w="100"/>
              <w:left w:type="dxa" w:w="120"/>
              <w:bottom w:type="dxa" w:w="100"/>
              <w:right w:type="dxa" w:w="120"/>
            </w:tcMar>
          </w:tcPr>
          <w:p>
            <w:r>
              <w:rPr>
                <w:b/>
                <w:bCs/>
                <w:color w:val="000000"/>
                <w:sz w:val="20"/>
                <w:szCs w:val="20"/>
              </w:rPr>
              <w:t xml:space="preserve">Why it matters</w:t>
            </w:r>
          </w:p>
        </w:tc>
        <w:tc>
          <w:tcPr>
            <w:tcW w:type="dxa" w:w="2200"/>
            <w:shd w:fill="F2F2F2" w:val="clear"/>
            <w:tcMar>
              <w:top w:type="dxa" w:w="100"/>
              <w:left w:type="dxa" w:w="120"/>
              <w:bottom w:type="dxa" w:w="100"/>
              <w:right w:type="dxa" w:w="120"/>
            </w:tcMar>
          </w:tcPr>
          <w:p>
            <w:r>
              <w:rPr>
                <w:b/>
                <w:bCs/>
                <w:color w:val="000000"/>
                <w:sz w:val="20"/>
                <w:szCs w:val="20"/>
              </w:rPr>
              <w:t xml:space="preserve">Status</w:t>
            </w:r>
          </w:p>
        </w:tc>
      </w:tr>
      <w:tr>
        <w:tc>
          <w:tcPr>
            <w:tcW w:type="dxa" w:w="3800"/>
            <w:tcMar>
              <w:top w:type="dxa" w:w="100"/>
              <w:left w:type="dxa" w:w="120"/>
              <w:bottom w:type="dxa" w:w="100"/>
              <w:right w:type="dxa" w:w="120"/>
            </w:tcMar>
          </w:tcPr>
          <w:p>
            <w:r>
              <w:rPr>
                <w:b w:val="false"/>
                <w:bCs w:val="false"/>
                <w:color w:val="000000"/>
                <w:sz w:val="20"/>
                <w:szCs w:val="20"/>
              </w:rPr>
              <w:t xml:space="preserve">Are Basic Salary and Allowances monthly or annual figures?</w:t>
            </w:r>
          </w:p>
        </w:tc>
        <w:tc>
          <w:tcPr>
            <w:tcW w:type="dxa" w:w="3200"/>
            <w:tcMar>
              <w:top w:type="dxa" w:w="100"/>
              <w:left w:type="dxa" w:w="120"/>
              <w:bottom w:type="dxa" w:w="100"/>
              <w:right w:type="dxa" w:w="120"/>
            </w:tcMar>
          </w:tcPr>
          <w:p>
            <w:r>
              <w:rPr>
                <w:b w:val="false"/>
                <w:bCs w:val="false"/>
                <w:color w:val="000000"/>
                <w:sz w:val="20"/>
                <w:szCs w:val="20"/>
              </w:rPr>
              <w:t xml:space="preserve">Blocks an accurate total compensation and cost-per-employee figure</w:t>
            </w:r>
          </w:p>
        </w:tc>
        <w:tc>
          <w:tcPr>
            <w:tcW w:type="dxa" w:w="2200"/>
            <w:tcMar>
              <w:top w:type="dxa" w:w="100"/>
              <w:left w:type="dxa" w:w="120"/>
              <w:bottom w:type="dxa" w:w="100"/>
              <w:right w:type="dxa" w:w="120"/>
            </w:tcMar>
          </w:tcPr>
          <w:p>
            <w:r>
              <w:rPr>
                <w:b w:val="false"/>
                <w:bCs w:val="false"/>
                <w:color w:val="000000"/>
                <w:sz w:val="20"/>
                <w:szCs w:val="20"/>
              </w:rPr>
              <w:t xml:space="preserve">Open</w:t>
            </w:r>
          </w:p>
        </w:tc>
      </w:tr>
      <w:tr>
        <w:tc>
          <w:tcPr>
            <w:tcW w:type="dxa" w:w="3800"/>
            <w:tcMar>
              <w:top w:type="dxa" w:w="100"/>
              <w:left w:type="dxa" w:w="120"/>
              <w:bottom w:type="dxa" w:w="100"/>
              <w:right w:type="dxa" w:w="120"/>
            </w:tcMar>
          </w:tcPr>
          <w:p>
            <w:r>
              <w:rPr>
                <w:b w:val="false"/>
                <w:bCs w:val="false"/>
                <w:color w:val="000000"/>
                <w:sz w:val="20"/>
                <w:szCs w:val="20"/>
              </w:rPr>
              <w:t xml:space="preserve">Why does department_performance's Total_Cost run about 21x smaller than summed salary and allowances by department?</w:t>
            </w:r>
          </w:p>
        </w:tc>
        <w:tc>
          <w:tcPr>
            <w:tcW w:type="dxa" w:w="3200"/>
            <w:tcMar>
              <w:top w:type="dxa" w:w="100"/>
              <w:left w:type="dxa" w:w="120"/>
              <w:bottom w:type="dxa" w:w="100"/>
              <w:right w:type="dxa" w:w="120"/>
            </w:tcMar>
          </w:tcPr>
          <w:p>
            <w:r>
              <w:rPr>
                <w:b w:val="false"/>
                <w:bCs w:val="false"/>
                <w:color w:val="000000"/>
                <w:sz w:val="20"/>
                <w:szCs w:val="20"/>
              </w:rPr>
              <w:t xml:space="preserve">Blocks any comparison of workforce cost against departmental cost</w:t>
            </w:r>
          </w:p>
        </w:tc>
        <w:tc>
          <w:tcPr>
            <w:tcW w:type="dxa" w:w="2200"/>
            <w:tcMar>
              <w:top w:type="dxa" w:w="100"/>
              <w:left w:type="dxa" w:w="120"/>
              <w:bottom w:type="dxa" w:w="100"/>
              <w:right w:type="dxa" w:w="120"/>
            </w:tcMar>
          </w:tcPr>
          <w:p>
            <w:r>
              <w:rPr>
                <w:b w:val="false"/>
                <w:bCs w:val="false"/>
                <w:color w:val="000000"/>
                <w:sz w:val="20"/>
                <w:szCs w:val="20"/>
              </w:rPr>
              <w:t xml:space="preserve">Open</w:t>
            </w:r>
          </w:p>
        </w:tc>
      </w:tr>
      <w:tr>
        <w:tc>
          <w:tcPr>
            <w:tcW w:type="dxa" w:w="3800"/>
            <w:tcMar>
              <w:top w:type="dxa" w:w="100"/>
              <w:left w:type="dxa" w:w="120"/>
              <w:bottom w:type="dxa" w:w="100"/>
              <w:right w:type="dxa" w:w="120"/>
            </w:tcMar>
          </w:tcPr>
          <w:p>
            <w:r>
              <w:rPr>
                <w:b w:val="false"/>
                <w:bCs w:val="false"/>
                <w:color w:val="000000"/>
                <w:sz w:val="20"/>
                <w:szCs w:val="20"/>
              </w:rPr>
              <w:t xml:space="preserve">Are account numbers of 5 to 13 digits legitimate across the ten banks used?</w:t>
            </w:r>
          </w:p>
        </w:tc>
        <w:tc>
          <w:tcPr>
            <w:tcW w:type="dxa" w:w="3200"/>
            <w:tcMar>
              <w:top w:type="dxa" w:w="100"/>
              <w:left w:type="dxa" w:w="120"/>
              <w:bottom w:type="dxa" w:w="100"/>
              <w:right w:type="dxa" w:w="120"/>
            </w:tcMar>
          </w:tcPr>
          <w:p>
            <w:r>
              <w:rPr>
                <w:b w:val="false"/>
                <w:bCs w:val="false"/>
                <w:color w:val="000000"/>
                <w:sz w:val="20"/>
                <w:szCs w:val="20"/>
              </w:rPr>
              <w:t xml:space="preserve">Minor payment integrity risk, no analytical impact</w:t>
            </w:r>
          </w:p>
        </w:tc>
        <w:tc>
          <w:tcPr>
            <w:tcW w:type="dxa" w:w="2200"/>
            <w:tcMar>
              <w:top w:type="dxa" w:w="100"/>
              <w:left w:type="dxa" w:w="120"/>
              <w:bottom w:type="dxa" w:w="100"/>
              <w:right w:type="dxa" w:w="120"/>
            </w:tcMar>
          </w:tcPr>
          <w:p>
            <w:r>
              <w:rPr>
                <w:b w:val="false"/>
                <w:bCs w:val="false"/>
                <w:color w:val="000000"/>
                <w:sz w:val="20"/>
                <w:szCs w:val="20"/>
              </w:rPr>
              <w:t xml:space="preserve">Open</w:t>
            </w:r>
          </w:p>
        </w:tc>
      </w:tr>
      <w:tr>
        <w:tc>
          <w:tcPr>
            <w:tcW w:type="dxa" w:w="3800"/>
            <w:tcMar>
              <w:top w:type="dxa" w:w="100"/>
              <w:left w:type="dxa" w:w="120"/>
              <w:bottom w:type="dxa" w:w="100"/>
              <w:right w:type="dxa" w:w="120"/>
            </w:tcMar>
          </w:tcPr>
          <w:p>
            <w:r>
              <w:rPr>
                <w:b w:val="false"/>
                <w:bCs w:val="false"/>
                <w:color w:val="000000"/>
                <w:sz w:val="20"/>
                <w:szCs w:val="20"/>
              </w:rPr>
              <w:t xml:space="preserve">Is “Information Technology &amp; Law” a genuine field of study or a data entry variant?</w:t>
            </w:r>
          </w:p>
        </w:tc>
        <w:tc>
          <w:tcPr>
            <w:tcW w:type="dxa" w:w="3200"/>
            <w:tcMar>
              <w:top w:type="dxa" w:w="100"/>
              <w:left w:type="dxa" w:w="120"/>
              <w:bottom w:type="dxa" w:w="100"/>
              <w:right w:type="dxa" w:w="120"/>
            </w:tcMar>
          </w:tcPr>
          <w:p>
            <w:r>
              <w:rPr>
                <w:b w:val="false"/>
                <w:bCs w:val="false"/>
                <w:color w:val="000000"/>
                <w:sz w:val="20"/>
                <w:szCs w:val="20"/>
              </w:rPr>
              <w:t xml:space="preserve">Affects how education is grouped against job placement</w:t>
            </w:r>
          </w:p>
        </w:tc>
        <w:tc>
          <w:tcPr>
            <w:tcW w:type="dxa" w:w="2200"/>
            <w:tcMar>
              <w:top w:type="dxa" w:w="100"/>
              <w:left w:type="dxa" w:w="120"/>
              <w:bottom w:type="dxa" w:w="100"/>
              <w:right w:type="dxa" w:w="120"/>
            </w:tcMar>
          </w:tcPr>
          <w:p>
            <w:r>
              <w:rPr>
                <w:b w:val="false"/>
                <w:bCs w:val="false"/>
                <w:color w:val="000000"/>
                <w:sz w:val="20"/>
                <w:szCs w:val="20"/>
              </w:rPr>
              <w:t xml:space="preserve">Open</w:t>
            </w:r>
          </w:p>
        </w:tc>
      </w:tr>
      <w:tr>
        <w:tc>
          <w:tcPr>
            <w:tcW w:type="dxa" w:w="3800"/>
            <w:tcMar>
              <w:top w:type="dxa" w:w="100"/>
              <w:left w:type="dxa" w:w="120"/>
              <w:bottom w:type="dxa" w:w="100"/>
              <w:right w:type="dxa" w:w="120"/>
            </w:tcMar>
          </w:tcPr>
          <w:p>
            <w:r>
              <w:rPr>
                <w:b w:val="false"/>
                <w:bCs w:val="false"/>
                <w:color w:val="000000"/>
                <w:sz w:val="20"/>
                <w:szCs w:val="20"/>
              </w:rPr>
              <w:t xml:space="preserve">Does the education-to-department matching logic used for the 73% mismatch figure reflect Roblox's own view?</w:t>
            </w:r>
          </w:p>
        </w:tc>
        <w:tc>
          <w:tcPr>
            <w:tcW w:type="dxa" w:w="3200"/>
            <w:tcMar>
              <w:top w:type="dxa" w:w="100"/>
              <w:left w:type="dxa" w:w="120"/>
              <w:bottom w:type="dxa" w:w="100"/>
              <w:right w:type="dxa" w:w="120"/>
            </w:tcMar>
          </w:tcPr>
          <w:p>
            <w:r>
              <w:rPr>
                <w:b w:val="false"/>
                <w:bCs w:val="false"/>
                <w:color w:val="000000"/>
                <w:sz w:val="20"/>
                <w:szCs w:val="20"/>
              </w:rPr>
              <w:t xml:space="preserve">Should be confirmed before the figure is quoted externally</w:t>
            </w:r>
          </w:p>
        </w:tc>
        <w:tc>
          <w:tcPr>
            <w:tcW w:type="dxa" w:w="2200"/>
            <w:tcMar>
              <w:top w:type="dxa" w:w="100"/>
              <w:left w:type="dxa" w:w="120"/>
              <w:bottom w:type="dxa" w:w="100"/>
              <w:right w:type="dxa" w:w="120"/>
            </w:tcMar>
          </w:tcPr>
          <w:p>
            <w:r>
              <w:rPr>
                <w:b w:val="false"/>
                <w:bCs w:val="false"/>
                <w:color w:val="000000"/>
                <w:sz w:val="20"/>
                <w:szCs w:val="20"/>
              </w:rPr>
              <w:t xml:space="preserve">Open, see Recommendation 5</w:t>
            </w:r>
          </w:p>
        </w:tc>
      </w:tr>
    </w:tbl>
    <w:p>
      <w:pPr>
        <w:pStyle w:val="Heading1"/>
        <w:spacing w:after="140" w:before="320"/>
      </w:pPr>
      <w:r>
        <w:rPr>
          <w:b/>
          <w:bCs/>
          <w:color w:val="000000"/>
        </w:rPr>
        <w:t xml:space="preserve">8. Ongoing Client Engagement</w:t>
      </w:r>
    </w:p>
    <w:p>
      <w:pPr>
        <w:pStyle w:val="ListParagraph"/>
        <w:numPr>
          <w:ilvl w:val="0"/>
          <w:numId w:val="2"/>
        </w:numPr>
        <w:spacing w:after="100"/>
      </w:pPr>
      <w:r>
        <w:rPr>
          <w:sz w:val="22"/>
          <w:szCs w:val="22"/>
        </w:rPr>
        <w:t xml:space="preserve">A quarterly review with leadership, to confirm the dashboard still answers the questions that matter and to add new measures where a gap appears.</w:t>
      </w:r>
    </w:p>
    <w:p>
      <w:pPr>
        <w:pStyle w:val="ListParagraph"/>
        <w:numPr>
          <w:ilvl w:val="0"/>
          <w:numId w:val="2"/>
        </w:numPr>
        <w:spacing w:after="100"/>
      </w:pPr>
      <w:r>
        <w:rPr>
          <w:sz w:val="22"/>
          <w:szCs w:val="22"/>
        </w:rPr>
        <w:t xml:space="preserve">A defined change request process for new fields or new data sources, with an agreed turnaround time, so ad hoc requests do not quietly become undocumented changes.</w:t>
      </w:r>
    </w:p>
    <w:p>
      <w:pPr>
        <w:pStyle w:val="ListParagraph"/>
        <w:numPr>
          <w:ilvl w:val="0"/>
          <w:numId w:val="2"/>
        </w:numPr>
        <w:spacing w:after="100"/>
      </w:pPr>
      <w:r>
        <w:rPr>
          <w:sz w:val="22"/>
          <w:szCs w:val="22"/>
        </w:rPr>
        <w:t xml:space="preserve">A short handover and training session, so the Roblox team can use, filter, and interpret the dashboard independently, without depending on the original project team.</w:t>
      </w:r>
    </w:p>
    <w:p>
      <w:pPr>
        <w:pStyle w:val="Heading1"/>
        <w:spacing w:after="140" w:before="320"/>
      </w:pPr>
      <w:r>
        <w:rPr>
          <w:b/>
          <w:bCs/>
          <w:color w:val="000000"/>
        </w:rPr>
        <w:t xml:space="preserve">9. Foundation for Future Work</w:t>
      </w:r>
    </w:p>
    <w:p>
      <w:pPr>
        <w:pStyle w:val="ListParagraph"/>
        <w:numPr>
          <w:ilvl w:val="0"/>
          <w:numId w:val="2"/>
        </w:numPr>
        <w:spacing w:after="100"/>
      </w:pPr>
      <w:r>
        <w:rPr>
          <w:sz w:val="22"/>
          <w:szCs w:val="22"/>
        </w:rPr>
        <w:t xml:space="preserve">The cleaned and documented dataset is deliberately structured so it can support a future predictive phase, such as attrition forecasting, once leaver and exit data becomes available.</w:t>
      </w:r>
    </w:p>
    <w:p>
      <w:pPr>
        <w:pStyle w:val="ListParagraph"/>
        <w:numPr>
          <w:ilvl w:val="0"/>
          <w:numId w:val="2"/>
        </w:numPr>
        <w:spacing w:after="100"/>
      </w:pPr>
      <w:r>
        <w:rPr>
          <w:sz w:val="22"/>
          <w:szCs w:val="22"/>
        </w:rPr>
        <w:t xml:space="preserve">Roblox should begin capturing a leave date and a reason for leaving going forward. Neither field exists in the current data, and without it, attrition cannot be measured in any future phase.</w:t>
      </w:r>
    </w:p>
    <w:p>
      <w:pPr>
        <w:pStyle w:val="Heading1"/>
        <w:spacing w:after="140" w:before="320"/>
      </w:pPr>
      <w:r>
        <w:rPr>
          <w:b/>
          <w:bCs/>
          <w:color w:val="000000"/>
        </w:rPr>
        <w:t xml:space="preserve">10. Tools and Timing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400"/>
      </w:tblGrid>
      <w:tr>
        <w:tc>
          <w:tcPr>
            <w:tcW w:type="dxa" w:w="2600"/>
            <w:shd w:fill="F2F2F2" w:val="clear"/>
            <w:tcMar>
              <w:top w:type="dxa" w:w="100"/>
              <w:left w:type="dxa" w:w="120"/>
              <w:bottom w:type="dxa" w:w="100"/>
              <w:right w:type="dxa" w:w="120"/>
            </w:tcMar>
          </w:tcPr>
          <w:p>
            <w:r>
              <w:rPr>
                <w:b/>
                <w:bCs/>
                <w:color w:val="000000"/>
                <w:sz w:val="20"/>
                <w:szCs w:val="20"/>
              </w:rPr>
              <w:t xml:space="preserve">Tool</w:t>
            </w:r>
          </w:p>
        </w:tc>
        <w:tc>
          <w:tcPr>
            <w:tcW w:type="dxa" w:w="4200"/>
            <w:shd w:fill="F2F2F2" w:val="clear"/>
            <w:tcMar>
              <w:top w:type="dxa" w:w="100"/>
              <w:left w:type="dxa" w:w="120"/>
              <w:bottom w:type="dxa" w:w="100"/>
              <w:right w:type="dxa" w:w="120"/>
            </w:tcMar>
          </w:tcPr>
          <w:p>
            <w:r>
              <w:rPr>
                <w:b/>
                <w:bCs/>
                <w:color w:val="000000"/>
                <w:sz w:val="20"/>
                <w:szCs w:val="20"/>
              </w:rPr>
              <w:t xml:space="preserve">Purpose</w:t>
            </w:r>
          </w:p>
        </w:tc>
        <w:tc>
          <w:tcPr>
            <w:tcW w:type="dxa" w:w="2400"/>
            <w:shd w:fill="F2F2F2" w:val="clear"/>
            <w:tcMar>
              <w:top w:type="dxa" w:w="100"/>
              <w:left w:type="dxa" w:w="120"/>
              <w:bottom w:type="dxa" w:w="100"/>
              <w:right w:type="dxa" w:w="120"/>
            </w:tcMar>
          </w:tcPr>
          <w:p>
            <w:r>
              <w:rPr>
                <w:b/>
                <w:bCs/>
                <w:color w:val="000000"/>
                <w:sz w:val="20"/>
                <w:szCs w:val="20"/>
              </w:rPr>
              <w:t xml:space="preserve">Timing</w:t>
            </w:r>
          </w:p>
        </w:tc>
      </w:tr>
      <w:tr>
        <w:tc>
          <w:tcPr>
            <w:tcW w:type="dxa" w:w="2600"/>
            <w:tcMar>
              <w:top w:type="dxa" w:w="100"/>
              <w:left w:type="dxa" w:w="120"/>
              <w:bottom w:type="dxa" w:w="100"/>
              <w:right w:type="dxa" w:w="120"/>
            </w:tcMar>
          </w:tcPr>
          <w:p>
            <w:r>
              <w:rPr>
                <w:b w:val="false"/>
                <w:bCs w:val="false"/>
                <w:color w:val="000000"/>
                <w:sz w:val="20"/>
                <w:szCs w:val="20"/>
              </w:rPr>
              <w:t xml:space="preserve">Power BI Service</w:t>
            </w:r>
          </w:p>
        </w:tc>
        <w:tc>
          <w:tcPr>
            <w:tcW w:type="dxa" w:w="4200"/>
            <w:tcMar>
              <w:top w:type="dxa" w:w="100"/>
              <w:left w:type="dxa" w:w="120"/>
              <w:bottom w:type="dxa" w:w="100"/>
              <w:right w:type="dxa" w:w="120"/>
            </w:tcMar>
          </w:tcPr>
          <w:p>
            <w:r>
              <w:rPr>
                <w:b w:val="false"/>
                <w:bCs w:val="false"/>
                <w:color w:val="000000"/>
                <w:sz w:val="20"/>
                <w:szCs w:val="20"/>
              </w:rPr>
              <w:t xml:space="preserve">Hosting the dashboard and running the scheduled refresh</w:t>
            </w:r>
          </w:p>
        </w:tc>
        <w:tc>
          <w:tcPr>
            <w:tcW w:type="dxa" w:w="2400"/>
            <w:tcMar>
              <w:top w:type="dxa" w:w="100"/>
              <w:left w:type="dxa" w:w="120"/>
              <w:bottom w:type="dxa" w:w="100"/>
              <w:right w:type="dxa" w:w="120"/>
            </w:tcMar>
          </w:tcPr>
          <w:p>
            <w:r>
              <w:rPr>
                <w:b w:val="false"/>
                <w:bCs w:val="false"/>
                <w:color w:val="000000"/>
                <w:sz w:val="20"/>
                <w:szCs w:val="20"/>
              </w:rPr>
              <w:t xml:space="preserve">Day 10 and ongoing, monthly</w:t>
            </w:r>
          </w:p>
        </w:tc>
      </w:tr>
      <w:tr>
        <w:tc>
          <w:tcPr>
            <w:tcW w:type="dxa" w:w="2600"/>
            <w:tcMar>
              <w:top w:type="dxa" w:w="100"/>
              <w:left w:type="dxa" w:w="120"/>
              <w:bottom w:type="dxa" w:w="100"/>
              <w:right w:type="dxa" w:w="120"/>
            </w:tcMar>
          </w:tcPr>
          <w:p>
            <w:r>
              <w:rPr>
                <w:b w:val="false"/>
                <w:bCs w:val="false"/>
                <w:color w:val="000000"/>
                <w:sz w:val="20"/>
                <w:szCs w:val="20"/>
              </w:rPr>
              <w:t xml:space="preserve">SQL</w:t>
            </w:r>
          </w:p>
        </w:tc>
        <w:tc>
          <w:tcPr>
            <w:tcW w:type="dxa" w:w="4200"/>
            <w:tcMar>
              <w:top w:type="dxa" w:w="100"/>
              <w:left w:type="dxa" w:w="120"/>
              <w:bottom w:type="dxa" w:w="100"/>
              <w:right w:type="dxa" w:w="120"/>
            </w:tcMar>
          </w:tcPr>
          <w:p>
            <w:r>
              <w:rPr>
                <w:b w:val="false"/>
                <w:bCs w:val="false"/>
                <w:color w:val="000000"/>
                <w:sz w:val="20"/>
                <w:szCs w:val="20"/>
              </w:rPr>
              <w:t xml:space="preserve">Re-running the build, cleaning, and join pipeline on each new extract</w:t>
            </w:r>
          </w:p>
        </w:tc>
        <w:tc>
          <w:tcPr>
            <w:tcW w:type="dxa" w:w="2400"/>
            <w:tcMar>
              <w:top w:type="dxa" w:w="100"/>
              <w:left w:type="dxa" w:w="120"/>
              <w:bottom w:type="dxa" w:w="100"/>
              <w:right w:type="dxa" w:w="120"/>
            </w:tcMar>
          </w:tcPr>
          <w:p>
            <w:r>
              <w:rPr>
                <w:b w:val="false"/>
                <w:bCs w:val="false"/>
                <w:color w:val="000000"/>
                <w:sz w:val="20"/>
                <w:szCs w:val="20"/>
              </w:rPr>
              <w:t xml:space="preserve">Each refresh cycle</w:t>
            </w:r>
          </w:p>
        </w:tc>
      </w:tr>
      <w:tr>
        <w:tc>
          <w:tcPr>
            <w:tcW w:type="dxa" w:w="2600"/>
            <w:tcMar>
              <w:top w:type="dxa" w:w="100"/>
              <w:left w:type="dxa" w:w="120"/>
              <w:bottom w:type="dxa" w:w="100"/>
              <w:right w:type="dxa" w:w="120"/>
            </w:tcMar>
          </w:tcPr>
          <w:p>
            <w:r>
              <w:rPr>
                <w:b w:val="false"/>
                <w:bCs w:val="false"/>
                <w:color w:val="000000"/>
                <w:sz w:val="20"/>
                <w:szCs w:val="20"/>
              </w:rPr>
              <w:t xml:space="preserve">Word</w:t>
            </w:r>
          </w:p>
        </w:tc>
        <w:tc>
          <w:tcPr>
            <w:tcW w:type="dxa" w:w="4200"/>
            <w:tcMar>
              <w:top w:type="dxa" w:w="100"/>
              <w:left w:type="dxa" w:w="120"/>
              <w:bottom w:type="dxa" w:w="100"/>
              <w:right w:type="dxa" w:w="120"/>
            </w:tcMar>
          </w:tcPr>
          <w:p>
            <w:r>
              <w:rPr>
                <w:b w:val="false"/>
                <w:bCs w:val="false"/>
                <w:color w:val="000000"/>
                <w:sz w:val="20"/>
                <w:szCs w:val="20"/>
              </w:rPr>
              <w:t xml:space="preserve">Handover documentation: this plan, the data dictionary, and the error log</w:t>
            </w:r>
          </w:p>
        </w:tc>
        <w:tc>
          <w:tcPr>
            <w:tcW w:type="dxa" w:w="2400"/>
            <w:tcMar>
              <w:top w:type="dxa" w:w="100"/>
              <w:left w:type="dxa" w:w="120"/>
              <w:bottom w:type="dxa" w:w="100"/>
              <w:right w:type="dxa" w:w="120"/>
            </w:tcMar>
          </w:tcPr>
          <w:p>
            <w:r>
              <w:rPr>
                <w:b w:val="false"/>
                <w:bCs w:val="false"/>
                <w:color w:val="000000"/>
                <w:sz w:val="20"/>
                <w:szCs w:val="20"/>
              </w:rPr>
              <w:t xml:space="preserve">Day 10, updated as needed</w:t>
            </w:r>
          </w:p>
        </w:tc>
      </w:tr>
    </w:tbl>
    <w:p>
      <w:pPr>
        <w:spacing w:before="300"/>
      </w:pPr>
      <w:r>
        <w:rPr>
          <w:color w:val="000000"/>
          <w:sz w:val="20"/>
          <w:szCs w:val="20"/>
        </w:rPr>
        <w:t xml:space="preserve">Prepared by the Workforce Intelligence Project Team: Noah, Wynny, Abena, and Steve.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RAWIP · Maintenance &amp; Follow-Up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2026-08-09T18:35:21.104Z</dcterms:created>
  <dcterms:modified xsi:type="dcterms:W3CDTF">2026-08-09T18:35:21.121Z</dcterms:modified>
</cp:coreProperties>
</file>

<file path=docProps/custom.xml><?xml version="1.0" encoding="utf-8"?>
<Properties xmlns="http://schemas.openxmlformats.org/officeDocument/2006/custom-properties" xmlns:vt="http://schemas.openxmlformats.org/officeDocument/2006/docPropsVTypes"/>
</file>