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rPr>
          <w:b w:val="1"/>
          <w:bCs w:val="1"/>
        </w:rPr>
      </w:pPr>
      <w:r>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jc w:val="center"/>
        <w:rPr>
          <w:b w:val="1"/>
          <w:bCs w:val="1"/>
        </w:rPr>
      </w:pPr>
      <w:r>
        <w:rPr>
          <w:b w:val="1"/>
          <w:bCs w:val="1"/>
          <w:rtl w:val="0"/>
        </w:rPr>
        <w:t xml:space="preserve">Notes on Client Needs and Preferences from the Meeting</w:t>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rPr>
      </w:pPr>
      <w:r>
        <w:rPr>
          <w:rtl w:val="0"/>
        </w:rPr>
      </w:r>
    </w:p>
    <w:tbl>
      <w:tblPr>
        <w:tblStyle w:val="Table1"/>
        <w:tblW w:w="14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gridCol w:w="9375"/>
        <w:tblGridChange w:id="0">
          <w:tblGrid>
            <w:gridCol w:w="5445"/>
            <w:gridCol w:w="937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4">
            <w:pPr>
              <w:widowControl w:val="0"/>
              <w:rPr>
                <w:b w:val="1"/>
                <w:bCs w:val="1"/>
              </w:rPr>
            </w:pPr>
            <w:r>
              <w:rPr>
                <w:b w:val="1"/>
                <w:bCs w:val="1"/>
                <w:rtl w:val="0"/>
              </w:rPr>
              <w:t xml:space="preserve">Directions</w:t>
            </w:r>
          </w:p>
        </w:tc>
        <w:tc>
          <w:tcPr>
            <w:shd w:fill="efefef" w:val="clear"/>
            <w:tcMar>
              <w:top w:w="100.0" w:type="dxa"/>
              <w:left w:w="100.0" w:type="dxa"/>
              <w:bottom w:w="100.0" w:type="dxa"/>
              <w:right w:w="100.0" w:type="dxa"/>
            </w:tcMar>
          </w:tcPr>
          <w:p w:rsidR="00000000" w:rsidDel="00000000" w:rsidP="00000000" w:rsidRDefault="00000000" w:rsidRPr="00000000" w14:paraId="00000005">
            <w:pPr>
              <w:widowControl w:val="0"/>
              <w:rPr>
                <w:b w:val="1"/>
                <w:bCs w:val="1"/>
              </w:rPr>
            </w:pPr>
            <w:r>
              <w:rPr>
                <w:b w:val="1"/>
                <w:bCs w:val="1"/>
                <w:rtl w:val="0"/>
              </w:rPr>
              <w:t xml:space="preserve">Notes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widowControl w:val="0"/>
              <w:rPr/>
            </w:pPr>
            <w:r>
              <w:rPr>
                <w:rtl w:val="0"/>
              </w:rPr>
              <w:t xml:space="preserve">1. Client Information and Project Overview</w:t>
              <w:br w:type="textWrapping"/>
            </w:r>
          </w:p>
          <w:p w:rsidR="00000000" w:rsidDel="00000000" w:rsidP="00000000" w:rsidRDefault="00000000" w:rsidRPr="00000000" w14:paraId="00000007">
            <w:pPr>
              <w:widowControl w:val="0"/>
              <w:numPr>
                <w:ilvl w:val="0"/>
                <w:numId w:val="5"/>
              </w:numPr>
              <w:ind w:left="720" w:hanging="360"/>
              <w:rPr>
                <w:u w:val="none"/>
              </w:rPr>
            </w:pPr>
            <w:r>
              <w:rPr>
                <w:rtl w:val="0"/>
              </w:rPr>
              <w:t xml:space="preserve">Full name of the Client </w:t>
            </w:r>
          </w:p>
          <w:p w:rsidR="00000000" w:rsidDel="00000000" w:rsidP="00000000" w:rsidRDefault="00000000" w:rsidRPr="00000000" w14:paraId="00000008">
            <w:pPr>
              <w:widowControl w:val="0"/>
              <w:numPr>
                <w:ilvl w:val="0"/>
                <w:numId w:val="5"/>
              </w:numPr>
              <w:ind w:left="720" w:hanging="360"/>
              <w:rPr>
                <w:u w:val="none"/>
              </w:rPr>
            </w:pPr>
            <w:r>
              <w:rPr>
                <w:rtl w:val="0"/>
              </w:rPr>
              <w:t xml:space="preserve">Project Name and Purpose</w:t>
            </w:r>
          </w:p>
          <w:p w:rsidR="00000000" w:rsidDel="00000000" w:rsidP="00000000" w:rsidRDefault="00000000" w:rsidRPr="00000000" w14:paraId="00000009">
            <w:pPr>
              <w:widowControl w:val="0"/>
              <w:rPr/>
            </w:pPr>
            <w:r>
              <w:rPr>
                <w:rtl w:val="0"/>
              </w:rPr>
            </w:r>
          </w:p>
        </w:tc>
        <w:tc>
          <w:tcPr>
            <w:tcMar>
              <w:top w:w="100.0" w:type="dxa"/>
              <w:left w:w="100.0" w:type="dxa"/>
              <w:bottom w:w="100.0" w:type="dxa"/>
              <w:right w:w="100.0" w:type="dxa"/>
            </w:tcMar>
          </w:tcPr>
          <w:p>
            <w:pPr>
              <w:widowControl w:val="0"/>
              <w:spacing w:after="60" w:line="259" w:lineRule="auto"/>
              <w:rPr>
                <w:b w:val="1"/>
                <w:bCs w:val="1"/>
              </w:rPr>
            </w:pPr>
            <w:r>
              <w:rPr>
                <w:b w:val="1"/>
                <w:bCs w:val="1"/>
                <w:rtl w:val="0"/>
              </w:rPr>
              <w:t xml:space="preserve">Client</w:t>
            </w:r>
          </w:p>
          <w:p>
            <w:pPr>
              <w:widowControl w:val="0"/>
              <w:spacing w:after="60" w:line="259" w:lineRule="auto"/>
              <w:rPr/>
            </w:pPr>
            <w:r>
              <w:rPr>
                <w:rtl w:val="0"/>
              </w:rPr>
              <w:t xml:space="preserve">Roblox Africa Operations — Ghana Hub. The Ghana office is Roblox’s strategic regional hub for engineering, data and analytics, customer support, finance, HR, marketing, product management and operations teams.</w:t>
            </w:r>
          </w:p>
          <w:p>
            <w:pPr>
              <w:widowControl w:val="0"/>
              <w:spacing w:after="60" w:line="259" w:lineRule="auto"/>
              <w:rPr>
                <w:b w:val="1"/>
                <w:bCs w:val="1"/>
              </w:rPr>
            </w:pPr>
            <w:r>
              <w:rPr>
                <w:b w:val="1"/>
                <w:bCs w:val="1"/>
                <w:rtl w:val="0"/>
              </w:rPr>
              <w:t xml:space="preserve">Project name</w:t>
            </w:r>
          </w:p>
          <w:p>
            <w:pPr>
              <w:widowControl w:val="0"/>
              <w:spacing w:after="60" w:line="259" w:lineRule="auto"/>
              <w:rPr/>
            </w:pPr>
            <w:r>
              <w:rPr>
                <w:rtl w:val="0"/>
              </w:rPr>
              <w:t xml:space="preserve">Workforce Intelligence and Organizational Performance Analysis at Roblox Africa Operations (short name: Roblox Africa Workforce Intelligence Project).</w:t>
            </w:r>
          </w:p>
          <w:p>
            <w:pPr>
              <w:widowControl w:val="0"/>
              <w:spacing w:after="60" w:line="259" w:lineRule="auto"/>
              <w:rPr>
                <w:b w:val="1"/>
                <w:bCs w:val="1"/>
              </w:rPr>
            </w:pPr>
            <w:r>
              <w:rPr>
                <w:b w:val="1"/>
                <w:bCs w:val="1"/>
                <w:rtl w:val="0"/>
              </w:rPr>
              <w:t xml:space="preserve">Purpose</w:t>
            </w:r>
          </w:p>
          <w:p>
            <w:pPr>
              <w:widowControl w:val="0"/>
              <w:spacing w:after="60" w:line="259" w:lineRule="auto"/>
              <w:rPr/>
            </w:pPr>
            <w:r>
              <w:rPr>
                <w:rtl w:val="0"/>
              </w:rPr>
              <w:t xml:space="preserve">Over the last five years Roblox has invested heavily in talent acquisition, employee development, health benefits and compensation to support rapid growth in Africa. Leadership now has no single, unified view of whether those people-related decisions are producing business results, because the data sits in silos across HR, finance, health administration, education records, departmental and performance systems.</w:t>
            </w:r>
          </w:p>
          <w:p>
            <w:pPr>
              <w:widowControl w:val="0"/>
              <w:spacing w:after="60" w:line="259" w:lineRule="auto"/>
              <w:rPr/>
            </w:pPr>
            <w:r>
              <w:rPr>
                <w:rtl w:val="0"/>
              </w:rPr>
              <w:t xml:space="preserve">The project will integrate all seven internal datasets into one analytical view so that executives can evaluate organisational performance, employee wellbeing and cost efficiency, and make evidence-based rather than reactive decisions.</w:t>
            </w:r>
          </w:p>
        </w:tc>
      </w:tr>
      <w:tr>
        <w:trPr>
          <w:cantSplit w:val="0"/>
          <w:trHeight w:val="776.8505859375001" w:hRule="atLeast"/>
          <w:tblHeader w:val="0"/>
        </w:trPr>
        <w:tc>
          <w:tcPr>
            <w:tcMar>
              <w:top w:w="100.0" w:type="dxa"/>
              <w:left w:w="100.0" w:type="dxa"/>
              <w:bottom w:w="100.0" w:type="dxa"/>
              <w:right w:w="100.0" w:type="dxa"/>
            </w:tcMar>
          </w:tcPr>
          <w:p w:rsidR="00000000" w:rsidDel="00000000" w:rsidP="00000000" w:rsidRDefault="00000000" w:rsidRPr="00000000" w14:paraId="0000000B">
            <w:pPr>
              <w:widowControl w:val="0"/>
              <w:rPr/>
            </w:pPr>
            <w:r>
              <w:rPr>
                <w:rtl w:val="0"/>
              </w:rPr>
              <w:t xml:space="preserve">2. Objectives of the Solution</w:t>
            </w:r>
          </w:p>
          <w:p w:rsidR="00000000" w:rsidDel="00000000" w:rsidP="00000000" w:rsidRDefault="00000000" w:rsidRPr="00000000" w14:paraId="0000000C">
            <w:pPr>
              <w:widowControl w:val="0"/>
              <w:numPr>
                <w:ilvl w:val="0"/>
                <w:numId w:val="1"/>
              </w:numPr>
              <w:ind w:left="720" w:hanging="360"/>
            </w:pPr>
            <w:r>
              <w:rPr>
                <w:rtl w:val="0"/>
              </w:rPr>
              <w:t xml:space="preserve">Key questions the client wants answered (e.g. user preferences, genre popularity)</w:t>
              <w:br w:type="textWrapping"/>
            </w:r>
          </w:p>
          <w:p w:rsidR="00000000" w:rsidDel="00000000" w:rsidP="00000000" w:rsidRDefault="00000000" w:rsidRPr="00000000" w14:paraId="0000000D">
            <w:pPr>
              <w:widowControl w:val="0"/>
              <w:numPr>
                <w:ilvl w:val="0"/>
                <w:numId w:val="1"/>
              </w:numPr>
              <w:ind w:left="720" w:hanging="360"/>
            </w:pPr>
            <w:r>
              <w:rPr>
                <w:rtl w:val="0"/>
              </w:rPr>
              <w:t xml:space="preserve">Main goals for the platform (e.g. attracting subscribers, improving engagement)</w:t>
              <w:br w:type="textWrapping"/>
            </w:r>
          </w:p>
          <w:p w:rsidR="00000000" w:rsidDel="00000000" w:rsidP="00000000" w:rsidRDefault="00000000" w:rsidRPr="00000000" w14:paraId="0000000E">
            <w:pPr>
              <w:widowControl w:val="0"/>
              <w:numPr>
                <w:ilvl w:val="0"/>
                <w:numId w:val="1"/>
              </w:numPr>
              <w:ind w:left="720" w:hanging="360"/>
            </w:pPr>
            <w:r>
              <w:rPr>
                <w:rtl w:val="0"/>
              </w:rPr>
              <w:t xml:space="preserve">Types of insights needed (e.g. age-specific preferences, regional trends):</w:t>
              <w:br w:type="textWrapping"/>
            </w:r>
          </w:p>
          <w:p w:rsidR="00000000" w:rsidDel="00000000" w:rsidP="00000000" w:rsidRDefault="00000000" w:rsidRPr="00000000" w14:paraId="0000000F">
            <w:pPr>
              <w:widowControl w:val="0"/>
              <w:numPr>
                <w:ilvl w:val="0"/>
                <w:numId w:val="1"/>
              </w:numPr>
              <w:ind w:left="720" w:hanging="360"/>
            </w:pPr>
            <w:r>
              <w:rPr>
                <w:rtl w:val="0"/>
              </w:rPr>
              <w:t xml:space="preserve">Expected outputs (e.g. Power BI dashboard, actionable insights)</w:t>
            </w:r>
          </w:p>
        </w:tc>
        <w:tc>
          <w:tcPr>
            <w:tcMar>
              <w:top w:w="100.0" w:type="dxa"/>
              <w:left w:w="100.0" w:type="dxa"/>
              <w:bottom w:w="100.0" w:type="dxa"/>
              <w:right w:w="100.0" w:type="dxa"/>
            </w:tcMar>
          </w:tcPr>
          <w:p>
            <w:pPr>
              <w:widowControl w:val="0"/>
              <w:spacing w:after="60" w:line="259" w:lineRule="auto"/>
              <w:rPr>
                <w:b w:val="1"/>
                <w:bCs w:val="1"/>
              </w:rPr>
            </w:pPr>
            <w:r>
              <w:rPr>
                <w:b w:val="1"/>
                <w:bCs w:val="1"/>
                <w:rtl w:val="0"/>
              </w:rPr>
              <w:t xml:space="preserve">Key questions the client wants answered</w:t>
            </w:r>
          </w:p>
          <w:p>
            <w:pPr>
              <w:widowControl w:val="0"/>
              <w:spacing w:after="60" w:line="259" w:lineRule="auto"/>
              <w:ind w:left="284" w:hanging="284"/>
              <w:rPr/>
            </w:pPr>
            <w:r>
              <w:rPr>
                <w:rtl w:val="0"/>
              </w:rPr>
              <w:t xml:space="preserve">•  Are we hiring and placing the right talent in the right departments?</w:t>
            </w:r>
          </w:p>
          <w:p>
            <w:pPr>
              <w:widowControl w:val="0"/>
              <w:spacing w:after="60" w:line="259" w:lineRule="auto"/>
              <w:ind w:left="284" w:hanging="284"/>
              <w:rPr/>
            </w:pPr>
            <w:r>
              <w:rPr>
                <w:rtl w:val="0"/>
              </w:rPr>
              <w:t xml:space="preserve">•  How does employee education background influence department performance and compensation?</w:t>
            </w:r>
          </w:p>
          <w:p>
            <w:pPr>
              <w:widowControl w:val="0"/>
              <w:spacing w:after="60" w:line="259" w:lineRule="auto"/>
              <w:ind w:left="284" w:hanging="284"/>
              <w:rPr/>
            </w:pPr>
            <w:r>
              <w:rPr>
                <w:rtl w:val="0"/>
              </w:rPr>
              <w:t xml:space="preserve">•  Are health, education and compensation investments translating into productivity?</w:t>
            </w:r>
          </w:p>
          <w:p>
            <w:pPr>
              <w:widowControl w:val="0"/>
              <w:spacing w:after="60" w:line="259" w:lineRule="auto"/>
              <w:ind w:left="284" w:hanging="284"/>
              <w:rPr/>
            </w:pPr>
            <w:r>
              <w:rPr>
                <w:rtl w:val="0"/>
              </w:rPr>
              <w:t xml:space="preserve">•  Are there hidden risks in workforce distribution, costs or employee wellbeing?</w:t>
            </w:r>
          </w:p>
          <w:p>
            <w:pPr>
              <w:widowControl w:val="0"/>
              <w:spacing w:after="60" w:line="259" w:lineRule="auto"/>
              <w:rPr>
                <w:b w:val="1"/>
                <w:bCs w:val="1"/>
              </w:rPr>
            </w:pPr>
            <w:r>
              <w:rPr>
                <w:b w:val="1"/>
                <w:bCs w:val="1"/>
                <w:rtl w:val="0"/>
              </w:rPr>
              <w:t xml:space="preserve">Main goals</w:t>
            </w:r>
          </w:p>
          <w:p>
            <w:pPr>
              <w:widowControl w:val="0"/>
              <w:spacing w:after="60" w:line="259" w:lineRule="auto"/>
              <w:ind w:left="284" w:hanging="284"/>
              <w:rPr/>
            </w:pPr>
            <w:r>
              <w:rPr>
                <w:rtl w:val="0"/>
              </w:rPr>
              <w:t xml:space="preserve">•  Create one unified, reliable view of workforce data across all systems.</w:t>
            </w:r>
          </w:p>
          <w:p>
            <w:pPr>
              <w:widowControl w:val="0"/>
              <w:spacing w:after="60" w:line="259" w:lineRule="auto"/>
              <w:ind w:left="284" w:hanging="284"/>
              <w:rPr/>
            </w:pPr>
            <w:r>
              <w:rPr>
                <w:rtl w:val="0"/>
              </w:rPr>
              <w:t xml:space="preserve">•  Understand the true, total cost of the workforce.</w:t>
            </w:r>
          </w:p>
          <w:p>
            <w:pPr>
              <w:widowControl w:val="0"/>
              <w:spacing w:after="60" w:line="259" w:lineRule="auto"/>
              <w:ind w:left="284" w:hanging="284"/>
              <w:rPr/>
            </w:pPr>
            <w:r>
              <w:rPr>
                <w:rtl w:val="0"/>
              </w:rPr>
              <w:t xml:space="preserve">•  Assess alignment between employees’ education and their actual job placement.</w:t>
            </w:r>
          </w:p>
          <w:p>
            <w:pPr>
              <w:widowControl w:val="0"/>
              <w:spacing w:after="60" w:line="259" w:lineRule="auto"/>
              <w:ind w:left="284" w:hanging="284"/>
              <w:rPr/>
            </w:pPr>
            <w:r>
              <w:rPr>
                <w:rtl w:val="0"/>
              </w:rPr>
              <w:t xml:space="preserve">•  Monitor employee wellbeing and insurance-related operational risk.</w:t>
            </w:r>
          </w:p>
          <w:p>
            <w:pPr>
              <w:widowControl w:val="0"/>
              <w:spacing w:after="60" w:line="259" w:lineRule="auto"/>
              <w:ind w:left="284" w:hanging="284"/>
              <w:rPr/>
            </w:pPr>
            <w:r>
              <w:rPr>
                <w:rtl w:val="0"/>
              </w:rPr>
              <w:t xml:space="preserve">•  Identify inefficiencies in departmental staffing and spend.</w:t>
            </w:r>
          </w:p>
          <w:p>
            <w:pPr>
              <w:widowControl w:val="0"/>
              <w:spacing w:after="60" w:line="259" w:lineRule="auto"/>
              <w:ind w:left="284" w:hanging="284"/>
              <w:rPr/>
            </w:pPr>
            <w:r>
              <w:rPr>
                <w:rtl w:val="0"/>
              </w:rPr>
              <w:t xml:space="preserve">•  Support evidence-based decisions on hiring, promotion and benefits.</w:t>
            </w:r>
          </w:p>
          <w:p>
            <w:pPr>
              <w:widowControl w:val="0"/>
              <w:spacing w:after="60" w:line="259" w:lineRule="auto"/>
              <w:rPr>
                <w:b w:val="1"/>
                <w:bCs w:val="1"/>
              </w:rPr>
            </w:pPr>
            <w:r>
              <w:rPr>
                <w:b w:val="1"/>
                <w:bCs w:val="1"/>
                <w:rtl w:val="0"/>
              </w:rPr>
              <w:t xml:space="preserve">Types of insights needed</w:t>
            </w:r>
          </w:p>
          <w:p>
            <w:pPr>
              <w:widowControl w:val="0"/>
              <w:spacing w:after="60" w:line="259" w:lineRule="auto"/>
              <w:ind w:left="284" w:hanging="284"/>
              <w:rPr/>
            </w:pPr>
            <w:r>
              <w:rPr>
                <w:rtl w:val="0"/>
              </w:rPr>
              <w:t xml:space="preserve">•  Workforce composition by department, role, gender, age band and employment status.</w:t>
            </w:r>
          </w:p>
          <w:p>
            <w:pPr>
              <w:widowControl w:val="0"/>
              <w:spacing w:after="60" w:line="259" w:lineRule="auto"/>
              <w:ind w:left="284" w:hanging="284"/>
              <w:rPr/>
            </w:pPr>
            <w:r>
              <w:rPr>
                <w:rtl w:val="0"/>
              </w:rPr>
              <w:t xml:space="preserve">•  Education level and field of study compared against department and position held.</w:t>
            </w:r>
          </w:p>
          <w:p>
            <w:pPr>
              <w:widowControl w:val="0"/>
              <w:spacing w:after="60" w:line="259" w:lineRule="auto"/>
              <w:ind w:left="284" w:hanging="284"/>
              <w:rPr/>
            </w:pPr>
            <w:r>
              <w:rPr>
                <w:rtl w:val="0"/>
              </w:rPr>
              <w:t xml:space="preserve">•  Compensation patterns and cost distribution across departments (in USD).</w:t>
            </w:r>
          </w:p>
          <w:p>
            <w:pPr>
              <w:widowControl w:val="0"/>
              <w:spacing w:after="60" w:line="259" w:lineRule="auto"/>
              <w:ind w:left="284" w:hanging="284"/>
              <w:rPr/>
            </w:pPr>
            <w:r>
              <w:rPr>
                <w:rtl w:val="0"/>
              </w:rPr>
              <w:t xml:space="preserve">•  Health-related operational risk: insurance status, plan type and medical leave balances.</w:t>
            </w:r>
          </w:p>
          <w:p>
            <w:pPr>
              <w:widowControl w:val="0"/>
              <w:spacing w:after="60" w:line="259" w:lineRule="auto"/>
              <w:ind w:left="284" w:hanging="284"/>
              <w:rPr/>
            </w:pPr>
            <w:r>
              <w:rPr>
                <w:rtl w:val="0"/>
              </w:rPr>
              <w:t xml:space="preserve">•  Departmental efficiency: revenue generated versus cost, training hours and average performance score, 2021–2025.</w:t>
            </w:r>
          </w:p>
          <w:p>
            <w:pPr>
              <w:widowControl w:val="0"/>
              <w:spacing w:after="60" w:line="259" w:lineRule="auto"/>
              <w:rPr>
                <w:b w:val="1"/>
                <w:bCs w:val="1"/>
              </w:rPr>
            </w:pPr>
            <w:r>
              <w:rPr>
                <w:b w:val="1"/>
                <w:bCs w:val="1"/>
                <w:rtl w:val="0"/>
              </w:rPr>
              <w:t xml:space="preserve">Expected outputs</w:t>
            </w:r>
          </w:p>
          <w:p>
            <w:pPr>
              <w:widowControl w:val="0"/>
              <w:spacing w:after="60" w:line="259" w:lineRule="auto"/>
              <w:ind w:left="284" w:hanging="284"/>
              <w:rPr/>
            </w:pPr>
            <w:r>
              <w:rPr>
                <w:rtl w:val="0"/>
              </w:rPr>
              <w:t xml:space="preserve">•  Cleaned and integrated analytical dataset.</w:t>
            </w:r>
          </w:p>
          <w:p>
            <w:pPr>
              <w:widowControl w:val="0"/>
              <w:spacing w:after="60" w:line="259" w:lineRule="auto"/>
              <w:ind w:left="284" w:hanging="284"/>
              <w:rPr/>
            </w:pPr>
            <w:r>
              <w:rPr>
                <w:rtl w:val="0"/>
              </w:rPr>
              <w:t xml:space="preserve">•  Data dictionary and schema documentation.</w:t>
            </w:r>
          </w:p>
          <w:p>
            <w:pPr>
              <w:widowControl w:val="0"/>
              <w:spacing w:after="60" w:line="259" w:lineRule="auto"/>
              <w:ind w:left="284" w:hanging="284"/>
              <w:rPr/>
            </w:pPr>
            <w:r>
              <w:rPr>
                <w:rtl w:val="0"/>
              </w:rPr>
              <w:t xml:space="preserve">•  Insight-driven analysis report.</w:t>
            </w:r>
          </w:p>
          <w:p>
            <w:pPr>
              <w:widowControl w:val="0"/>
              <w:spacing w:after="60" w:line="259" w:lineRule="auto"/>
              <w:ind w:left="284" w:hanging="284"/>
              <w:rPr/>
            </w:pPr>
            <w:r>
              <w:rPr>
                <w:rtl w:val="0"/>
              </w:rPr>
              <w:t xml:space="preserve">•  Executive-level Power BI dashboards.</w:t>
            </w:r>
          </w:p>
          <w:p>
            <w:pPr>
              <w:widowControl w:val="0"/>
              <w:spacing w:after="60" w:line="259" w:lineRule="auto"/>
              <w:ind w:left="284" w:hanging="284"/>
              <w:rPr/>
            </w:pPr>
            <w:r>
              <w:rPr>
                <w:rtl w:val="0"/>
              </w:rPr>
              <w:t xml:space="preserve">•  Actionable recommendations for leadership.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rPr/>
            </w:pPr>
            <w:r>
              <w:rPr>
                <w:rtl w:val="0"/>
              </w:rPr>
              <w:t xml:space="preserve">3. Data Requirements:</w:t>
            </w:r>
          </w:p>
          <w:p w:rsidR="00000000" w:rsidDel="00000000" w:rsidP="00000000" w:rsidRDefault="00000000" w:rsidRPr="00000000" w14:paraId="00000012">
            <w:pPr>
              <w:widowControl w:val="0"/>
              <w:numPr>
                <w:ilvl w:val="0"/>
                <w:numId w:val="4"/>
              </w:numPr>
              <w:ind w:left="720" w:hanging="360"/>
            </w:pPr>
            <w:r>
              <w:rPr>
                <w:rtl w:val="0"/>
              </w:rPr>
              <w:t xml:space="preserve">Types of data involved (e.g. ratings, watch time, user demographics)</w:t>
              <w:br w:type="textWrapping"/>
            </w:r>
          </w:p>
          <w:p w:rsidR="00000000" w:rsidDel="00000000" w:rsidP="00000000" w:rsidRDefault="00000000" w:rsidRPr="00000000" w14:paraId="00000013">
            <w:pPr>
              <w:widowControl w:val="0"/>
              <w:numPr>
                <w:ilvl w:val="0"/>
                <w:numId w:val="4"/>
              </w:numPr>
              <w:ind w:left="720" w:hanging="360"/>
            </w:pPr>
            <w:r>
              <w:rPr>
                <w:rtl w:val="0"/>
              </w:rPr>
              <w:t xml:space="preserve">Format and availability of data (e.g. CSV files, database access)</w:t>
              <w:br w:type="textWrapping"/>
            </w:r>
          </w:p>
          <w:p w:rsidR="00000000" w:rsidDel="00000000" w:rsidP="00000000" w:rsidRDefault="00000000" w:rsidRPr="00000000" w14:paraId="00000014">
            <w:pPr>
              <w:widowControl w:val="0"/>
              <w:numPr>
                <w:ilvl w:val="0"/>
                <w:numId w:val="4"/>
              </w:numPr>
              <w:ind w:left="720" w:hanging="360"/>
            </w:pPr>
            <w:r>
              <w:rPr>
                <w:rtl w:val="0"/>
              </w:rPr>
              <w:t xml:space="preserve">Any gaps or limitations in the data</w:t>
            </w:r>
          </w:p>
        </w:tc>
        <w:tc>
          <w:tcPr>
            <w:tcMar>
              <w:top w:w="100.0" w:type="dxa"/>
              <w:left w:w="100.0" w:type="dxa"/>
              <w:bottom w:w="100.0" w:type="dxa"/>
              <w:right w:w="100.0" w:type="dxa"/>
            </w:tcMar>
          </w:tcPr>
          <w:p>
            <w:pPr>
              <w:widowControl w:val="0"/>
              <w:spacing w:after="60" w:line="259" w:lineRule="auto"/>
              <w:rPr>
                <w:b w:val="1"/>
                <w:bCs w:val="1"/>
              </w:rPr>
            </w:pPr>
            <w:r>
              <w:rPr>
                <w:b w:val="1"/>
                <w:bCs w:val="1"/>
                <w:rtl w:val="0"/>
              </w:rPr>
              <w:t xml:space="preserve">Types of data involved (seven internal datasets)</w:t>
            </w:r>
          </w:p>
          <w:p>
            <w:pPr>
              <w:widowControl w:val="0"/>
              <w:spacing w:after="60" w:line="259" w:lineRule="auto"/>
              <w:ind w:left="284" w:hanging="284"/>
              <w:rPr/>
            </w:pPr>
            <w:r>
              <w:rPr>
                <w:rtl w:val="0"/>
              </w:rPr>
              <w:t xml:space="preserve">•  Employee dataset — the central dimension table: employee ID, names, age, position, date joined, phone, gender, status, department code, email. 30,004 rows / 30,000 unique employees.</w:t>
            </w:r>
          </w:p>
          <w:p>
            <w:pPr>
              <w:widowControl w:val="0"/>
              <w:spacing w:after="60" w:line="259" w:lineRule="auto"/>
              <w:ind w:left="284" w:hanging="284"/>
              <w:rPr/>
            </w:pPr>
            <w:r>
              <w:rPr>
                <w:rtl w:val="0"/>
              </w:rPr>
              <w:t xml:space="preserve">•  Department dataset — lookup table linking department code to department name. 8 rows.</w:t>
            </w:r>
          </w:p>
          <w:p>
            <w:pPr>
              <w:widowControl w:val="0"/>
              <w:spacing w:after="60" w:line="259" w:lineRule="auto"/>
              <w:ind w:left="284" w:hanging="284"/>
              <w:rPr/>
            </w:pPr>
            <w:r>
              <w:rPr>
                <w:rtl w:val="0"/>
              </w:rPr>
              <w:t xml:space="preserve">•  Education dataset — institution, country, education level, degree title, field of study, graduation date. 30,001 rows.</w:t>
            </w:r>
          </w:p>
          <w:p>
            <w:pPr>
              <w:widowControl w:val="0"/>
              <w:spacing w:after="60" w:line="259" w:lineRule="auto"/>
              <w:ind w:left="284" w:hanging="284"/>
              <w:rPr/>
            </w:pPr>
            <w:r>
              <w:rPr>
                <w:rtl w:val="0"/>
              </w:rPr>
              <w:t xml:space="preserve">•  Health dataset — administrative wellbeing data: insurance status, provider, plan type, policy number, medical leave eligibility and balance. 30,000 rows.</w:t>
            </w:r>
          </w:p>
          <w:p>
            <w:pPr>
              <w:widowControl w:val="0"/>
              <w:spacing w:after="60" w:line="259" w:lineRule="auto"/>
              <w:ind w:left="284" w:hanging="284"/>
              <w:rPr/>
            </w:pPr>
            <w:r>
              <w:rPr>
                <w:rtl w:val="0"/>
              </w:rPr>
              <w:t xml:space="preserve">•  Finance dataset — basic salary, allowances, bank, account number, tax ID. 30,000 rows.</w:t>
            </w:r>
          </w:p>
          <w:p>
            <w:pPr>
              <w:widowControl w:val="0"/>
              <w:spacing w:after="60" w:line="259" w:lineRule="auto"/>
              <w:ind w:left="284" w:hanging="284"/>
              <w:rPr/>
            </w:pPr>
            <w:r>
              <w:rPr>
                <w:rtl w:val="0"/>
              </w:rPr>
              <w:t xml:space="preserve">•  Employee performance dataset — per employee per year: performance score, projects completed, training hours, attendance rate, bonus awarded. 150,000 rows (30,000 employees × 5 years).</w:t>
            </w:r>
          </w:p>
          <w:p>
            <w:pPr>
              <w:widowControl w:val="0"/>
              <w:spacing w:after="60" w:line="259" w:lineRule="auto"/>
              <w:ind w:left="284" w:hanging="284"/>
              <w:rPr/>
            </w:pPr>
            <w:r>
              <w:rPr>
                <w:rtl w:val="0"/>
              </w:rPr>
              <w:t xml:space="preserve">•  Department performance dataset — per department per year: average performance score, total revenue generated, total cost, training hours. 40 rows (8 departments × 5 years, 2021–2025).</w:t>
            </w:r>
          </w:p>
          <w:p>
            <w:pPr>
              <w:widowControl w:val="0"/>
              <w:spacing w:after="60" w:line="259" w:lineRule="auto"/>
              <w:rPr>
                <w:b w:val="1"/>
                <w:bCs w:val="1"/>
              </w:rPr>
            </w:pPr>
            <w:r>
              <w:rPr>
                <w:b w:val="1"/>
                <w:bCs w:val="1"/>
                <w:rtl w:val="0"/>
              </w:rPr>
              <w:t xml:space="preserve">Format and availability</w:t>
            </w:r>
          </w:p>
          <w:p>
            <w:pPr>
              <w:widowControl w:val="0"/>
              <w:spacing w:after="60" w:line="259" w:lineRule="auto"/>
              <w:rPr/>
            </w:pPr>
            <w:r>
              <w:rPr>
                <w:rtl w:val="0"/>
              </w:rPr>
              <w:t xml:space="preserve">All seven datasets are supplied by the client as Microsoft Excel (.xlsx) extracts. There is no live access to the source systems, so any correction must be requested from the client in writing.</w:t>
            </w:r>
          </w:p>
          <w:p>
            <w:pPr>
              <w:widowControl w:val="0"/>
              <w:spacing w:after="60" w:line="259" w:lineRule="auto"/>
              <w:rPr>
                <w:b w:val="1"/>
                <w:bCs w:val="1"/>
              </w:rPr>
            </w:pPr>
            <w:r>
              <w:rPr>
                <w:b w:val="1"/>
                <w:bCs w:val="1"/>
                <w:rtl w:val="0"/>
              </w:rPr>
              <w:t xml:space="preserve">Gaps and limitations identified</w:t>
            </w:r>
          </w:p>
          <w:p>
            <w:pPr>
              <w:widowControl w:val="0"/>
              <w:spacing w:after="60" w:line="259" w:lineRule="auto"/>
              <w:ind w:left="284" w:hanging="284"/>
              <w:rPr/>
            </w:pPr>
            <w:r>
              <w:rPr>
                <w:rtl w:val="0"/>
              </w:rPr>
              <w:t xml:space="preserve">•  The employee identifier is named differently in every file (EmployeeID / employee_id / StaffID / Employee ID) and there is no supplied schema or data dictionary.</w:t>
            </w:r>
          </w:p>
          <w:p>
            <w:pPr>
              <w:widowControl w:val="0"/>
              <w:spacing w:after="60" w:line="259" w:lineRule="auto"/>
              <w:ind w:left="284" w:hanging="284"/>
              <w:rPr/>
            </w:pPr>
            <w:r>
              <w:rPr>
                <w:rtl w:val="0"/>
              </w:rPr>
              <w:t xml:space="preserve">•  The employee dataset contains missing values (gender, employee status, phone number, last name, department code) and duplicate records.</w:t>
            </w:r>
          </w:p>
          <w:p>
            <w:pPr>
              <w:widowControl w:val="0"/>
              <w:spacing w:after="60" w:line="259" w:lineRule="auto"/>
              <w:ind w:left="284" w:hanging="284"/>
              <w:rPr/>
            </w:pPr>
            <w:r>
              <w:rPr>
                <w:rtl w:val="0"/>
              </w:rPr>
              <w:t xml:space="preserve">•  Invalid values are present, including negative ages and an inconsistent gender spelling.</w:t>
            </w:r>
          </w:p>
          <w:p>
            <w:pPr>
              <w:widowControl w:val="0"/>
              <w:spacing w:after="60" w:line="259" w:lineRule="auto"/>
              <w:ind w:left="284" w:hanging="284"/>
              <w:rPr/>
            </w:pPr>
            <w:r>
              <w:rPr>
                <w:rtl w:val="0"/>
              </w:rPr>
              <w:t xml:space="preserve">•  Date Joined is stored as an Excel serial number and phone numbers are stored as numbers rather than text.</w:t>
            </w:r>
          </w:p>
          <w:p>
            <w:pPr>
              <w:widowControl w:val="0"/>
              <w:spacing w:after="60" w:line="259" w:lineRule="auto"/>
              <w:ind w:left="284" w:hanging="284"/>
              <w:rPr/>
            </w:pPr>
            <w:r>
              <w:rPr>
                <w:rtl w:val="0"/>
              </w:rPr>
              <w:t xml:space="preserve">•  The finance dataset does not state a currency — to be confirmed with the client.</w:t>
            </w:r>
          </w:p>
          <w:p>
            <w:pPr>
              <w:widowControl w:val="0"/>
              <w:spacing w:after="60" w:line="259" w:lineRule="auto"/>
              <w:ind w:left="284" w:hanging="284"/>
              <w:rPr/>
            </w:pPr>
            <w:r>
              <w:rPr>
                <w:rtl w:val="0"/>
              </w:rPr>
              <w:t xml:space="preserve">•  The health dataset is administrative (insurance and leave), not clinical, so it cannot support any medical or diagnostic conclusion.</w:t>
            </w:r>
          </w:p>
          <w:p>
            <w:pPr>
              <w:widowControl w:val="0"/>
              <w:spacing w:after="60" w:line="259" w:lineRule="auto"/>
              <w:ind w:left="284" w:hanging="284"/>
              <w:rPr/>
            </w:pPr>
            <w:r>
              <w:rPr>
                <w:rtl w:val="0"/>
              </w:rPr>
              <w:t xml:space="preserve">•  There is no leaver / exit date, job grade or tenure band, so attrition cannot be measured directly in this phase.</w:t>
            </w:r>
          </w:p>
          <w:p>
            <w:pPr>
              <w:widowControl w:val="0"/>
              <w:spacing w:after="60" w:line="259" w:lineRule="auto"/>
              <w:ind w:left="284" w:hanging="284"/>
              <w:rPr/>
            </w:pPr>
            <w:r>
              <w:rPr>
                <w:rtl w:val="0"/>
              </w:rPr>
              <w:t xml:space="preserve">•  Department performance is aggregated annually and cannot be traced back to individual employees.</w:t>
            </w:r>
          </w:p>
          <w:p>
            <w:pPr>
              <w:widowControl w:val="0"/>
              <w:spacing w:after="60" w:line="259" w:lineRule="auto"/>
              <w:ind w:left="284" w:hanging="284"/>
              <w:rPr/>
            </w:pPr>
            <w:r>
              <w:rPr>
                <w:rtl w:val="0"/>
              </w:rPr>
              <w:t xml:space="preserve">•  The three datasets have different grains (per employee, per employee-year, per department-year), which must be handled carefully to avoid double counting cost.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rPr/>
            </w:pPr>
            <w:r>
              <w:rPr>
                <w:rtl w:val="0"/>
              </w:rPr>
              <w:t xml:space="preserve">4. The required timeframe and any project constraints</w:t>
            </w:r>
          </w:p>
        </w:tc>
        <w:tc>
          <w:tcPr>
            <w:tcMar>
              <w:top w:w="100.0" w:type="dxa"/>
              <w:left w:w="100.0" w:type="dxa"/>
              <w:bottom w:w="100.0" w:type="dxa"/>
              <w:right w:w="100.0" w:type="dxa"/>
            </w:tcMar>
          </w:tcPr>
          <w:p>
            <w:pPr>
              <w:widowControl w:val="0"/>
              <w:spacing w:after="60" w:line="259" w:lineRule="auto"/>
              <w:rPr>
                <w:b w:val="1"/>
                <w:bCs w:val="1"/>
              </w:rPr>
            </w:pPr>
            <w:r>
              <w:rPr>
                <w:b w:val="1"/>
                <w:bCs w:val="1"/>
                <w:rtl w:val="0"/>
              </w:rPr>
              <w:t xml:space="preserve">Timeframe</w:t>
            </w:r>
          </w:p>
          <w:p>
            <w:pPr>
              <w:widowControl w:val="0"/>
              <w:spacing w:after="60" w:line="259" w:lineRule="auto"/>
              <w:rPr/>
            </w:pPr>
            <w:r>
              <w:rPr>
                <w:rtl w:val="0"/>
              </w:rPr>
              <w:t xml:space="preserve">Ten working days: Monday 27 July 2026 to Friday 7 August 2026, with the final dashboard, report and presentation delivered on the last day.</w:t>
            </w:r>
          </w:p>
          <w:p>
            <w:pPr>
              <w:widowControl w:val="0"/>
              <w:spacing w:after="60" w:line="259" w:lineRule="auto"/>
              <w:rPr>
                <w:b w:val="1"/>
                <w:bCs w:val="1"/>
              </w:rPr>
            </w:pPr>
            <w:r>
              <w:rPr>
                <w:b w:val="1"/>
                <w:bCs w:val="1"/>
                <w:rtl w:val="0"/>
              </w:rPr>
              <w:t xml:space="preserve">Constraints</w:t>
            </w:r>
          </w:p>
          <w:p>
            <w:pPr>
              <w:widowControl w:val="0"/>
              <w:spacing w:after="60" w:line="259" w:lineRule="auto"/>
              <w:ind w:left="284" w:hanging="284"/>
              <w:rPr/>
            </w:pPr>
            <w:r>
              <w:rPr>
                <w:rtl w:val="0"/>
              </w:rPr>
              <w:t xml:space="preserve">•  Analysis is limited to the seven supplied datasets — no interviews, surveys or external benchmarking data.</w:t>
            </w:r>
          </w:p>
          <w:p>
            <w:pPr>
              <w:widowControl w:val="0"/>
              <w:spacing w:after="60" w:line="259" w:lineRule="auto"/>
              <w:ind w:left="284" w:hanging="284"/>
              <w:rPr/>
            </w:pPr>
            <w:r>
              <w:rPr>
                <w:rtl w:val="0"/>
              </w:rPr>
              <w:t xml:space="preserve">•  No direct access to source systems; corrections must be requested from the client by email, which introduces waiting time.</w:t>
            </w:r>
          </w:p>
          <w:p>
            <w:pPr>
              <w:widowControl w:val="0"/>
              <w:spacing w:after="60" w:line="259" w:lineRule="auto"/>
              <w:ind w:left="284" w:hanging="284"/>
              <w:rPr/>
            </w:pPr>
            <w:r>
              <w:rPr>
                <w:rtl w:val="0"/>
              </w:rPr>
              <w:t xml:space="preserve">•  Personal and sensitive fields (names, phone numbers, email addresses, bank account numbers, tax IDs, insurance policy numbers) must be handled confidentially and masked or excluded from any published dashboard.</w:t>
            </w:r>
          </w:p>
          <w:p>
            <w:pPr>
              <w:widowControl w:val="0"/>
              <w:spacing w:after="60" w:line="259" w:lineRule="auto"/>
              <w:ind w:left="284" w:hanging="284"/>
              <w:rPr/>
            </w:pPr>
            <w:r>
              <w:rPr>
                <w:rtl w:val="0"/>
              </w:rPr>
              <w:t xml:space="preserve">•  The 150,000-row performance dataset is slow to handle in Excel alone, so Python and SQL will be used for processing.</w:t>
            </w:r>
          </w:p>
          <w:p>
            <w:pPr>
              <w:widowControl w:val="0"/>
              <w:spacing w:after="60" w:line="259" w:lineRule="auto"/>
              <w:ind w:left="284" w:hanging="284"/>
              <w:rPr/>
            </w:pPr>
            <w:r>
              <w:rPr>
                <w:rtl w:val="0"/>
              </w:rPr>
              <w:t xml:space="preserve">•  The solution must be reproducible and documented so it can serve as the foundation for later predictive work.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rPr/>
            </w:pPr>
            <w:r>
              <w:rPr>
                <w:rtl w:val="0"/>
              </w:rPr>
              <w:t xml:space="preserve">5. Technical Prerequisites and Deliverables: </w:t>
            </w:r>
          </w:p>
          <w:p w:rsidR="00000000" w:rsidDel="00000000" w:rsidP="00000000" w:rsidRDefault="00000000" w:rsidRPr="00000000" w14:paraId="0000001B">
            <w:pPr>
              <w:widowControl w:val="0"/>
              <w:numPr>
                <w:ilvl w:val="0"/>
                <w:numId w:val="3"/>
              </w:numPr>
              <w:ind w:left="720" w:hanging="360"/>
              <w:rPr>
                <w:u w:val="none"/>
              </w:rPr>
            </w:pPr>
            <w:r>
              <w:rPr>
                <w:rtl w:val="0"/>
              </w:rPr>
              <w:t xml:space="preserve">Reporting tools to be used</w:t>
            </w:r>
          </w:p>
          <w:p w:rsidR="00000000" w:rsidDel="00000000" w:rsidP="00000000" w:rsidRDefault="00000000" w:rsidRPr="00000000" w14:paraId="0000001C">
            <w:pPr>
              <w:widowControl w:val="0"/>
              <w:numPr>
                <w:ilvl w:val="0"/>
                <w:numId w:val="3"/>
              </w:numPr>
              <w:ind w:left="720" w:hanging="360"/>
              <w:rPr>
                <w:u w:val="none"/>
              </w:rPr>
            </w:pPr>
            <w:r>
              <w:rPr>
                <w:rtl w:val="0"/>
              </w:rPr>
              <w:t xml:space="preserve">Data Analysis tools/ languages/ applications to be used</w:t>
            </w:r>
          </w:p>
          <w:p w:rsidR="00000000" w:rsidDel="00000000" w:rsidP="00000000" w:rsidRDefault="00000000" w:rsidRPr="00000000" w14:paraId="0000001D">
            <w:pPr>
              <w:widowControl w:val="0"/>
              <w:rPr/>
            </w:pPr>
            <w:r>
              <w:rPr>
                <w:rtl w:val="0"/>
              </w:rPr>
              <w:t xml:space="preserve">  </w:t>
            </w:r>
          </w:p>
        </w:tc>
        <w:tc>
          <w:tcPr>
            <w:tcMar>
              <w:top w:w="100.0" w:type="dxa"/>
              <w:left w:w="100.0" w:type="dxa"/>
              <w:bottom w:w="100.0" w:type="dxa"/>
              <w:right w:w="100.0" w:type="dxa"/>
            </w:tcMar>
          </w:tcPr>
          <w:p>
            <w:pPr>
              <w:widowControl w:val="0"/>
              <w:spacing w:after="60" w:line="259" w:lineRule="auto"/>
              <w:rPr>
                <w:b w:val="1"/>
                <w:bCs w:val="1"/>
              </w:rPr>
            </w:pPr>
            <w:r>
              <w:rPr>
                <w:b w:val="1"/>
                <w:bCs w:val="1"/>
                <w:rtl w:val="0"/>
              </w:rPr>
              <w:t xml:space="preserve">Reporting tools</w:t>
            </w:r>
          </w:p>
          <w:p>
            <w:pPr>
              <w:widowControl w:val="0"/>
              <w:spacing w:after="60" w:line="259" w:lineRule="auto"/>
              <w:ind w:left="284" w:hanging="284"/>
              <w:rPr/>
            </w:pPr>
            <w:r>
              <w:rPr>
                <w:rtl w:val="0"/>
              </w:rPr>
              <w:t xml:space="preserve">•  Power BI Desktop — data model, DAX measures and the executive dashboard.</w:t>
            </w:r>
          </w:p>
          <w:p>
            <w:pPr>
              <w:widowControl w:val="0"/>
              <w:spacing w:after="60" w:line="259" w:lineRule="auto"/>
              <w:ind w:left="284" w:hanging="284"/>
              <w:rPr/>
            </w:pPr>
            <w:r>
              <w:rPr>
                <w:rtl w:val="0"/>
              </w:rPr>
              <w:t xml:space="preserve">•  Microsoft Word — documentation, error log, client correspondence and the analysis report.</w:t>
            </w:r>
          </w:p>
          <w:p>
            <w:pPr>
              <w:widowControl w:val="0"/>
              <w:spacing w:after="60" w:line="259" w:lineRule="auto"/>
              <w:ind w:left="284" w:hanging="284"/>
              <w:rPr/>
            </w:pPr>
            <w:r>
              <w:rPr>
                <w:rtl w:val="0"/>
              </w:rPr>
              <w:t xml:space="preserve">•  Microsoft PowerPoint — final presentation to leadership.</w:t>
            </w:r>
          </w:p>
          <w:p>
            <w:pPr>
              <w:widowControl w:val="0"/>
              <w:spacing w:after="60" w:line="259" w:lineRule="auto"/>
              <w:rPr>
                <w:b w:val="1"/>
                <w:bCs w:val="1"/>
              </w:rPr>
            </w:pPr>
            <w:r>
              <w:rPr>
                <w:b w:val="1"/>
                <w:bCs w:val="1"/>
                <w:rtl w:val="0"/>
              </w:rPr>
              <w:t xml:space="preserve">Data analysis tools, languages and applications</w:t>
            </w:r>
          </w:p>
          <w:p>
            <w:pPr>
              <w:widowControl w:val="0"/>
              <w:spacing w:after="60" w:line="259" w:lineRule="auto"/>
              <w:ind w:left="284" w:hanging="284"/>
              <w:rPr/>
            </w:pPr>
            <w:r>
              <w:rPr>
                <w:rtl w:val="0"/>
              </w:rPr>
              <w:t xml:space="preserve">•  Microsoft Excel — initial profiling, Power Query cleaning and PivotTable checks.</w:t>
            </w:r>
          </w:p>
          <w:p>
            <w:pPr>
              <w:widowControl w:val="0"/>
              <w:spacing w:after="60" w:line="259" w:lineRule="auto"/>
              <w:ind w:left="284" w:hanging="284"/>
              <w:rPr/>
            </w:pPr>
            <w:r>
              <w:rPr>
                <w:rtl w:val="0"/>
              </w:rPr>
              <w:t xml:space="preserve">•  Python (pandas) — profiling, cleaning and a reproducible cleaning script.</w:t>
            </w:r>
          </w:p>
          <w:p>
            <w:pPr>
              <w:widowControl w:val="0"/>
              <w:spacing w:after="60" w:line="259" w:lineRule="auto"/>
              <w:ind w:left="284" w:hanging="284"/>
              <w:rPr/>
            </w:pPr>
            <w:r>
              <w:rPr>
                <w:rtl w:val="0"/>
              </w:rPr>
              <w:t xml:space="preserve">•  SQL — database creation, primary and foreign keys, joins and grouped analysis queries.</w:t>
            </w:r>
          </w:p>
          <w:p>
            <w:pPr>
              <w:widowControl w:val="0"/>
              <w:spacing w:after="60" w:line="259" w:lineRule="auto"/>
              <w:ind w:left="284" w:hanging="284"/>
              <w:rPr/>
            </w:pPr>
            <w:r>
              <w:rPr>
                <w:rtl w:val="0"/>
              </w:rPr>
              <w:t xml:space="preserve">•  draw.io — entity relationship diagram and schema documentation.</w:t>
            </w:r>
          </w:p>
          <w:p>
            <w:pPr>
              <w:widowControl w:val="0"/>
              <w:spacing w:after="60" w:line="259" w:lineRule="auto"/>
              <w:rPr>
                <w:b w:val="1"/>
                <w:bCs w:val="1"/>
              </w:rPr>
            </w:pPr>
            <w:r>
              <w:rPr>
                <w:b w:val="1"/>
                <w:bCs w:val="1"/>
                <w:rtl w:val="0"/>
              </w:rPr>
              <w:t xml:space="preserve">Deliverables</w:t>
            </w:r>
          </w:p>
          <w:p>
            <w:pPr>
              <w:widowControl w:val="0"/>
              <w:spacing w:after="60" w:line="259" w:lineRule="auto"/>
              <w:ind w:left="284" w:hanging="284"/>
              <w:rPr/>
            </w:pPr>
            <w:r>
              <w:rPr>
                <w:rtl w:val="0"/>
              </w:rPr>
              <w:t xml:space="preserve">•  Cleaned and integrated analytical dataset.</w:t>
            </w:r>
          </w:p>
          <w:p>
            <w:pPr>
              <w:widowControl w:val="0"/>
              <w:spacing w:after="60" w:line="259" w:lineRule="auto"/>
              <w:ind w:left="284" w:hanging="284"/>
              <w:rPr/>
            </w:pPr>
            <w:r>
              <w:rPr>
                <w:rtl w:val="0"/>
              </w:rPr>
              <w:t xml:space="preserve">•  Data dictionary and schema documentation.</w:t>
            </w:r>
          </w:p>
          <w:p>
            <w:pPr>
              <w:widowControl w:val="0"/>
              <w:spacing w:after="60" w:line="259" w:lineRule="auto"/>
              <w:ind w:left="284" w:hanging="284"/>
              <w:rPr/>
            </w:pPr>
            <w:r>
              <w:rPr>
                <w:rtl w:val="0"/>
              </w:rPr>
              <w:t xml:space="preserve">•  Insight-driven analysis report.</w:t>
            </w:r>
          </w:p>
          <w:p>
            <w:pPr>
              <w:widowControl w:val="0"/>
              <w:spacing w:after="60" w:line="259" w:lineRule="auto"/>
              <w:ind w:left="284" w:hanging="284"/>
              <w:rPr/>
            </w:pPr>
            <w:r>
              <w:rPr>
                <w:rtl w:val="0"/>
              </w:rPr>
              <w:t xml:space="preserve">•  Executive-level dashboards.</w:t>
            </w:r>
          </w:p>
          <w:p>
            <w:pPr>
              <w:widowControl w:val="0"/>
              <w:spacing w:after="60" w:line="259" w:lineRule="auto"/>
              <w:ind w:left="284" w:hanging="284"/>
              <w:rPr/>
            </w:pPr>
            <w:r>
              <w:rPr>
                <w:rtl w:val="0"/>
              </w:rPr>
              <w:t xml:space="preserve">•  Actionable recommendations for leadership.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rPr/>
            </w:pPr>
            <w:r>
              <w:rPr>
                <w:rtl w:val="0"/>
              </w:rPr>
              <w:t xml:space="preserve">6. Any circumstances that make the task urgent or special: </w:t>
            </w:r>
          </w:p>
          <w:p w:rsidR="00000000" w:rsidDel="00000000" w:rsidP="00000000" w:rsidRDefault="00000000" w:rsidRPr="00000000" w14:paraId="00000020">
            <w:pPr>
              <w:widowControl w:val="0"/>
              <w:numPr>
                <w:ilvl w:val="0"/>
                <w:numId w:val="6"/>
              </w:numPr>
              <w:ind w:left="720" w:hanging="360"/>
              <w:rPr>
                <w:u w:val="none"/>
              </w:rPr>
            </w:pPr>
            <w:r>
              <w:rPr>
                <w:rtl w:val="0"/>
              </w:rPr>
              <w:t xml:space="preserve">What are the client’s priorities?</w:t>
            </w:r>
          </w:p>
          <w:p w:rsidR="00000000" w:rsidDel="00000000" w:rsidP="00000000" w:rsidRDefault="00000000" w:rsidRPr="00000000" w14:paraId="00000021">
            <w:pPr>
              <w:widowControl w:val="0"/>
              <w:numPr>
                <w:ilvl w:val="0"/>
                <w:numId w:val="6"/>
              </w:numPr>
              <w:ind w:left="720" w:hanging="360"/>
            </w:pPr>
            <w:r>
              <w:rPr>
                <w:rtl w:val="0"/>
              </w:rPr>
              <w:t xml:space="preserve">What makes this project urgent or unique?</w:t>
            </w:r>
          </w:p>
          <w:p w:rsidR="00000000" w:rsidDel="00000000" w:rsidP="00000000" w:rsidRDefault="00000000" w:rsidRPr="00000000" w14:paraId="00000022">
            <w:pPr>
              <w:widowControl w:val="0"/>
              <w:rPr/>
            </w:pPr>
            <w:r>
              <w:rPr>
                <w:rtl w:val="0"/>
              </w:rPr>
            </w:r>
          </w:p>
        </w:tc>
        <w:tc>
          <w:tcPr>
            <w:tcMar>
              <w:top w:w="100.0" w:type="dxa"/>
              <w:left w:w="100.0" w:type="dxa"/>
              <w:bottom w:w="100.0" w:type="dxa"/>
              <w:right w:w="100.0" w:type="dxa"/>
            </w:tcMar>
          </w:tcPr>
          <w:p>
            <w:pPr>
              <w:widowControl w:val="0"/>
              <w:spacing w:after="60" w:line="259" w:lineRule="auto"/>
              <w:rPr>
                <w:b w:val="1"/>
                <w:bCs w:val="1"/>
              </w:rPr>
            </w:pPr>
            <w:r>
              <w:rPr>
                <w:b w:val="1"/>
                <w:bCs w:val="1"/>
                <w:rtl w:val="0"/>
              </w:rPr>
              <w:t xml:space="preserve">Client priorities</w:t>
            </w:r>
          </w:p>
          <w:p>
            <w:pPr>
              <w:widowControl w:val="0"/>
              <w:spacing w:after="60" w:line="259" w:lineRule="auto"/>
              <w:ind w:left="284" w:hanging="284"/>
              <w:rPr/>
            </w:pPr>
            <w:r>
              <w:rPr>
                <w:rtl w:val="0"/>
              </w:rPr>
              <w:t xml:space="preserve">•  A single unified view of workforce data, above everything else.</w:t>
            </w:r>
          </w:p>
          <w:p>
            <w:pPr>
              <w:widowControl w:val="0"/>
              <w:spacing w:after="60" w:line="259" w:lineRule="auto"/>
              <w:ind w:left="284" w:hanging="284"/>
              <w:rPr/>
            </w:pPr>
            <w:r>
              <w:rPr>
                <w:rtl w:val="0"/>
              </w:rPr>
              <w:t xml:space="preserve">•  Understanding the true total cost of the workforce.</w:t>
            </w:r>
          </w:p>
          <w:p>
            <w:pPr>
              <w:widowControl w:val="0"/>
              <w:spacing w:after="60" w:line="259" w:lineRule="auto"/>
              <w:ind w:left="284" w:hanging="284"/>
              <w:rPr/>
            </w:pPr>
            <w:r>
              <w:rPr>
                <w:rtl w:val="0"/>
              </w:rPr>
              <w:t xml:space="preserve">•  Knowing whether education and job placement are aligned.</w:t>
            </w:r>
          </w:p>
          <w:p>
            <w:pPr>
              <w:widowControl w:val="0"/>
              <w:spacing w:after="60" w:line="259" w:lineRule="auto"/>
              <w:ind w:left="284" w:hanging="284"/>
              <w:rPr/>
            </w:pPr>
            <w:r>
              <w:rPr>
                <w:rtl w:val="0"/>
              </w:rPr>
              <w:t xml:space="preserve">•  Visibility of wellbeing and insurance-related risk.</w:t>
            </w:r>
          </w:p>
          <w:p>
            <w:pPr>
              <w:widowControl w:val="0"/>
              <w:spacing w:after="60" w:line="259" w:lineRule="auto"/>
              <w:ind w:left="284" w:hanging="284"/>
              <w:rPr/>
            </w:pPr>
            <w:r>
              <w:rPr>
                <w:rtl w:val="0"/>
              </w:rPr>
              <w:t xml:space="preserve">•  Identifying staffing inefficiencies between departments.</w:t>
            </w:r>
          </w:p>
          <w:p>
            <w:pPr>
              <w:widowControl w:val="0"/>
              <w:spacing w:after="60" w:line="259" w:lineRule="auto"/>
              <w:rPr>
                <w:b w:val="1"/>
                <w:bCs w:val="1"/>
              </w:rPr>
            </w:pPr>
            <w:r>
              <w:rPr>
                <w:b w:val="1"/>
                <w:bCs w:val="1"/>
                <w:rtl w:val="0"/>
              </w:rPr>
              <w:t xml:space="preserve">What makes the project urgent or unique</w:t>
            </w:r>
          </w:p>
          <w:p>
            <w:pPr>
              <w:widowControl w:val="0"/>
              <w:spacing w:after="60" w:line="259" w:lineRule="auto"/>
              <w:ind w:left="284" w:hanging="284"/>
              <w:rPr/>
            </w:pPr>
            <w:r>
              <w:rPr>
                <w:rtl w:val="0"/>
              </w:rPr>
              <w:t xml:space="preserve">•  Hiring and benefits spending is continuing while nobody can quantify the return, so decisions are being made reactively rather than strategically.</w:t>
            </w:r>
          </w:p>
          <w:p>
            <w:pPr>
              <w:widowControl w:val="0"/>
              <w:spacing w:after="60" w:line="259" w:lineRule="auto"/>
              <w:ind w:left="284" w:hanging="284"/>
              <w:rPr/>
            </w:pPr>
            <w:r>
              <w:rPr>
                <w:rtl w:val="0"/>
              </w:rPr>
              <w:t xml:space="preserve">•  This is the first time all seven data sources will be brought together in one place.</w:t>
            </w:r>
          </w:p>
          <w:p>
            <w:pPr>
              <w:widowControl w:val="0"/>
              <w:spacing w:after="60" w:line="259" w:lineRule="auto"/>
              <w:ind w:left="284" w:hanging="284"/>
              <w:rPr/>
            </w:pPr>
            <w:r>
              <w:rPr>
                <w:rtl w:val="0"/>
              </w:rPr>
              <w:t xml:space="preserve">•  The work must be reproducible and well documented because it will become the foundation for a later predictive phase, such as attrition forecasting by modelling experts.</w:t>
            </w:r>
          </w:p>
          <w:p>
            <w:pPr>
              <w:widowControl w:val="0"/>
              <w:spacing w:after="60" w:line="259" w:lineRule="auto"/>
              <w:ind w:left="284" w:hanging="284"/>
              <w:rPr/>
            </w:pPr>
            <w:r>
              <w:rPr>
                <w:rtl w:val="0"/>
              </w:rPr>
              <w:t xml:space="preserve">•  Findings go directly to executive level, so accuracy and clarity matter more than volume of output.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rPr/>
            </w:pPr>
            <w:r>
              <w:rPr>
                <w:rtl w:val="0"/>
              </w:rPr>
              <w:t xml:space="preserve">7. Anticipated difficulties or obstacles identified in the meeting</w:t>
            </w:r>
          </w:p>
          <w:p w:rsidR="00000000" w:rsidDel="00000000" w:rsidP="00000000" w:rsidRDefault="00000000" w:rsidRPr="00000000" w14:paraId="00000025">
            <w:pPr>
              <w:widowControl w:val="0"/>
              <w:numPr>
                <w:ilvl w:val="0"/>
                <w:numId w:val="2"/>
              </w:numPr>
              <w:ind w:left="720" w:hanging="360"/>
              <w:rPr>
                <w:u w:val="none"/>
              </w:rPr>
            </w:pPr>
            <w:r>
              <w:rPr>
                <w:rtl w:val="0"/>
              </w:rPr>
              <w:t xml:space="preserve">Potential difficulties mentioned by the client</w:t>
            </w:r>
          </w:p>
          <w:p w:rsidR="00000000" w:rsidDel="00000000" w:rsidP="00000000" w:rsidRDefault="00000000" w:rsidRPr="00000000" w14:paraId="00000026">
            <w:pPr>
              <w:widowControl w:val="0"/>
              <w:numPr>
                <w:ilvl w:val="0"/>
                <w:numId w:val="2"/>
              </w:numPr>
              <w:ind w:left="720" w:hanging="360"/>
              <w:rPr>
                <w:u w:val="none"/>
              </w:rPr>
            </w:pPr>
            <w:r>
              <w:rPr>
                <w:rtl w:val="0"/>
              </w:rPr>
              <w:t xml:space="preserve">Questions to clarify challenges</w:t>
            </w:r>
          </w:p>
          <w:p w:rsidR="00000000" w:rsidDel="00000000" w:rsidP="00000000" w:rsidRDefault="00000000" w:rsidRPr="00000000" w14:paraId="00000027">
            <w:pPr>
              <w:widowControl w:val="0"/>
              <w:rPr/>
            </w:pPr>
            <w:r>
              <w:rPr>
                <w:rtl w:val="0"/>
              </w:rPr>
            </w:r>
          </w:p>
        </w:tc>
        <w:tc>
          <w:tcPr>
            <w:tcMar>
              <w:top w:w="100.0" w:type="dxa"/>
              <w:left w:w="100.0" w:type="dxa"/>
              <w:bottom w:w="100.0" w:type="dxa"/>
              <w:right w:w="100.0" w:type="dxa"/>
            </w:tcMar>
          </w:tcPr>
          <w:p>
            <w:pPr>
              <w:widowControl w:val="0"/>
              <w:spacing w:after="60" w:line="259" w:lineRule="auto"/>
              <w:rPr>
                <w:b w:val="1"/>
                <w:bCs w:val="1"/>
              </w:rPr>
            </w:pPr>
            <w:r>
              <w:rPr>
                <w:b w:val="1"/>
                <w:bCs w:val="1"/>
                <w:rtl w:val="0"/>
              </w:rPr>
              <w:t xml:space="preserve">Potential difficulties</w:t>
            </w:r>
          </w:p>
          <w:p>
            <w:pPr>
              <w:widowControl w:val="0"/>
              <w:spacing w:after="60" w:line="259" w:lineRule="auto"/>
              <w:ind w:left="284" w:hanging="284"/>
              <w:rPr/>
            </w:pPr>
            <w:r>
              <w:rPr>
                <w:rtl w:val="0"/>
              </w:rPr>
              <w:t xml:space="preserve">•  Data quality: missing, duplicated and invalid records that cannot be corrected without client confirmation.</w:t>
            </w:r>
          </w:p>
          <w:p>
            <w:pPr>
              <w:widowControl w:val="0"/>
              <w:spacing w:after="60" w:line="259" w:lineRule="auto"/>
              <w:ind w:left="284" w:hanging="284"/>
              <w:rPr/>
            </w:pPr>
            <w:r>
              <w:rPr>
                <w:rtl w:val="0"/>
              </w:rPr>
              <w:t xml:space="preserve">•  Inconsistent key naming across files and no supplied schema, raising the risk of incorrect joins.</w:t>
            </w:r>
          </w:p>
          <w:p>
            <w:pPr>
              <w:widowControl w:val="0"/>
              <w:spacing w:after="60" w:line="259" w:lineRule="auto"/>
              <w:ind w:left="284" w:hanging="284"/>
              <w:rPr/>
            </w:pPr>
            <w:r>
              <w:rPr>
                <w:rtl w:val="0"/>
              </w:rPr>
              <w:t xml:space="preserve">•  Different table grains — joining the yearly performance data onto the employee table would duplicate salary values five times and overstate cost.</w:t>
            </w:r>
          </w:p>
          <w:p>
            <w:pPr>
              <w:widowControl w:val="0"/>
              <w:spacing w:after="60" w:line="259" w:lineRule="auto"/>
              <w:ind w:left="284" w:hanging="284"/>
              <w:rPr/>
            </w:pPr>
            <w:r>
              <w:rPr>
                <w:rtl w:val="0"/>
              </w:rPr>
              <w:t xml:space="preserve">•  Sensitivity and privacy of health and financial fields.</w:t>
            </w:r>
          </w:p>
          <w:p>
            <w:pPr>
              <w:widowControl w:val="0"/>
              <w:spacing w:after="60" w:line="259" w:lineRule="auto"/>
              <w:ind w:left="284" w:hanging="284"/>
              <w:rPr/>
            </w:pPr>
            <w:r>
              <w:rPr>
                <w:rtl w:val="0"/>
              </w:rPr>
              <w:t xml:space="preserve">•  Volume: 150,000 performance rows are impractical to process in Excel alone.</w:t>
            </w:r>
          </w:p>
          <w:p>
            <w:pPr>
              <w:widowControl w:val="0"/>
              <w:spacing w:after="60" w:line="259" w:lineRule="auto"/>
              <w:ind w:left="284" w:hanging="284"/>
              <w:rPr/>
            </w:pPr>
            <w:r>
              <w:rPr>
                <w:rtl w:val="0"/>
              </w:rPr>
              <w:t xml:space="preserve">•  Interpretation risk: the relationship between education, health investment and productivity can only be shown as association, not proven cause.</w:t>
            </w:r>
          </w:p>
          <w:p>
            <w:pPr>
              <w:widowControl w:val="0"/>
              <w:spacing w:after="60" w:line="259" w:lineRule="auto"/>
              <w:ind w:left="284" w:hanging="284"/>
              <w:rPr/>
            </w:pPr>
            <w:r>
              <w:rPr>
                <w:rtl w:val="0"/>
              </w:rPr>
              <w:t xml:space="preserve">•  Turnaround time on client responses could delay the cleaning stage.</w:t>
            </w:r>
          </w:p>
          <w:p>
            <w:pPr>
              <w:widowControl w:val="0"/>
              <w:spacing w:after="60" w:line="259" w:lineRule="auto"/>
              <w:rPr>
                <w:b w:val="1"/>
                <w:bCs w:val="1"/>
              </w:rPr>
            </w:pPr>
            <w:r>
              <w:rPr>
                <w:b w:val="1"/>
                <w:bCs w:val="1"/>
                <w:rtl w:val="0"/>
              </w:rPr>
              <w:t xml:space="preserve">Questions to clarify these challenges</w:t>
            </w:r>
          </w:p>
          <w:p>
            <w:pPr>
              <w:widowControl w:val="0"/>
              <w:spacing w:after="60" w:line="259" w:lineRule="auto"/>
              <w:ind w:left="284" w:hanging="284"/>
              <w:rPr/>
            </w:pPr>
            <w:r>
              <w:rPr>
                <w:rtl w:val="0"/>
              </w:rPr>
              <w:t xml:space="preserve">•  Who is authorised to confirm data corrections, and how quickly can they respond?</w:t>
            </w:r>
          </w:p>
          <w:p>
            <w:pPr>
              <w:widowControl w:val="0"/>
              <w:spacing w:after="60" w:line="259" w:lineRule="auto"/>
              <w:ind w:left="284" w:hanging="284"/>
              <w:rPr/>
            </w:pPr>
            <w:r>
              <w:rPr>
                <w:rtl w:val="0"/>
              </w:rPr>
              <w:t xml:space="preserve">•  Should inactive and on-leave employees be included in headcount and cost figures, or reported separately?</w:t>
            </w:r>
          </w:p>
          <w:p>
            <w:pPr>
              <w:widowControl w:val="0"/>
              <w:spacing w:after="60" w:line="259" w:lineRule="auto"/>
              <w:ind w:left="284" w:hanging="284"/>
              <w:rPr/>
            </w:pPr>
            <w:r>
              <w:rPr>
                <w:rtl w:val="0"/>
              </w:rPr>
              <w:t xml:space="preserve">•  Which departments, if any, should be prioritised in the analysis?</w:t>
            </w:r>
          </w:p>
          <w:p>
            <w:pPr>
              <w:widowControl w:val="0"/>
              <w:spacing w:after="60" w:line="259" w:lineRule="auto"/>
              <w:ind w:left="284" w:hanging="284"/>
              <w:rPr/>
            </w:pPr>
            <w:r>
              <w:rPr>
                <w:rtl w:val="0"/>
              </w:rPr>
              <w:t xml:space="preserve">•  What level of personal data is acceptable to display in the dashboard?</w:t>
            </w:r>
          </w:p>
          <w:p>
            <w:pPr>
              <w:widowControl w:val="0"/>
              <w:spacing w:after="60" w:line="259" w:lineRule="auto"/>
              <w:ind w:left="284" w:hanging="284"/>
              <w:rPr/>
            </w:pPr>
            <w:r>
              <w:rPr>
                <w:rtl w:val="0"/>
              </w:rPr>
              <w:t xml:space="preserve">•  Is there a known, accepted definition of "performance score" that we should describe in the report?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rPr/>
            </w:pPr>
            <w:r>
              <w:rPr>
                <w:rtl w:val="0"/>
              </w:rPr>
              <w:t xml:space="preserve">8. Any other questions that come to mind while the client is speaking: </w:t>
            </w:r>
          </w:p>
          <w:p w:rsidR="00000000" w:rsidDel="00000000" w:rsidP="00000000" w:rsidRDefault="00000000" w:rsidRPr="00000000" w14:paraId="0000002A">
            <w:pPr>
              <w:widowControl w:val="0"/>
              <w:rPr/>
            </w:pPr>
            <w:r>
              <w:rPr>
                <w:rtl w:val="0"/>
              </w:rPr>
            </w:r>
          </w:p>
          <w:p w:rsidR="00000000" w:rsidDel="00000000" w:rsidP="00000000" w:rsidRDefault="00000000" w:rsidRPr="00000000" w14:paraId="0000002B">
            <w:pPr>
              <w:widowControl w:val="0"/>
              <w:rPr/>
            </w:pPr>
            <w:r>
              <w:rPr>
                <w:rtl w:val="0"/>
              </w:rPr>
            </w:r>
          </w:p>
        </w:tc>
        <w:tc>
          <w:tcPr>
            <w:tcMar>
              <w:top w:w="100.0" w:type="dxa"/>
              <w:left w:w="100.0" w:type="dxa"/>
              <w:bottom w:w="100.0" w:type="dxa"/>
              <w:right w:w="100.0" w:type="dxa"/>
            </w:tcMar>
          </w:tcPr>
          <w:p>
            <w:pPr>
              <w:widowControl w:val="0"/>
              <w:spacing w:after="60" w:line="259" w:lineRule="auto"/>
              <w:ind w:left="284" w:hanging="284"/>
              <w:rPr/>
            </w:pPr>
            <w:r>
              <w:rPr>
                <w:rtl w:val="0"/>
              </w:rPr>
              <w:t xml:space="preserve">•  Are salary and allowance figures gross or net, and are they monthly or annual? Which currency is used? (Client subsequently confirmed all amounts are in US dollars.)</w:t>
            </w:r>
          </w:p>
          <w:p>
            <w:pPr>
              <w:widowControl w:val="0"/>
              <w:spacing w:after="60" w:line="259" w:lineRule="auto"/>
              <w:ind w:left="284" w:hanging="284"/>
              <w:rPr/>
            </w:pPr>
            <w:r>
              <w:rPr>
                <w:rtl w:val="0"/>
              </w:rPr>
              <w:t xml:space="preserve">•  Should total workforce cost include employer-paid insurance contributions, or only salary and allowances?</w:t>
            </w:r>
          </w:p>
          <w:p>
            <w:pPr>
              <w:widowControl w:val="0"/>
              <w:spacing w:after="60" w:line="259" w:lineRule="auto"/>
              <w:ind w:left="284" w:hanging="284"/>
              <w:rPr/>
            </w:pPr>
            <w:r>
              <w:rPr>
                <w:rtl w:val="0"/>
              </w:rPr>
              <w:t xml:space="preserve">•  Is there a headcount budget or a target cost-per-employee we can benchmark performance against?</w:t>
            </w:r>
          </w:p>
          <w:p>
            <w:pPr>
              <w:widowControl w:val="0"/>
              <w:spacing w:after="60" w:line="259" w:lineRule="auto"/>
              <w:ind w:left="284" w:hanging="284"/>
              <w:rPr/>
            </w:pPr>
            <w:r>
              <w:rPr>
                <w:rtl w:val="0"/>
              </w:rPr>
              <w:t xml:space="preserve">•  Are the eight departments the complete current structure, or have any been created, merged or renamed since 2021?</w:t>
            </w:r>
          </w:p>
          <w:p>
            <w:pPr>
              <w:widowControl w:val="0"/>
              <w:spacing w:after="60" w:line="259" w:lineRule="auto"/>
              <w:ind w:left="284" w:hanging="284"/>
              <w:rPr/>
            </w:pPr>
            <w:r>
              <w:rPr>
                <w:rtl w:val="0"/>
              </w:rPr>
              <w:t xml:space="preserve">•  Can leaver and exit-date data be provided later to support the predictive attrition phase?</w:t>
            </w:r>
          </w:p>
          <w:p>
            <w:pPr>
              <w:widowControl w:val="0"/>
              <w:spacing w:after="60" w:line="259" w:lineRule="auto"/>
              <w:ind w:left="284" w:hanging="284"/>
              <w:rPr/>
            </w:pPr>
            <w:r>
              <w:rPr>
                <w:rtl w:val="0"/>
              </w:rPr>
              <w:t xml:space="preserve">•  Who is the audience for the dashboard — executives only, or department heads as well? This determines the level of detail and whether row-level security is needed.</w:t>
            </w:r>
          </w:p>
          <w:p>
            <w:pPr>
              <w:widowControl w:val="0"/>
              <w:spacing w:after="60" w:line="259" w:lineRule="auto"/>
              <w:ind w:left="284" w:hanging="284"/>
              <w:rPr/>
            </w:pPr>
            <w:r>
              <w:rPr>
                <w:rtl w:val="0"/>
              </w:rPr>
              <w:t xml:space="preserve">•  How often should the dashboard be refreshed after handover, and who will own it?</w:t>
            </w:r>
          </w:p>
          <w:p>
            <w:pPr>
              <w:widowControl w:val="0"/>
              <w:spacing w:after="60" w:line="259" w:lineRule="auto"/>
              <w:ind w:left="284" w:hanging="284"/>
              <w:rPr/>
            </w:pPr>
            <w:r>
              <w:rPr>
                <w:rtl w:val="0"/>
              </w:rPr>
              <w:t xml:space="preserve">•  Are there brand guidelines (colours, logo, fonts) the dashboard should follow?</w:t>
            </w:r>
          </w:p>
        </w:tc>
      </w:tr>
    </w:tbl>
    <w:p w:rsidR="00000000" w:rsidDel="00000000" w:rsidP="00000000" w:rsidRDefault="00000000" w:rsidRPr="00000000" w14:paraId="0000002D">
      <w:pPr>
        <w:rPr/>
      </w:pPr>
      <w:r>
        <w:rPr>
          <w:rtl w:val="0"/>
        </w:rPr>
      </w:r>
    </w:p>
    <w:sectPr>
      <w:headerReference r:id="rId6" w:type="default"/>
      <w:footerReference r:id="rId7" w:type="default"/>
      <w:pgSz w:h="11906" w:w="16838" w:orient="landscape"/>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rtl w:val="0"/>
      </w:rPr>
      <w:t xml:space="preserve">© 2024 Generation: You Employed, Inc.</w:t>
    </w:r>
  </w:p>
  <w:p w:rsidR="00000000" w:rsidDel="00000000" w:rsidP="00000000" w:rsidRDefault="00000000" w:rsidRPr="00000000" w14:paraId="000000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pPr>
    <w:r w:rsidDel="00000000" w:rsidR="00000000" w:rsidRPr="00000000">
      <w:rPr>
        <w:rtl w:val="0"/>
      </w:rPr>
      <w:t xml:space="preserve">DA-SAC1 - Note-taking Template</w:t>
    </w:r>
  </w:p>
  <w:p w:rsidR="00000000" w:rsidDel="00000000" w:rsidP="00000000" w:rsidRDefault="00000000" w:rsidRPr="00000000" w14:paraId="0000003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1">
    <w:pPr>
      <w:spacing w:line="276" w:lineRule="auto"/>
      <w:jc w:val="center"/>
      <w:rPr/>
    </w:pPr>
    <w:r w:rsidDel="00000000" w:rsidR="00000000" w:rsidRPr="00000000">
      <w:rPr/>
      <w:drawing>
        <wp:inline distB="0" distT="0" distL="114300" distR="114300">
          <wp:extent cx="1616202" cy="4810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6202" cy="4810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