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 Large Epidermoid Cyst of the Pelvic Floor Mimicking Rectal Submucosal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Malignancy: A Case Report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Wang Tzu-Chien, NP¹ and Chen Shu-Hung, MD¹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¹ Department of Colorectal Surgery, Xizhi Cathay General Hospital,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New Taipei City, Taiwan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Corresponding author: Chen Shu-Hung, MD, Department of Colorectal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Surgery, Xizhi Cathay General Hospital, New Taipei City, Taiwan.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E-mail: cgh07668@cgh.org.tw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Abstract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Background: Epidermoid cysts of the pelvic floor are rare benign lesions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that can closely mimic malignancy on CT, posing significant diagnostic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challenges.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Case Summary: A 61-year-old male presented with lower abdominal pain,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hematuria, and rectal tenesmus. Contrast-enhanced CT revealed a 10 cm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pelvic mass with apparent lymphadenopathy, raising suspicion for GIST,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lymphoma, or neuroendocrine tumor. Three pre-operative findings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redirected the diagnosis: negative colonoscopy, normal tumor markers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(CEA, AFP, CA19-9), and absent mass enhancement on CT. Prophylactic ureteral stenting was placed pre-operatively given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mass’s proximity to the left ureter. Laparotomy with complete excision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confirmed an epidermoid cyst; histopathology demonstrated a cyst wall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lined by keratinized stratified squamous epithelium without adnexal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structures.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Conclusion: When a non-enhancing extrinsic pelvic mass is accompanied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by negative colonoscopy and normal tumor markers, epidermoid cyst should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be included in the differential. Complete surgical excision 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curative.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Keywords: epidermoid cyst; pelvic floor; pelvic mass; differential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diagnosis; laparotomy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摘要</w:t>
      </w:r>
    </w:p>
    <w:p>
      <w:pPr>
        <w:pStyle w:val="BodyText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背景：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骨盆底硬皮囊腫（epidermoid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cyst）為罕見良性病灶，於電腦斷層掃描（CT）上易與惡性腫瘤混淆，造成診斷困難。</w:t>
      </w:r>
    </w:p>
    <w:p>
      <w:pPr>
        <w:pStyle w:val="BodyText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病例摘要：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一名61歲男性因下腹疼痛、血尿、排便習慣改變及裡急後重就醫。對比增強CT顯示左側低位直腸旁10公分腫塊，伴見疑似轉移性淋巴結，初步鑑別診斷包括胃腸道基質瘤（GIST）、淋巴瘤及神經內分泌腫瘤。三項術前發現協助導向正確診斷：大腸鏡無黏膜病灶、腫瘤標記（CEA、AFP、C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A19-9）均在正常範圍，以及CT對比增強掃描下腫塊未見強化。考量腫塊緊鄰左輸尿管，術前預防性置入雙J管，術中確認左側輸水腎症。患者接受剖腹手術完整切除骨盆底腫塊，病理報告確認為硬皮囊腫，內壁為角化鱗狀上皮，含角蛋白碎片及纖維囊壁，無皮膚附屬器構造。</w:t>
      </w:r>
    </w:p>
    <w:p>
      <w:pPr>
        <w:pStyle w:val="BodyText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結論：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骨盆底硬皮囊腫應列入骨盆腔腫塊之鑑別診斷，尤以大腸鏡陰性且腫瘤標記正常時更應考慮。完整手術切除具治癒性，預後良好。</w:t>
      </w:r>
    </w:p>
    <w:p>
      <w:pPr>
        <w:pStyle w:val="BodyText"/>
        <w:spacing w:line="480" w:lineRule="auto" w:before="0" w:after="0"/>
        <w:jc w:val="left"/>
      </w:pPr>
      <w:r>
        <w:rPr>
          <w:rFonts w:hint="eastAsia" w:ascii="Times New Roman" w:hAnsi="Times New Roman"/>
          <w:sz w:val="24"/>
        </w:rPr>
        <w:t xml:space="preserve">關鍵詞：</w:t>
      </w:r>
      <w:r>
        <w:rPr>
          <w:rFonts w:ascii="Times New Roman" w:hAnsi="Times New Roman"/>
          <w:sz w:val="24"/>
        </w:rPr>
        <w:t xml:space="preserve"> </w:t>
      </w:r>
      <w:r>
        <w:rPr>
          <w:rFonts w:hint="eastAsia" w:ascii="Times New Roman" w:hAnsi="Times New Roman"/>
          <w:sz w:val="24"/>
        </w:rPr>
        <w:t xml:space="preserve">硬皮囊腫；骨盆底；骨盆腫塊；鑑別診斷；剖腹手術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Introduction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Epidermoid cysts within the pelvic floor are exceedingly rare,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fewer than 20 cases reported in the literature through 2024.</w:t>
      </w:r>
      <w:r>
        <w:rPr>
          <w:rFonts w:ascii="Times New Roman" w:hAnsi="Times New Roman"/>
          <w:sz w:val="24"/>
          <w:vertAlign w:val="superscript"/>
        </w:rPr>
        <w:t xml:space="preserve">1–3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Embryological sequestration of ectopic epidermal rests is the most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plausible pathogenic mechanism.</w:t>
      </w:r>
      <w:r>
        <w:rPr>
          <w:rFonts w:ascii="Times New Roman" w:hAnsi="Times New Roman"/>
          <w:sz w:val="24"/>
          <w:vertAlign w:val="superscript"/>
        </w:rPr>
        <w:t xml:space="preserve">4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Their capacity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grow large and compress adjacent pelvic structures frequently leads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to misdiagnosis as malignancy.</w:t>
      </w:r>
      <w:r>
        <w:rPr>
          <w:rFonts w:ascii="Times New Roman" w:hAnsi="Times New Roman"/>
          <w:sz w:val="24"/>
          <w:vertAlign w:val="superscript"/>
        </w:rPr>
        <w:t xml:space="preserve">1,5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We report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 case initially misidentified as rectal submucosal malignancy on CT,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highlighting pre-operative clues that can redirect diagnosis.</w:t>
      </w:r>
    </w:p>
    <w:p>
      <w:pPr>
        <w:pStyle w:val="Compact"/>
        <w:numPr>
          <w:ilvl w:val="0"/>
          <w:numId w:val="1002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Case Presentation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 61-year-old male with no prior surgical history and no significant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medical comorbidities presented to the emergency department with lower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abdominal pain of two weeks’ duration and hematuria identified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admission urinary catheterisation for one week. He reported bowel habit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changes with diarrhea and rectal tenesmus over the preceding two months.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He denied weight loss, fever, or family history of malignancy; blood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pressure on arrival was 168/112 mmHg.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Physical examination revealed abdominal distension and lower abdominal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tenderness without peritoneal signs. Digital rectal examination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hospital day two identified a large, firm mass at the 2 o’clock position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the left lateral rectal wall, palpable approximately 4 cm from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anal verge. Laboratory investigations showed leukocytosis (WBC 12,310/μL)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an elevated C-reactive protein (2.083 mg/dL).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Contrast-enhanced CT of the abdomen and pelvis (CECT) revealed a 10 cm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mass at the left low rectum described as a submucosal lesion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apparent lymphadenopathy in the right internal iliac region, raising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differential diagnoses of GIST, lymphoma, and neuroendocrine tumor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(Figure 2). Additional findings included left renal calculus and an L2 compression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fracture; the latter was an incidental finding with no associated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neurological symptoms and was attributed to osteoporotic changes in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absence of any primary malignancy identified on imaging. The patient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admitted under the general surgery service for further evaluation.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Three subsequent investigations were pivotal in redirecting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diagnosis. First, colonoscopy to the cecum demonstrated no mucosal tumor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or ulceration, with only internal hemorrhoids noted (Figure 3) 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reclassifying the pelvic mass as extrinsic to the bowel rather than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intraluminal.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Second, tumor markers (AFP 3.42 ng/mL, CEA 1.70 ng/mL, CA19-9 4.4 U/mL)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were entirely within normal limits, arguing against adenocarcinoma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AFP-producing tumors. Third, retrospective review of the CECT by the treating surgical team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confirmed the absence of internal enhancement within the mass — a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feature inconsistent with hypervascular GIST or enhancing lymphoma.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MRI was not performed; the CT findings combined with negative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colonoscopy and normal tumour markers were considered sufficient to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guide surgical decision-making. The mass’s proximity to the left ureter raised concern 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intraoperative ureteral injury; cardiac and pulmonary evaluation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confirmed low surgical risk.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On March 10, 2026, the patient underwent laparotomy. A ureteral J-stent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(6F × 26 cm, Double-J) was inserted cystoscopically under general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anaesthesia prior to laparotomy to protect the left ureter during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dissection. Intra-operative findings confirmed a well-encapsulated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pelvic floor mass with Grade 3 left hydronephrosis (Society of Fetal Urology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grading). The cyst was intentionally decompressed by aspiration to facilitate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dissection; the cyst wall and fibrous capsule were then completely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excised without inadvertent rupture or intraperitoneal spillage.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Estimated blood loss was minimal. Post-operative recovery was uneventful: flatus was noted on day 3,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oral diet was resumed on day 4, and the surgical drain was removed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day 7. Hematuria resolved during the post-operative hospital course.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Renal function remained stable post-operatively (serum creatinine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0.85 mg/dL; eGFR 99 mL/min/1.73 m²) with no clinical or biochemical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evidence of persistent hydronephrosis at discharge. The Double-J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ureteral stent was retained in situ, with outpatient removal planned.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Tumour marker surveillance (CEA, CA19-9) with complete blood count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biochemistry was scheduled at six months. The patient was discharged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post-operative day 9 with a clean, dry wound.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Gross pathological examination showed multiple firm, gray tissue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fragments measuring up to 10.0 × 3.0 × 0.5 cm. Histopathology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demonstrated a fibrous cystic wall lined by stratified squamous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epithelium with keratin fragments (Figure 1). No hair follicles,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sebaceous glands, or nuclear atypia were identified. The final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pathological diagnosis was epidermoid cyst. The clinical timeline 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summarised in Table 1.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Discussion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Epidermoid cysts in the pelvic cavity represent a rare diagnostic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challenge. While the gross CT morphology of a 10 cm pelvic mass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apparent lymphadenopathy strongly suggested malignancy in the present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case, three pre-operative features were inconsistent with this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hypothesis and ultimately guided appropriate management.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 diagnostic triad pointing toward benign extrinsic pathology. First,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colonoscopy was negative for any mucosal lesion, confirming the mass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extrinsic to the rectum rather than an intraluminal neoplasm; large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epidermoid cysts can compress the rectal wall to create a CT appearance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a submucosal mass.</w:t>
      </w:r>
      <w:r>
        <w:rPr>
          <w:rFonts w:ascii="Times New Roman" w:hAnsi="Times New Roman"/>
          <w:sz w:val="24"/>
          <w:vertAlign w:val="superscript"/>
        </w:rPr>
        <w:t xml:space="preserve">6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Second, normal tumor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markers (CEA, AFP, CA19-9) substantially reduced the probability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common GI malignancies. Third, the absence of internal enhancement 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CECT argued against hypervascular GIST and enhancing lymphoma.</w:t>
      </w:r>
      <w:r>
        <w:rPr>
          <w:rFonts w:ascii="Times New Roman" w:hAnsi="Times New Roman"/>
          <w:sz w:val="24"/>
          <w:vertAlign w:val="superscript"/>
        </w:rPr>
        <w:t xml:space="preserve">5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Individually, none of these findings is specific 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epidermoid cyst; together, they point toward a benign non-enhancing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extrinsic cystic mass. Despite the DRE identifying a large firm mass 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 finding that initially heightened malignancy concern — the clinical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team elected direct surgical excision rather than pre-operative tissue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biopsy, judging that the non-enhancing cystic morphology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inconsistent with the solid tumours in the differential and that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complete excision would serve as both the definitive diagnostic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therapeutic step.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CT misidentification and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“metastatic lymphadenopathy”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red herring.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initial CT report described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“metastatic LAP of the right internal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iliac region,”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substantially raising concern for malignancy. 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retrospect, regional lymphadenopathy adjacent to a large benign cystic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mass may reflect reactive inflammation or mechanical compression rather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than true metastasis — an interpretation consistent with uniformly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normal tumor markers and pathological absence of malignancy. As neither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nodal biopsy nor post-operative imaging was performed, the reactive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interpretation remains inferential; clinicians should exercise caution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attributing lymphadenopathy to metastatic disease without a confirmed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primary.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Pathogenesis. In this patient with no prior abdominal surgery,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embryological sequestration of ectodermal cells within the pelvic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mesenchyme is the most plausible mechanism, with keratin accumulating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over decades until the lesion becomes symptomatic.</w:t>
      </w:r>
      <w:r>
        <w:rPr>
          <w:rFonts w:ascii="Times New Roman" w:hAnsi="Times New Roman"/>
          <w:sz w:val="24"/>
          <w:vertAlign w:val="superscript"/>
        </w:rPr>
        <w:t xml:space="preserve">1,4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two-month symptomatic history likely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represents the terminal phase of a much longer subclinical course.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Comparison with published cases. Prior reports share key features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present case — extrinsic rectal compression, ureteral obstruction,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mass size exceeding 10 cm.</w:t>
      </w:r>
      <w:r>
        <w:rPr>
          <w:rFonts w:ascii="Times New Roman" w:hAnsi="Times New Roman"/>
          <w:sz w:val="24"/>
          <w:vertAlign w:val="superscript"/>
        </w:rPr>
        <w:t xml:space="preserve">1,7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compelling CT mimicry, including apparent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lymphadenopathy, is not prominently described in prior reports.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Management of ureteral compression risk. A large pelvic cyst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ureteral compression risk warrants prophylactic pre-operative 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concurrent ureteral stenting. In the present case, a Double-J stent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placed cystoscopically under the same anaesthetic allowed safe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dissection without ureteral injury — an approach consistent with prior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reports.</w:t>
      </w:r>
      <w:r>
        <w:rPr>
          <w:rFonts w:ascii="Times New Roman" w:hAnsi="Times New Roman"/>
          <w:sz w:val="24"/>
          <w:vertAlign w:val="superscript"/>
        </w:rPr>
        <w:t xml:space="preserve">1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Surgical principles and prognosis. Complete surgical excision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intact capsule removal is the cornerstone of treatment. Simple cyst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drainage or aspiration without wall resection carries a high risk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recurrence.</w:t>
      </w:r>
      <w:r>
        <w:rPr>
          <w:rFonts w:ascii="Times New Roman" w:hAnsi="Times New Roman"/>
          <w:sz w:val="24"/>
          <w:vertAlign w:val="superscript"/>
        </w:rPr>
        <w:t xml:space="preserve">8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the index case, the cyst was intentionally decompressed prior to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wall excision; complete resection of the cyst wall with intact capsule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was achieved without inadvertent rupture or intraperitoneal spillage,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post-operative recovery was uneventful. Prognosis following complete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resection is excellent, with recurrence rarely reported in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literature.</w:t>
      </w:r>
      <w:r>
        <w:rPr>
          <w:rFonts w:ascii="Times New Roman" w:hAnsi="Times New Roman"/>
          <w:sz w:val="24"/>
          <w:vertAlign w:val="superscript"/>
        </w:rPr>
        <w:t xml:space="preserve">3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Malignant transformation to squamous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cell carcinoma within a pre-existing epidermoid cyst has been documented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 one case involving a 69-year-old male with a large abdominal cyst,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emphasizing the importance of complete pathological sampling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long-term follow-up.</w:t>
      </w:r>
      <w:r>
        <w:rPr>
          <w:rFonts w:ascii="Times New Roman" w:hAnsi="Times New Roman"/>
          <w:sz w:val="24"/>
          <w:vertAlign w:val="superscript"/>
        </w:rPr>
        <w:t xml:space="preserve">9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Pathological distinction. The histopathological distinction between 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epidermoid cyst and a dermoid cyst (mature cystic teratoma) 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clinically important: dermoid cysts contain hair follicles and sebaceous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glands in addition to squamous epithelium, whereas epidermoid cysts do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not. Retrorectal tailgut cyst — another non-enhancing extrinsic pelvic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cyst that satisfies the same diagnostic triad — is lined by columnar 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transitional epithelium rather than keratinized squamous epithelium;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squamous lining in the present case excludes this entity. The absence of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adnexal structures confirms the diagnosis of epidermoid cyst over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dermoid cyst. Mesothelioma is excluded by the squamous epithelial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lining; mesothelioma demonstrates a mesothelial lining positive for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calretinin and WT-1 on immunohistochemistry.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Limitations. CT Hounsfield unit values were not extracted.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Pre-operative tissue sampling was not performed; the decision to proceed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directly to laparotomy was based on the non-enhancing cystic morphology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low surgical risk, with complete excision serving as both diagnostic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therapeutic — a limitation that should be recognised in the absence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pre-operative histological confirmation. The reactive interpretation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regional lymphadenopathy remains inferential.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Conclusion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Large pelvic floor epidermoid cysts can convincingly mimic rectal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submucosal malignancy on CT. The combination of negative colonoscopy,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normal tumor markers, and a non-enhancing mass should prompt inclusion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of epidermoid cyst in the differential and proceed to surgical excision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histopathological confirmation. Prophylactic ureteral stenting should be considered when the mass is in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proximity to the ureter. Complete excision is curative.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Patient Perspective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The patient reported resolution of pre-operative lower abdominal pain,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hematuria, and rectal tenesmus during the post-operative course, and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expressed satisfaction with the surgical outcome at discharge.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References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Fdili Alaoui FZ, Oussaden A, Bouguern H, El Fatemi H, Melhouf MA,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Amarti A, et al. Giant pelvic retroperitoneal epidermoid cyst: a rare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case report. Pan Afr Med J. 2012;13:51.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Jain P, Pal DK. Pelvic epidermoid cyst: a rare cause of lower urinary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tract symptoms. BMJ Case Rep. 2018;2018:bcr2017223386.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Nasim S, Kumar S, Azim D, Rai L, Saeed S. Retrorectal epidermal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inclusion cyst: an incidental finding during cesarean section.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 J Surg Case Rep. 2020;77:467–70.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Hyseni NS, Llullaku SS, Koçinaj DH, Jashari HJ, Kelmendi BZ. 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unusual location of retroperitoneal epidermoid cyst in a child: a case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report. Cases J. 2009;2:9362.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Bates DDB, Fernandes de Paula MC, Horvat N, Sheedy S, Lall C,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Kassam Z, et al. Beyond adenocarcinoma: MRI of uncommon rectal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neoplasms and mimickers. Radiographics. 2019;40(1):205–22.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Kesavan R, Parthasarathi R, Gupta A, Palanivelu C. Laparoscopic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management of epidermoid cyst in an unusual location: a case report.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J Med Case Rep. 2019;13:47.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AlSulimani SO, Almalki AM, Alzahrani KA, Alshehri AO, Almotairi R.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Infected giant right seminal vesicle epidermoid cyst in a young male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patient: a case report. Int J Surg Case Rep. 2023;110:108732.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Koppel BS, Weinberger G. Radiologic evaluation of epidermoid cyst.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J Natl Med Assoc. 1987;79(2):209–12.</w:t>
      </w:r>
    </w:p>
    <w:p>
      <w:pPr>
        <w:numPr>
          <w:ilvl w:val="0"/>
          <w:numId w:val="1005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Hu T, Wang D, Tian Y, Yuan X, Li Y. Abdominal giant epidermoid cyst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with squamous epithelial heterogeneous proliferation carcinoma: a case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report. Transl Cancer Res. 2022;11(5):1457–62.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Table 1. Clinical timeline of the present case.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Timepoint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~2 months before 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Onset of bowel habit changes and rectal tenesmus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~2 weeks before 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Onset of lower abdominal 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~1 week before presentation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Hematuria identified on urinary catheterisation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1,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Emergency presentation; CECT: 10 cm non-enhancing pelvic mass with apparent right internal iliac lymphadenopathy; leukocytosis and elevated CRP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2,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Digital rectal examination: large firm mass, left lateral rectal wall, 4 cm from anal verge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3–9,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Colonoscopy: no mucosal lesion; tumour markers (AFP, CEA, CA19-9): within normal limits; cardiac and pulmonary pre-operative evaluation: low surgical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10,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Cystoscopic Double-J ureteral stenting + laparotomy; complete excision of pelvic floor cyst; Grade 3 left hydronephrosis confirmed intraoperatively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Post-operative day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First flatus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Post-operative day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Oral diet resumed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Post-operative day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Surgical drain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March 19, 2026 (post-operative day 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Discharge; hematuria resolved; Cr 0.85 mg/dL, eGFR 99 mL/min/1.73 m²; Double-J stent in situ; final histopathology: epidermoid cyst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September 2026 (planned)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sz w:val="22"/>
              </w:rPr>
              <w:t xml:space="preserve">Tumour marker surveillance (CEA, CA19-9), CBC, biochemistry</w:t>
            </w:r>
          </w:p>
        </w:tc>
      </w:tr>
    </w:tbl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Figure Legends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Figure 1. Histopathological section of the excised pelvic floor mass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(hematoxylin and eosin stain). The cyst wall is composed of dense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fibrous tissue lined by stratified squamous epithelium with a granular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layer. The cyst lumen contains laminated keratin fragments. No hair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follicles or sebaceous glands are identified, consistent with an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epidermoid cyst.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Figure 2. Contrast-enhanced CT of the abdomen and pelvis. (A) Coronal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view demonstrating a large, well-defined pelvic floor mass with no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internal enhancement. (B) Axial view at the level of the pelvic inlet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showing the 10 cm non-enhancing mass abutting the left lateral rectal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wall, with apparent lymphadenopathy in the right internal iliac region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and an incidental left renal calculus. The yellow line in panel (B)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indicates a measurement annotation from the PACS workstation.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Figure 3. Colonoscopy image of the rectum demonstrating smooth external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compression of the rectal wall without mucosal ulceration, friability,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or intraluminal tumor, confirming that the pelvic mass is extrinsic to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bowel.</w:t>
      </w:r>
    </w:p>
    <w:p>
      <w:p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pict>
          <v:rect style="width:0;height:1.5pt" o:hralign="center" o:hrstd="t" o:hr="t"/>
        </w:pic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Mandatory Disclosures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Ethics Declaration: This case report was conducted in accordance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the Declaration of Helsinki. Institutional review board approval was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obtained / waived for case reports at the reporting institution.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Patient Consent: Written informed consent was obtained from the patient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for publication of this case report and any accompanying images.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Author Contributions (CRediT):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Conceptualization: </w:t>
      </w:r>
      <w:r>
        <w:rPr>
          <w:rFonts w:hint="eastAsia" w:ascii="Times New Roman" w:hAnsi="Times New Roman"/>
          <w:sz w:val="24"/>
        </w:rPr>
        <w:t xml:space="preserve">陳樞鴻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Data curation: </w:t>
      </w:r>
      <w:r>
        <w:rPr>
          <w:rFonts w:hint="eastAsia" w:ascii="Times New Roman" w:hAnsi="Times New Roman"/>
          <w:sz w:val="24"/>
        </w:rPr>
        <w:t xml:space="preserve">王子建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Writing – original draft: </w:t>
      </w:r>
      <w:r>
        <w:rPr>
          <w:rFonts w:hint="eastAsia" w:ascii="Times New Roman" w:hAnsi="Times New Roman"/>
          <w:sz w:val="24"/>
        </w:rPr>
        <w:t xml:space="preserve">王子建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Writing – review &amp; editing: </w:t>
      </w:r>
      <w:r>
        <w:rPr>
          <w:rFonts w:hint="eastAsia" w:ascii="Times New Roman" w:hAnsi="Times New Roman"/>
          <w:sz w:val="24"/>
        </w:rPr>
        <w:t xml:space="preserve">陳樞鴻</w:t>
      </w:r>
    </w:p>
    <w:p>
      <w:pPr>
        <w:numPr>
          <w:ilvl w:val="0"/>
          <w:numId w:val="1006"/>
        </w:numPr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Supervision: </w:t>
      </w:r>
      <w:r>
        <w:rPr>
          <w:rFonts w:hint="eastAsia" w:ascii="Times New Roman" w:hAnsi="Times New Roman"/>
          <w:sz w:val="24"/>
        </w:rPr>
        <w:t xml:space="preserve">陳樞鴻</w:t>
      </w:r>
    </w:p>
    <w:p>
      <w:pPr>
        <w:pStyle w:val="FirstParagraph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Conflict of Interest: The authors declare no conflicts of interest.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Funding: No funding was received for this work.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Data Availability Statement: All data supporting the findings are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contained within the case report. Anonymized data are available from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corresponding author upon reasonable request.</w:t>
      </w:r>
    </w:p>
    <w:p>
      <w:pPr>
        <w:pStyle w:val="BodyText"/>
        <w:spacing w:line="480" w:lineRule="auto" w:before="0" w:after="0"/>
        <w:jc w:val="left"/>
      </w:pPr>
      <w:r>
        <w:rPr>
          <w:rFonts w:ascii="Times New Roman" w:hAnsi="Times New Roman"/>
          <w:sz w:val="24"/>
        </w:rPr>
        <w:t xml:space="preserve">AI Usage Disclosure: Claude (Anthropic) was used to assist with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literature search and synthesis during the preparation of this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manuscript. All content was reviewed, verified, and approved by the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authors. No AI tool is listed as an author.</w:t>
      </w:r>
    </w:p>
    <w:sectPr>
      <w:footerReference w:type="default" r:id="rId9"/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2026-06-01T19:08:53Z</dcterms:created>
  <dcterms:modified xsi:type="dcterms:W3CDTF">2026-06-01T19:08:53Z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