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7365D"/>
          <w:sz w:val="28"/>
        </w:rPr>
        <w:t>SHAKESPEARE ACADEMY</w:t>
      </w:r>
    </w:p>
    <w:p>
      <w:pPr>
        <w:pStyle w:val="Title"/>
        <w:jc w:val="center"/>
      </w:pPr>
      <w:r>
        <w:t>Conception du logiciel de gestion scolaire</w:t>
      </w:r>
    </w:p>
    <w:p>
      <w:pPr>
        <w:jc w:val="center"/>
      </w:pPr>
      <w:r>
        <w:rPr>
          <w:b/>
          <w:sz w:val="28"/>
        </w:rPr>
        <w:t>Spécifications fonctionnelles et techniques du MVP</w:t>
      </w:r>
    </w:p>
    <w:p>
      <w:pPr>
        <w:spacing w:after="3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880"/>
            <w:shd w:fill="17365D"/>
            <w:vAlign w:val="center"/>
            <w:tcMar>
              <w:top w:w="100" w:type="dxa"/>
              <w:start w:w="110" w:type="dxa"/>
              <w:bottom w:w="100" w:type="dxa"/>
              <w:end w:w="110" w:type="dxa"/>
            </w:tcMar>
          </w:tcPr>
          <w:p>
            <w:r>
              <w:rPr>
                <w:b/>
                <w:color w:val="FFFFFF"/>
                <w:sz w:val="18"/>
              </w:rPr>
              <w:t>Élément</w:t>
            </w:r>
          </w:p>
        </w:tc>
        <w:tc>
          <w:tcPr>
            <w:tcW w:type="dxa" w:w="6768"/>
            <w:shd w:fill="17365D"/>
            <w:vAlign w:val="center"/>
            <w:tcMar>
              <w:top w:w="100" w:type="dxa"/>
              <w:start w:w="110" w:type="dxa"/>
              <w:bottom w:w="100" w:type="dxa"/>
              <w:end w:w="110" w:type="dxa"/>
            </w:tcMar>
          </w:tcPr>
          <w:p>
            <w:r>
              <w:rPr>
                <w:b/>
                <w:color w:val="FFFFFF"/>
                <w:sz w:val="18"/>
              </w:rPr>
              <w:t>Valeur</w:t>
            </w:r>
          </w:p>
        </w:tc>
      </w:tr>
      <w:tr>
        <w:tc>
          <w:tcPr>
            <w:tcW w:type="dxa" w:w="2880"/>
            <w:vAlign w:val="center"/>
            <w:tcMar>
              <w:top w:w="100" w:type="dxa"/>
              <w:start w:w="110" w:type="dxa"/>
              <w:bottom w:w="100" w:type="dxa"/>
              <w:end w:w="110" w:type="dxa"/>
            </w:tcMar>
          </w:tcPr>
          <w:p>
            <w:pPr>
              <w:spacing w:after="0"/>
            </w:pPr>
            <w:r>
              <w:rPr>
                <w:sz w:val="17"/>
              </w:rPr>
              <w:t>Établissement</w:t>
            </w:r>
          </w:p>
        </w:tc>
        <w:tc>
          <w:tcPr>
            <w:tcW w:type="dxa" w:w="6768"/>
            <w:vAlign w:val="center"/>
            <w:tcMar>
              <w:top w:w="100" w:type="dxa"/>
              <w:start w:w="110" w:type="dxa"/>
              <w:bottom w:w="100" w:type="dxa"/>
              <w:end w:w="110" w:type="dxa"/>
            </w:tcMar>
          </w:tcPr>
          <w:p>
            <w:pPr>
              <w:spacing w:after="0"/>
            </w:pPr>
            <w:r>
              <w:rPr>
                <w:sz w:val="17"/>
              </w:rPr>
              <w:t>Complexe scolaire Shakespeare Academy</w:t>
            </w:r>
          </w:p>
        </w:tc>
      </w:tr>
      <w:tr>
        <w:tc>
          <w:tcPr>
            <w:tcW w:type="dxa" w:w="2880"/>
            <w:vAlign w:val="center"/>
            <w:shd w:fill="F3F6FA"/>
            <w:tcMar>
              <w:top w:w="100" w:type="dxa"/>
              <w:start w:w="110" w:type="dxa"/>
              <w:bottom w:w="100" w:type="dxa"/>
              <w:end w:w="110" w:type="dxa"/>
            </w:tcMar>
          </w:tcPr>
          <w:p>
            <w:pPr>
              <w:spacing w:after="0"/>
            </w:pPr>
            <w:r>
              <w:rPr>
                <w:sz w:val="17"/>
              </w:rPr>
              <w:t>Localisation</w:t>
            </w:r>
          </w:p>
        </w:tc>
        <w:tc>
          <w:tcPr>
            <w:tcW w:type="dxa" w:w="6768"/>
            <w:vAlign w:val="center"/>
            <w:shd w:fill="F3F6FA"/>
            <w:tcMar>
              <w:top w:w="100" w:type="dxa"/>
              <w:start w:w="110" w:type="dxa"/>
              <w:bottom w:w="100" w:type="dxa"/>
              <w:end w:w="110" w:type="dxa"/>
            </w:tcMar>
          </w:tcPr>
          <w:p>
            <w:pPr>
              <w:spacing w:after="0"/>
            </w:pPr>
            <w:r>
              <w:rPr>
                <w:sz w:val="17"/>
              </w:rPr>
              <w:t>Pointe-Noire, République du Congo</w:t>
            </w:r>
          </w:p>
        </w:tc>
      </w:tr>
      <w:tr>
        <w:tc>
          <w:tcPr>
            <w:tcW w:type="dxa" w:w="2880"/>
            <w:vAlign w:val="center"/>
            <w:tcMar>
              <w:top w:w="100" w:type="dxa"/>
              <w:start w:w="110" w:type="dxa"/>
              <w:bottom w:w="100" w:type="dxa"/>
              <w:end w:w="110" w:type="dxa"/>
            </w:tcMar>
          </w:tcPr>
          <w:p>
            <w:pPr>
              <w:spacing w:after="0"/>
            </w:pPr>
            <w:r>
              <w:rPr>
                <w:sz w:val="17"/>
              </w:rPr>
              <w:t>Sections</w:t>
            </w:r>
          </w:p>
        </w:tc>
        <w:tc>
          <w:tcPr>
            <w:tcW w:type="dxa" w:w="6768"/>
            <w:vAlign w:val="center"/>
            <w:tcMar>
              <w:top w:w="100" w:type="dxa"/>
              <w:start w:w="110" w:type="dxa"/>
              <w:bottom w:w="100" w:type="dxa"/>
              <w:end w:w="110" w:type="dxa"/>
            </w:tcMar>
          </w:tcPr>
          <w:p>
            <w:pPr>
              <w:spacing w:after="0"/>
            </w:pPr>
            <w:r>
              <w:rPr>
                <w:sz w:val="17"/>
              </w:rPr>
              <w:t>Francophone et anglophone</w:t>
            </w:r>
          </w:p>
        </w:tc>
      </w:tr>
      <w:tr>
        <w:tc>
          <w:tcPr>
            <w:tcW w:type="dxa" w:w="2880"/>
            <w:vAlign w:val="center"/>
            <w:shd w:fill="F3F6FA"/>
            <w:tcMar>
              <w:top w:w="100" w:type="dxa"/>
              <w:start w:w="110" w:type="dxa"/>
              <w:bottom w:w="100" w:type="dxa"/>
              <w:end w:w="110" w:type="dxa"/>
            </w:tcMar>
          </w:tcPr>
          <w:p>
            <w:pPr>
              <w:spacing w:after="0"/>
            </w:pPr>
            <w:r>
              <w:rPr>
                <w:sz w:val="17"/>
              </w:rPr>
              <w:t>Devise</w:t>
            </w:r>
          </w:p>
        </w:tc>
        <w:tc>
          <w:tcPr>
            <w:tcW w:type="dxa" w:w="6768"/>
            <w:vAlign w:val="center"/>
            <w:shd w:fill="F3F6FA"/>
            <w:tcMar>
              <w:top w:w="100" w:type="dxa"/>
              <w:start w:w="110" w:type="dxa"/>
              <w:bottom w:w="100" w:type="dxa"/>
              <w:end w:w="110" w:type="dxa"/>
            </w:tcMar>
          </w:tcPr>
          <w:p>
            <w:pPr>
              <w:spacing w:after="0"/>
            </w:pPr>
            <w:r>
              <w:rPr>
                <w:sz w:val="17"/>
              </w:rPr>
              <w:t>Franc CFA BEAC (XAF)</w:t>
            </w:r>
          </w:p>
        </w:tc>
      </w:tr>
      <w:tr>
        <w:tc>
          <w:tcPr>
            <w:tcW w:type="dxa" w:w="2880"/>
            <w:vAlign w:val="center"/>
            <w:tcMar>
              <w:top w:w="100" w:type="dxa"/>
              <w:start w:w="110" w:type="dxa"/>
              <w:bottom w:w="100" w:type="dxa"/>
              <w:end w:w="110" w:type="dxa"/>
            </w:tcMar>
          </w:tcPr>
          <w:p>
            <w:pPr>
              <w:spacing w:after="0"/>
            </w:pPr>
            <w:r>
              <w:rPr>
                <w:sz w:val="17"/>
              </w:rPr>
              <w:t>Version du document</w:t>
            </w:r>
          </w:p>
        </w:tc>
        <w:tc>
          <w:tcPr>
            <w:tcW w:type="dxa" w:w="6768"/>
            <w:vAlign w:val="center"/>
            <w:tcMar>
              <w:top w:w="100" w:type="dxa"/>
              <w:start w:w="110" w:type="dxa"/>
              <w:bottom w:w="100" w:type="dxa"/>
              <w:end w:w="110" w:type="dxa"/>
            </w:tcMar>
          </w:tcPr>
          <w:p>
            <w:pPr>
              <w:spacing w:after="0"/>
            </w:pPr>
            <w:r>
              <w:rPr>
                <w:sz w:val="17"/>
              </w:rPr>
              <w:t>1.0 — 16 septembre 2026</w:t>
            </w:r>
          </w:p>
        </w:tc>
      </w:tr>
      <w:tr>
        <w:tc>
          <w:tcPr>
            <w:tcW w:type="dxa" w:w="2880"/>
            <w:vAlign w:val="center"/>
            <w:shd w:fill="F3F6FA"/>
            <w:tcMar>
              <w:top w:w="100" w:type="dxa"/>
              <w:start w:w="110" w:type="dxa"/>
              <w:bottom w:w="100" w:type="dxa"/>
              <w:end w:w="110" w:type="dxa"/>
            </w:tcMar>
          </w:tcPr>
          <w:p>
            <w:pPr>
              <w:spacing w:after="0"/>
            </w:pPr>
            <w:r>
              <w:rPr>
                <w:sz w:val="17"/>
              </w:rPr>
              <w:t>Destination</w:t>
            </w:r>
          </w:p>
        </w:tc>
        <w:tc>
          <w:tcPr>
            <w:tcW w:type="dxa" w:w="6768"/>
            <w:vAlign w:val="center"/>
            <w:shd w:fill="F3F6FA"/>
            <w:tcMar>
              <w:top w:w="100" w:type="dxa"/>
              <w:start w:w="110" w:type="dxa"/>
              <w:bottom w:w="100" w:type="dxa"/>
              <w:end w:w="110" w:type="dxa"/>
            </w:tcMar>
          </w:tcPr>
          <w:p>
            <w:pPr>
              <w:spacing w:after="0"/>
            </w:pPr>
            <w:r>
              <w:rPr>
                <w:sz w:val="17"/>
              </w:rPr>
              <w:t>Équipe produit et Claude Code</w:t>
            </w:r>
          </w:p>
        </w:tc>
      </w:tr>
    </w:tbl>
    <w:p>
      <w:pPr>
        <w:spacing w:after="20"/>
      </w:pPr>
    </w:p>
    <w:p>
      <w:pPr>
        <w:pStyle w:val="Heading2"/>
        <w:keepNext/>
      </w:pPr>
      <w:r>
        <w:t>Décision de conception</w:t>
      </w:r>
    </w:p>
    <w:p>
      <w:r>
        <w:t>Le MVP doit sécuriser toute la chaîne allant de l’inscription à la clôture journalière. Il privilégie la simplicité d’usage, la traçabilité financière et l’impression immédiate des reçus. Les opérations financières validées ne sont jamais supprimées ni modifiées : toute correction passe par une annulation contrôlée et une nouvelle opération.</w:t>
      </w:r>
    </w:p>
    <w:p>
      <w:r>
        <w:br w:type="page"/>
      </w:r>
    </w:p>
    <w:p>
      <w:pPr>
        <w:pStyle w:val="Heading1"/>
        <w:keepNext/>
      </w:pPr>
      <w:r>
        <w:t>1 Objectif et périmètre</w:t>
      </w:r>
    </w:p>
    <w:p>
      <w:r>
        <w:t>L’application centralise les dossiers élèves, les inscriptions et réinscriptions, la facturation, les encaissements, les autres recettes, les sorties financières, la situation de solvabilité et la clôture de caisse. Elle couvre les deux sections dans une seule base, tout en conservant leurs nomenclatures propres.</w:t>
      </w:r>
    </w:p>
    <w:p>
      <w:pPr>
        <w:pStyle w:val="Heading2"/>
        <w:keepNext/>
      </w:pPr>
      <w:r>
        <w:t>1.1 Résultat attendu du MVP</w:t>
      </w:r>
    </w:p>
    <w:p>
      <w:pPr>
        <w:pStyle w:val="ListBullet"/>
      </w:pPr>
      <w:r>
        <w:t>Retrouver ou créer un élève sans doublon, puis l’inscrire dans une classe pour une année scolaire.</w:t>
      </w:r>
    </w:p>
    <w:p>
      <w:pPr>
        <w:pStyle w:val="ListBullet"/>
      </w:pPr>
      <w:r>
        <w:t>Générer automatiquement les frais applicables selon la section, le cycle, la classe et l’année scolaire.</w:t>
      </w:r>
    </w:p>
    <w:p>
      <w:pPr>
        <w:pStyle w:val="ListBullet"/>
      </w:pPr>
      <w:r>
        <w:t>Encaisser l’inscription, la préinscription, les trois tranches d’écolage et les autres frais.</w:t>
      </w:r>
    </w:p>
    <w:p>
      <w:pPr>
        <w:pStyle w:val="ListBullet"/>
      </w:pPr>
      <w:r>
        <w:t>Imprimer ou réimprimer un reçu numéroté pour chaque encaissement et chaque décaissement.</w:t>
      </w:r>
    </w:p>
    <w:p>
      <w:pPr>
        <w:pStyle w:val="ListBullet"/>
      </w:pPr>
      <w:r>
        <w:t>Afficher instantanément la situation financière d’un élève et son statut de solvabilité.</w:t>
      </w:r>
    </w:p>
    <w:p>
      <w:pPr>
        <w:pStyle w:val="ListBullet"/>
      </w:pPr>
      <w:r>
        <w:t>Enregistrer les sorties de caisse avec motif, catégorie, bénéficiaire et justificatif.</w:t>
      </w:r>
    </w:p>
    <w:p>
      <w:pPr>
        <w:pStyle w:val="ListBullet"/>
      </w:pPr>
      <w:r>
        <w:t>Clôturer la journée par caisse et produire un état signé avec écart éventuel.</w:t>
      </w:r>
    </w:p>
    <w:p>
      <w:pPr>
        <w:pStyle w:val="ListBullet"/>
      </w:pPr>
      <w:r>
        <w:t>Donner à la direction des indicateurs fiables sans permettre la falsification de l’historique.</w:t>
      </w:r>
    </w:p>
    <w:p>
      <w:pPr>
        <w:pStyle w:val="Heading2"/>
        <w:keepNext/>
      </w:pPr>
      <w:r>
        <w:t>1.2 Hors périmètre initial</w:t>
      </w:r>
    </w:p>
    <w:p>
      <w:r>
        <w:t>Les fonctions suivantes sont reportées : notes et bulletins, emplois du temps, absences, bibliothèque, cantine, transport, paie, comptabilité générale complète, portail parent, mobile money et application mobile native. L’architecture devra permettre leur ajout sans reconstruire le noyau élève et finance.</w:t>
      </w:r>
    </w:p>
    <w:p>
      <w:pPr>
        <w:pStyle w:val="Heading2"/>
        <w:keepNext/>
      </w:pPr>
      <w:r>
        <w:t>1.3 Hypothèses à valider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240"/>
            <w:shd w:fill="17365D"/>
            <w:vAlign w:val="center"/>
            <w:tcMar>
              <w:top w:w="100" w:type="dxa"/>
              <w:start w:w="110" w:type="dxa"/>
              <w:bottom w:w="100" w:type="dxa"/>
              <w:end w:w="110" w:type="dxa"/>
            </w:tcMar>
          </w:tcPr>
          <w:p>
            <w:r>
              <w:rPr>
                <w:b/>
                <w:color w:val="FFFFFF"/>
                <w:sz w:val="18"/>
              </w:rPr>
              <w:t>Hypothèse de travail</w:t>
            </w:r>
          </w:p>
        </w:tc>
        <w:tc>
          <w:tcPr>
            <w:tcW w:type="dxa" w:w="6408"/>
            <w:shd w:fill="17365D"/>
            <w:vAlign w:val="center"/>
            <w:tcMar>
              <w:top w:w="100" w:type="dxa"/>
              <w:start w:w="110" w:type="dxa"/>
              <w:bottom w:w="100" w:type="dxa"/>
              <w:end w:w="110" w:type="dxa"/>
            </w:tcMar>
          </w:tcPr>
          <w:p>
            <w:r>
              <w:rPr>
                <w:b/>
                <w:color w:val="FFFFFF"/>
                <w:sz w:val="18"/>
              </w:rPr>
              <w:t>Décision provisoire</w:t>
            </w:r>
          </w:p>
        </w:tc>
      </w:tr>
      <w:tr>
        <w:tc>
          <w:tcPr>
            <w:tcW w:type="dxa" w:w="3240"/>
            <w:vAlign w:val="center"/>
            <w:tcMar>
              <w:top w:w="100" w:type="dxa"/>
              <w:start w:w="110" w:type="dxa"/>
              <w:bottom w:w="100" w:type="dxa"/>
              <w:end w:w="110" w:type="dxa"/>
            </w:tcMar>
          </w:tcPr>
          <w:p>
            <w:pPr>
              <w:spacing w:after="0"/>
            </w:pPr>
            <w:r>
              <w:rPr>
                <w:sz w:val="17"/>
              </w:rPr>
              <w:t>Identité scolaire</w:t>
            </w:r>
          </w:p>
        </w:tc>
        <w:tc>
          <w:tcPr>
            <w:tcW w:type="dxa" w:w="6408"/>
            <w:vAlign w:val="center"/>
            <w:tcMar>
              <w:top w:w="100" w:type="dxa"/>
              <w:start w:w="110" w:type="dxa"/>
              <w:bottom w:w="100" w:type="dxa"/>
              <w:end w:w="110" w:type="dxa"/>
            </w:tcMar>
          </w:tcPr>
          <w:p>
            <w:pPr>
              <w:spacing w:after="0"/>
            </w:pPr>
            <w:r>
              <w:rPr>
                <w:sz w:val="17"/>
              </w:rPr>
              <w:t>Un même élève conserve un matricule permanent, quelle que soit l’année.</w:t>
            </w:r>
          </w:p>
        </w:tc>
      </w:tr>
      <w:tr>
        <w:tc>
          <w:tcPr>
            <w:tcW w:type="dxa" w:w="3240"/>
            <w:vAlign w:val="center"/>
            <w:shd w:fill="F3F6FA"/>
            <w:tcMar>
              <w:top w:w="100" w:type="dxa"/>
              <w:start w:w="110" w:type="dxa"/>
              <w:bottom w:w="100" w:type="dxa"/>
              <w:end w:w="110" w:type="dxa"/>
            </w:tcMar>
          </w:tcPr>
          <w:p>
            <w:pPr>
              <w:spacing w:after="0"/>
            </w:pPr>
            <w:r>
              <w:rPr>
                <w:sz w:val="17"/>
              </w:rPr>
              <w:t>Inscription et préinscription</w:t>
            </w:r>
          </w:p>
        </w:tc>
        <w:tc>
          <w:tcPr>
            <w:tcW w:type="dxa" w:w="6408"/>
            <w:vAlign w:val="center"/>
            <w:shd w:fill="F3F6FA"/>
            <w:tcMar>
              <w:top w:w="100" w:type="dxa"/>
              <w:start w:w="110" w:type="dxa"/>
              <w:bottom w:w="100" w:type="dxa"/>
              <w:end w:w="110" w:type="dxa"/>
            </w:tcMar>
          </w:tcPr>
          <w:p>
            <w:pPr>
              <w:spacing w:after="0"/>
            </w:pPr>
            <w:r>
              <w:rPr>
                <w:sz w:val="17"/>
              </w:rPr>
              <w:t>Ce sont deux types de frais paramétrables. Leur caractère obligatoire doit être configurable.</w:t>
            </w:r>
          </w:p>
        </w:tc>
      </w:tr>
      <w:tr>
        <w:tc>
          <w:tcPr>
            <w:tcW w:type="dxa" w:w="3240"/>
            <w:vAlign w:val="center"/>
            <w:tcMar>
              <w:top w:w="100" w:type="dxa"/>
              <w:start w:w="110" w:type="dxa"/>
              <w:bottom w:w="100" w:type="dxa"/>
              <w:end w:w="110" w:type="dxa"/>
            </w:tcMar>
          </w:tcPr>
          <w:p>
            <w:pPr>
              <w:spacing w:after="0"/>
            </w:pPr>
            <w:r>
              <w:rPr>
                <w:sz w:val="17"/>
              </w:rPr>
              <w:t>Écolage</w:t>
            </w:r>
          </w:p>
        </w:tc>
        <w:tc>
          <w:tcPr>
            <w:tcW w:type="dxa" w:w="6408"/>
            <w:vAlign w:val="center"/>
            <w:tcMar>
              <w:top w:w="100" w:type="dxa"/>
              <w:start w:w="110" w:type="dxa"/>
              <w:bottom w:w="100" w:type="dxa"/>
              <w:end w:w="110" w:type="dxa"/>
            </w:tcMar>
          </w:tcPr>
          <w:p>
            <w:pPr>
              <w:spacing w:after="0"/>
            </w:pPr>
            <w:r>
              <w:rPr>
                <w:sz w:val="17"/>
              </w:rPr>
              <w:t>Le montant annuel est ventilé en trois tranches avec montants et échéances configurables.</w:t>
            </w:r>
          </w:p>
        </w:tc>
      </w:tr>
      <w:tr>
        <w:tc>
          <w:tcPr>
            <w:tcW w:type="dxa" w:w="3240"/>
            <w:vAlign w:val="center"/>
            <w:shd w:fill="F3F6FA"/>
            <w:tcMar>
              <w:top w:w="100" w:type="dxa"/>
              <w:start w:w="110" w:type="dxa"/>
              <w:bottom w:w="100" w:type="dxa"/>
              <w:end w:w="110" w:type="dxa"/>
            </w:tcMar>
          </w:tcPr>
          <w:p>
            <w:pPr>
              <w:spacing w:after="0"/>
            </w:pPr>
            <w:r>
              <w:rPr>
                <w:sz w:val="17"/>
              </w:rPr>
              <w:t>Paiement partiel</w:t>
            </w:r>
          </w:p>
        </w:tc>
        <w:tc>
          <w:tcPr>
            <w:tcW w:type="dxa" w:w="6408"/>
            <w:vAlign w:val="center"/>
            <w:shd w:fill="F3F6FA"/>
            <w:tcMar>
              <w:top w:w="100" w:type="dxa"/>
              <w:start w:w="110" w:type="dxa"/>
              <w:bottom w:w="100" w:type="dxa"/>
              <w:end w:w="110" w:type="dxa"/>
            </w:tcMar>
          </w:tcPr>
          <w:p>
            <w:pPr>
              <w:spacing w:after="0"/>
            </w:pPr>
            <w:r>
              <w:rPr>
                <w:sz w:val="17"/>
              </w:rPr>
              <w:t>Autorisé par défaut sur chaque échéance, avec solde restant visible.</w:t>
            </w:r>
          </w:p>
        </w:tc>
      </w:tr>
      <w:tr>
        <w:tc>
          <w:tcPr>
            <w:tcW w:type="dxa" w:w="3240"/>
            <w:vAlign w:val="center"/>
            <w:tcMar>
              <w:top w:w="100" w:type="dxa"/>
              <w:start w:w="110" w:type="dxa"/>
              <w:bottom w:w="100" w:type="dxa"/>
              <w:end w:w="110" w:type="dxa"/>
            </w:tcMar>
          </w:tcPr>
          <w:p>
            <w:pPr>
              <w:spacing w:after="0"/>
            </w:pPr>
            <w:r>
              <w:rPr>
                <w:sz w:val="17"/>
              </w:rPr>
              <w:t>Modes de paiement</w:t>
            </w:r>
          </w:p>
        </w:tc>
        <w:tc>
          <w:tcPr>
            <w:tcW w:type="dxa" w:w="6408"/>
            <w:vAlign w:val="center"/>
            <w:tcMar>
              <w:top w:w="100" w:type="dxa"/>
              <w:start w:w="110" w:type="dxa"/>
              <w:bottom w:w="100" w:type="dxa"/>
              <w:end w:w="110" w:type="dxa"/>
            </w:tcMar>
          </w:tcPr>
          <w:p>
            <w:pPr>
              <w:spacing w:after="0"/>
            </w:pPr>
            <w:r>
              <w:rPr>
                <w:sz w:val="17"/>
              </w:rPr>
              <w:t>Espèces, mobile money, virement, chèque et autre, configurables.</w:t>
            </w:r>
          </w:p>
        </w:tc>
      </w:tr>
      <w:tr>
        <w:tc>
          <w:tcPr>
            <w:tcW w:type="dxa" w:w="3240"/>
            <w:vAlign w:val="center"/>
            <w:shd w:fill="F3F6FA"/>
            <w:tcMar>
              <w:top w:w="100" w:type="dxa"/>
              <w:start w:w="110" w:type="dxa"/>
              <w:bottom w:w="100" w:type="dxa"/>
              <w:end w:w="110" w:type="dxa"/>
            </w:tcMar>
          </w:tcPr>
          <w:p>
            <w:pPr>
              <w:spacing w:after="0"/>
            </w:pPr>
            <w:r>
              <w:rPr>
                <w:sz w:val="17"/>
              </w:rPr>
              <w:t>Caisse</w:t>
            </w:r>
          </w:p>
        </w:tc>
        <w:tc>
          <w:tcPr>
            <w:tcW w:type="dxa" w:w="6408"/>
            <w:vAlign w:val="center"/>
            <w:shd w:fill="F3F6FA"/>
            <w:tcMar>
              <w:top w:w="100" w:type="dxa"/>
              <w:start w:w="110" w:type="dxa"/>
              <w:bottom w:w="100" w:type="dxa"/>
              <w:end w:w="110" w:type="dxa"/>
            </w:tcMar>
          </w:tcPr>
          <w:p>
            <w:pPr>
              <w:spacing w:after="0"/>
            </w:pPr>
            <w:r>
              <w:rPr>
                <w:sz w:val="17"/>
              </w:rPr>
              <w:t>Une ou plusieurs caisses peuvent exister. Chaque opération appartient à une caisse et un caissier.</w:t>
            </w:r>
          </w:p>
        </w:tc>
      </w:tr>
      <w:tr>
        <w:tc>
          <w:tcPr>
            <w:tcW w:type="dxa" w:w="3240"/>
            <w:vAlign w:val="center"/>
            <w:tcMar>
              <w:top w:w="100" w:type="dxa"/>
              <w:start w:w="110" w:type="dxa"/>
              <w:bottom w:w="100" w:type="dxa"/>
              <w:end w:w="110" w:type="dxa"/>
            </w:tcMar>
          </w:tcPr>
          <w:p>
            <w:pPr>
              <w:spacing w:after="0"/>
            </w:pPr>
            <w:r>
              <w:rPr>
                <w:sz w:val="17"/>
              </w:rPr>
              <w:t>Année scolaire</w:t>
            </w:r>
          </w:p>
        </w:tc>
        <w:tc>
          <w:tcPr>
            <w:tcW w:type="dxa" w:w="6408"/>
            <w:vAlign w:val="center"/>
            <w:tcMar>
              <w:top w:w="100" w:type="dxa"/>
              <w:start w:w="110" w:type="dxa"/>
              <w:bottom w:w="100" w:type="dxa"/>
              <w:end w:w="110" w:type="dxa"/>
            </w:tcMar>
          </w:tcPr>
          <w:p>
            <w:pPr>
              <w:spacing w:after="0"/>
            </w:pPr>
            <w:r>
              <w:rPr>
                <w:sz w:val="17"/>
              </w:rPr>
              <w:t>Une seule année active pour les opérations courantes, les anciennes restant consultables.</w:t>
            </w:r>
          </w:p>
        </w:tc>
      </w:tr>
      <w:tr>
        <w:tc>
          <w:tcPr>
            <w:tcW w:type="dxa" w:w="3240"/>
            <w:vAlign w:val="center"/>
            <w:shd w:fill="F3F6FA"/>
            <w:tcMar>
              <w:top w:w="100" w:type="dxa"/>
              <w:start w:w="110" w:type="dxa"/>
              <w:bottom w:w="100" w:type="dxa"/>
              <w:end w:w="110" w:type="dxa"/>
            </w:tcMar>
          </w:tcPr>
          <w:p>
            <w:pPr>
              <w:spacing w:after="0"/>
            </w:pPr>
            <w:r>
              <w:rPr>
                <w:sz w:val="17"/>
              </w:rPr>
              <w:t>Langue interface</w:t>
            </w:r>
          </w:p>
        </w:tc>
        <w:tc>
          <w:tcPr>
            <w:tcW w:type="dxa" w:w="6408"/>
            <w:vAlign w:val="center"/>
            <w:shd w:fill="F3F6FA"/>
            <w:tcMar>
              <w:top w:w="100" w:type="dxa"/>
              <w:start w:w="110" w:type="dxa"/>
              <w:bottom w:w="100" w:type="dxa"/>
              <w:end w:w="110" w:type="dxa"/>
            </w:tcMar>
          </w:tcPr>
          <w:p>
            <w:pPr>
              <w:spacing w:after="0"/>
            </w:pPr>
            <w:r>
              <w:rPr>
                <w:sz w:val="17"/>
              </w:rPr>
              <w:t>Français au lancement, terminologie anglaise conservée pour les classes de la section anglophone.</w:t>
            </w:r>
          </w:p>
        </w:tc>
      </w:tr>
      <w:tr>
        <w:tc>
          <w:tcPr>
            <w:tcW w:type="dxa" w:w="3240"/>
            <w:vAlign w:val="center"/>
            <w:tcMar>
              <w:top w:w="100" w:type="dxa"/>
              <w:start w:w="110" w:type="dxa"/>
              <w:bottom w:w="100" w:type="dxa"/>
              <w:end w:w="110" w:type="dxa"/>
            </w:tcMar>
          </w:tcPr>
          <w:p>
            <w:pPr>
              <w:spacing w:after="0"/>
            </w:pPr>
            <w:r>
              <w:rPr>
                <w:sz w:val="17"/>
              </w:rPr>
              <w:t>Connexion</w:t>
            </w:r>
          </w:p>
        </w:tc>
        <w:tc>
          <w:tcPr>
            <w:tcW w:type="dxa" w:w="6408"/>
            <w:vAlign w:val="center"/>
            <w:tcMar>
              <w:top w:w="100" w:type="dxa"/>
              <w:start w:w="110" w:type="dxa"/>
              <w:bottom w:w="100" w:type="dxa"/>
              <w:end w:w="110" w:type="dxa"/>
            </w:tcMar>
          </w:tcPr>
          <w:p>
            <w:pPr>
              <w:spacing w:after="0"/>
            </w:pPr>
            <w:r>
              <w:rPr>
                <w:sz w:val="17"/>
              </w:rPr>
              <w:t>Application web responsive sur réseau local ou Internet ; mode hors ligne exclu du MVP.</w:t>
            </w:r>
          </w:p>
        </w:tc>
      </w:tr>
      <w:tr>
        <w:tc>
          <w:tcPr>
            <w:tcW w:type="dxa" w:w="3240"/>
            <w:vAlign w:val="center"/>
            <w:shd w:fill="F3F6FA"/>
            <w:tcMar>
              <w:top w:w="100" w:type="dxa"/>
              <w:start w:w="110" w:type="dxa"/>
              <w:bottom w:w="100" w:type="dxa"/>
              <w:end w:w="110" w:type="dxa"/>
            </w:tcMar>
          </w:tcPr>
          <w:p>
            <w:pPr>
              <w:spacing w:after="0"/>
            </w:pPr>
            <w:r>
              <w:rPr>
                <w:sz w:val="17"/>
              </w:rPr>
              <w:t>Devise et fuseau</w:t>
            </w:r>
          </w:p>
        </w:tc>
        <w:tc>
          <w:tcPr>
            <w:tcW w:type="dxa" w:w="6408"/>
            <w:vAlign w:val="center"/>
            <w:shd w:fill="F3F6FA"/>
            <w:tcMar>
              <w:top w:w="100" w:type="dxa"/>
              <w:start w:w="110" w:type="dxa"/>
              <w:bottom w:w="100" w:type="dxa"/>
              <w:end w:w="110" w:type="dxa"/>
            </w:tcMar>
          </w:tcPr>
          <w:p>
            <w:pPr>
              <w:spacing w:after="0"/>
            </w:pPr>
            <w:r>
              <w:rPr>
                <w:sz w:val="17"/>
              </w:rPr>
              <w:t>XAF sans décimales ; fuseau Africa/Brazzaville.</w:t>
            </w:r>
          </w:p>
        </w:tc>
      </w:tr>
    </w:tbl>
    <w:p>
      <w:pPr>
        <w:spacing w:after="20"/>
      </w:pPr>
    </w:p>
    <w:p>
      <w:pPr>
        <w:pStyle w:val="Heading1"/>
        <w:keepNext/>
      </w:pPr>
      <w:r>
        <w:t>2 Structure académique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00"/>
            <w:shd w:fill="17365D"/>
            <w:vAlign w:val="center"/>
            <w:tcMar>
              <w:top w:w="100" w:type="dxa"/>
              <w:start w:w="110" w:type="dxa"/>
              <w:bottom w:w="100" w:type="dxa"/>
              <w:end w:w="110" w:type="dxa"/>
            </w:tcMar>
          </w:tcPr>
          <w:p>
            <w:r>
              <w:rPr>
                <w:b/>
                <w:color w:val="FFFFFF"/>
                <w:sz w:val="18"/>
              </w:rPr>
              <w:t>Section</w:t>
            </w:r>
          </w:p>
        </w:tc>
        <w:tc>
          <w:tcPr>
            <w:tcW w:type="dxa" w:w="1728"/>
            <w:shd w:fill="17365D"/>
            <w:vAlign w:val="center"/>
            <w:tcMar>
              <w:top w:w="100" w:type="dxa"/>
              <w:start w:w="110" w:type="dxa"/>
              <w:bottom w:w="100" w:type="dxa"/>
              <w:end w:w="110" w:type="dxa"/>
            </w:tcMar>
          </w:tcPr>
          <w:p>
            <w:r>
              <w:rPr>
                <w:b/>
                <w:color w:val="FFFFFF"/>
                <w:sz w:val="18"/>
              </w:rPr>
              <w:t>Cycle</w:t>
            </w:r>
          </w:p>
        </w:tc>
        <w:tc>
          <w:tcPr>
            <w:tcW w:type="dxa" w:w="3168"/>
            <w:shd w:fill="17365D"/>
            <w:vAlign w:val="center"/>
            <w:tcMar>
              <w:top w:w="100" w:type="dxa"/>
              <w:start w:w="110" w:type="dxa"/>
              <w:bottom w:w="100" w:type="dxa"/>
              <w:end w:w="110" w:type="dxa"/>
            </w:tcMar>
          </w:tcPr>
          <w:p>
            <w:r>
              <w:rPr>
                <w:b/>
                <w:color w:val="FFFFFF"/>
                <w:sz w:val="18"/>
              </w:rPr>
              <w:t>Niveaux indicatifs</w:t>
            </w:r>
          </w:p>
        </w:tc>
        <w:tc>
          <w:tcPr>
            <w:tcW w:type="dxa" w:w="2952"/>
            <w:shd w:fill="17365D"/>
            <w:vAlign w:val="center"/>
            <w:tcMar>
              <w:top w:w="100" w:type="dxa"/>
              <w:start w:w="110" w:type="dxa"/>
              <w:bottom w:w="100" w:type="dxa"/>
              <w:end w:w="110" w:type="dxa"/>
            </w:tcMar>
          </w:tcPr>
          <w:p>
            <w:r>
              <w:rPr>
                <w:b/>
                <w:color w:val="FFFFFF"/>
                <w:sz w:val="18"/>
              </w:rPr>
              <w:t>À confirmer par l’école</w:t>
            </w:r>
          </w:p>
        </w:tc>
      </w:tr>
      <w:tr>
        <w:tc>
          <w:tcPr>
            <w:tcW w:type="dxa" w:w="1800"/>
            <w:vAlign w:val="center"/>
            <w:tcMar>
              <w:top w:w="100" w:type="dxa"/>
              <w:start w:w="110" w:type="dxa"/>
              <w:bottom w:w="100" w:type="dxa"/>
              <w:end w:w="110" w:type="dxa"/>
            </w:tcMar>
          </w:tcPr>
          <w:p>
            <w:pPr>
              <w:spacing w:after="0"/>
            </w:pPr>
            <w:r>
              <w:rPr>
                <w:sz w:val="17"/>
              </w:rPr>
              <w:t>Francophone</w:t>
            </w:r>
          </w:p>
        </w:tc>
        <w:tc>
          <w:tcPr>
            <w:tcW w:type="dxa" w:w="1728"/>
            <w:vAlign w:val="center"/>
            <w:tcMar>
              <w:top w:w="100" w:type="dxa"/>
              <w:start w:w="110" w:type="dxa"/>
              <w:bottom w:w="100" w:type="dxa"/>
              <w:end w:w="110" w:type="dxa"/>
            </w:tcMar>
          </w:tcPr>
          <w:p>
            <w:pPr>
              <w:spacing w:after="0"/>
            </w:pPr>
            <w:r>
              <w:rPr>
                <w:sz w:val="17"/>
              </w:rPr>
              <w:t>Maternelle</w:t>
            </w:r>
          </w:p>
        </w:tc>
        <w:tc>
          <w:tcPr>
            <w:tcW w:type="dxa" w:w="3168"/>
            <w:vAlign w:val="center"/>
            <w:tcMar>
              <w:top w:w="100" w:type="dxa"/>
              <w:start w:w="110" w:type="dxa"/>
              <w:bottom w:w="100" w:type="dxa"/>
              <w:end w:w="110" w:type="dxa"/>
            </w:tcMar>
          </w:tcPr>
          <w:p>
            <w:pPr>
              <w:spacing w:after="0"/>
            </w:pPr>
            <w:r>
              <w:rPr>
                <w:sz w:val="17"/>
              </w:rPr>
              <w:t>TPS, PS, MS et GS</w:t>
            </w:r>
          </w:p>
        </w:tc>
        <w:tc>
          <w:tcPr>
            <w:tcW w:type="dxa" w:w="2952"/>
            <w:vAlign w:val="center"/>
            <w:tcMar>
              <w:top w:w="100" w:type="dxa"/>
              <w:start w:w="110" w:type="dxa"/>
              <w:bottom w:w="100" w:type="dxa"/>
              <w:end w:w="110" w:type="dxa"/>
            </w:tcMar>
          </w:tcPr>
          <w:p>
            <w:pPr>
              <w:spacing w:after="0"/>
            </w:pPr>
            <w:r>
              <w:rPr>
                <w:sz w:val="17"/>
              </w:rPr>
              <w:t>Très Petite, Petite, Moyenne et Grande Section</w:t>
            </w:r>
          </w:p>
        </w:tc>
      </w:tr>
      <w:tr>
        <w:tc>
          <w:tcPr>
            <w:tcW w:type="dxa" w:w="1800"/>
            <w:vAlign w:val="center"/>
            <w:shd w:fill="F3F6FA"/>
            <w:tcMar>
              <w:top w:w="100" w:type="dxa"/>
              <w:start w:w="110" w:type="dxa"/>
              <w:bottom w:w="100" w:type="dxa"/>
              <w:end w:w="110" w:type="dxa"/>
            </w:tcMar>
          </w:tcPr>
          <w:p>
            <w:pPr>
              <w:spacing w:after="0"/>
            </w:pPr>
            <w:r>
              <w:rPr>
                <w:sz w:val="17"/>
              </w:rPr>
              <w:t>Francophone</w:t>
            </w:r>
          </w:p>
        </w:tc>
        <w:tc>
          <w:tcPr>
            <w:tcW w:type="dxa" w:w="1728"/>
            <w:vAlign w:val="center"/>
            <w:shd w:fill="F3F6FA"/>
            <w:tcMar>
              <w:top w:w="100" w:type="dxa"/>
              <w:start w:w="110" w:type="dxa"/>
              <w:bottom w:w="100" w:type="dxa"/>
              <w:end w:w="110" w:type="dxa"/>
            </w:tcMar>
          </w:tcPr>
          <w:p>
            <w:pPr>
              <w:spacing w:after="0"/>
            </w:pPr>
            <w:r>
              <w:rPr>
                <w:sz w:val="17"/>
              </w:rPr>
              <w:t>Primaire</w:t>
            </w:r>
          </w:p>
        </w:tc>
        <w:tc>
          <w:tcPr>
            <w:tcW w:type="dxa" w:w="3168"/>
            <w:vAlign w:val="center"/>
            <w:shd w:fill="F3F6FA"/>
            <w:tcMar>
              <w:top w:w="100" w:type="dxa"/>
              <w:start w:w="110" w:type="dxa"/>
              <w:bottom w:w="100" w:type="dxa"/>
              <w:end w:w="110" w:type="dxa"/>
            </w:tcMar>
          </w:tcPr>
          <w:p>
            <w:pPr>
              <w:spacing w:after="0"/>
            </w:pPr>
            <w:r>
              <w:rPr>
                <w:sz w:val="17"/>
              </w:rPr>
              <w:t>CP1, CP2, CE1, CE2, CM1, CM2</w:t>
            </w:r>
          </w:p>
        </w:tc>
        <w:tc>
          <w:tcPr>
            <w:tcW w:type="dxa" w:w="2952"/>
            <w:vAlign w:val="center"/>
            <w:shd w:fill="F3F6FA"/>
            <w:tcMar>
              <w:top w:w="100" w:type="dxa"/>
              <w:start w:w="110" w:type="dxa"/>
              <w:bottom w:w="100" w:type="dxa"/>
              <w:end w:w="110" w:type="dxa"/>
            </w:tcMar>
          </w:tcPr>
          <w:p>
            <w:pPr>
              <w:spacing w:after="0"/>
            </w:pPr>
            <w:r>
              <w:rPr>
                <w:sz w:val="17"/>
              </w:rPr>
              <w:t>Libellés et éventuels sous-niveaux</w:t>
            </w:r>
          </w:p>
        </w:tc>
      </w:tr>
      <w:tr>
        <w:tc>
          <w:tcPr>
            <w:tcW w:type="dxa" w:w="1800"/>
            <w:vAlign w:val="center"/>
            <w:tcMar>
              <w:top w:w="100" w:type="dxa"/>
              <w:start w:w="110" w:type="dxa"/>
              <w:bottom w:w="100" w:type="dxa"/>
              <w:end w:w="110" w:type="dxa"/>
            </w:tcMar>
          </w:tcPr>
          <w:p>
            <w:pPr>
              <w:spacing w:after="0"/>
            </w:pPr>
            <w:r>
              <w:rPr>
                <w:sz w:val="17"/>
              </w:rPr>
              <w:t>Francophone</w:t>
            </w:r>
          </w:p>
        </w:tc>
        <w:tc>
          <w:tcPr>
            <w:tcW w:type="dxa" w:w="1728"/>
            <w:vAlign w:val="center"/>
            <w:tcMar>
              <w:top w:w="100" w:type="dxa"/>
              <w:start w:w="110" w:type="dxa"/>
              <w:bottom w:w="100" w:type="dxa"/>
              <w:end w:w="110" w:type="dxa"/>
            </w:tcMar>
          </w:tcPr>
          <w:p>
            <w:pPr>
              <w:spacing w:after="0"/>
            </w:pPr>
            <w:r>
              <w:rPr>
                <w:sz w:val="17"/>
              </w:rPr>
              <w:t>Collège</w:t>
            </w:r>
          </w:p>
        </w:tc>
        <w:tc>
          <w:tcPr>
            <w:tcW w:type="dxa" w:w="3168"/>
            <w:vAlign w:val="center"/>
            <w:tcMar>
              <w:top w:w="100" w:type="dxa"/>
              <w:start w:w="110" w:type="dxa"/>
              <w:bottom w:w="100" w:type="dxa"/>
              <w:end w:w="110" w:type="dxa"/>
            </w:tcMar>
          </w:tcPr>
          <w:p>
            <w:pPr>
              <w:spacing w:after="0"/>
            </w:pPr>
            <w:r>
              <w:rPr>
                <w:sz w:val="17"/>
              </w:rPr>
              <w:t>6e, 5e, 4e, 3e</w:t>
            </w:r>
          </w:p>
        </w:tc>
        <w:tc>
          <w:tcPr>
            <w:tcW w:type="dxa" w:w="2952"/>
            <w:vAlign w:val="center"/>
            <w:tcMar>
              <w:top w:w="100" w:type="dxa"/>
              <w:start w:w="110" w:type="dxa"/>
              <w:bottom w:w="100" w:type="dxa"/>
              <w:end w:w="110" w:type="dxa"/>
            </w:tcMar>
          </w:tcPr>
          <w:p>
            <w:pPr>
              <w:spacing w:after="0"/>
            </w:pPr>
            <w:r>
              <w:rPr>
                <w:sz w:val="17"/>
              </w:rPr>
              <w:t>Séries ou options éventuelles</w:t>
            </w:r>
          </w:p>
        </w:tc>
      </w:tr>
      <w:tr>
        <w:tc>
          <w:tcPr>
            <w:tcW w:type="dxa" w:w="1800"/>
            <w:vAlign w:val="center"/>
            <w:shd w:fill="F3F6FA"/>
            <w:tcMar>
              <w:top w:w="100" w:type="dxa"/>
              <w:start w:w="110" w:type="dxa"/>
              <w:bottom w:w="100" w:type="dxa"/>
              <w:end w:w="110" w:type="dxa"/>
            </w:tcMar>
          </w:tcPr>
          <w:p>
            <w:pPr>
              <w:spacing w:after="0"/>
            </w:pPr>
            <w:r>
              <w:rPr>
                <w:sz w:val="17"/>
              </w:rPr>
              <w:t>Francophone</w:t>
            </w:r>
          </w:p>
        </w:tc>
        <w:tc>
          <w:tcPr>
            <w:tcW w:type="dxa" w:w="1728"/>
            <w:vAlign w:val="center"/>
            <w:shd w:fill="F3F6FA"/>
            <w:tcMar>
              <w:top w:w="100" w:type="dxa"/>
              <w:start w:w="110" w:type="dxa"/>
              <w:bottom w:w="100" w:type="dxa"/>
              <w:end w:w="110" w:type="dxa"/>
            </w:tcMar>
          </w:tcPr>
          <w:p>
            <w:pPr>
              <w:spacing w:after="0"/>
            </w:pPr>
            <w:r>
              <w:rPr>
                <w:sz w:val="17"/>
              </w:rPr>
              <w:t>Lycée</w:t>
            </w:r>
          </w:p>
        </w:tc>
        <w:tc>
          <w:tcPr>
            <w:tcW w:type="dxa" w:w="3168"/>
            <w:vAlign w:val="center"/>
            <w:shd w:fill="F3F6FA"/>
            <w:tcMar>
              <w:top w:w="100" w:type="dxa"/>
              <w:start w:w="110" w:type="dxa"/>
              <w:bottom w:w="100" w:type="dxa"/>
              <w:end w:w="110" w:type="dxa"/>
            </w:tcMar>
          </w:tcPr>
          <w:p>
            <w:pPr>
              <w:spacing w:after="0"/>
            </w:pPr>
            <w:r>
              <w:rPr>
                <w:sz w:val="17"/>
              </w:rPr>
              <w:t>2nde C</w:t>
            </w:r>
          </w:p>
        </w:tc>
        <w:tc>
          <w:tcPr>
            <w:tcW w:type="dxa" w:w="2952"/>
            <w:vAlign w:val="center"/>
            <w:shd w:fill="F3F6FA"/>
            <w:tcMar>
              <w:top w:w="100" w:type="dxa"/>
              <w:start w:w="110" w:type="dxa"/>
              <w:bottom w:w="100" w:type="dxa"/>
              <w:end w:w="110" w:type="dxa"/>
            </w:tcMar>
          </w:tcPr>
          <w:p>
            <w:pPr>
              <w:spacing w:after="0"/>
            </w:pPr>
            <w:r>
              <w:rPr>
                <w:sz w:val="17"/>
              </w:rPr>
              <w:t>Seul niveau lycée confirmé à ce stade</w:t>
            </w:r>
          </w:p>
        </w:tc>
      </w:tr>
      <w:tr>
        <w:tc>
          <w:tcPr>
            <w:tcW w:type="dxa" w:w="1800"/>
            <w:vAlign w:val="center"/>
            <w:tcMar>
              <w:top w:w="100" w:type="dxa"/>
              <w:start w:w="110" w:type="dxa"/>
              <w:bottom w:w="100" w:type="dxa"/>
              <w:end w:w="110" w:type="dxa"/>
            </w:tcMar>
          </w:tcPr>
          <w:p>
            <w:pPr>
              <w:spacing w:after="0"/>
            </w:pPr>
            <w:r>
              <w:rPr>
                <w:sz w:val="17"/>
              </w:rPr>
              <w:t>Anglophone</w:t>
            </w:r>
          </w:p>
        </w:tc>
        <w:tc>
          <w:tcPr>
            <w:tcW w:type="dxa" w:w="1728"/>
            <w:vAlign w:val="center"/>
            <w:tcMar>
              <w:top w:w="100" w:type="dxa"/>
              <w:start w:w="110" w:type="dxa"/>
              <w:bottom w:w="100" w:type="dxa"/>
              <w:end w:w="110" w:type="dxa"/>
            </w:tcMar>
          </w:tcPr>
          <w:p>
            <w:pPr>
              <w:spacing w:after="0"/>
            </w:pPr>
            <w:r>
              <w:rPr>
                <w:sz w:val="17"/>
              </w:rPr>
              <w:t>Nursery</w:t>
            </w:r>
          </w:p>
        </w:tc>
        <w:tc>
          <w:tcPr>
            <w:tcW w:type="dxa" w:w="3168"/>
            <w:vAlign w:val="center"/>
            <w:tcMar>
              <w:top w:w="100" w:type="dxa"/>
              <w:start w:w="110" w:type="dxa"/>
              <w:bottom w:w="100" w:type="dxa"/>
              <w:end w:w="110" w:type="dxa"/>
            </w:tcMar>
          </w:tcPr>
          <w:p>
            <w:pPr>
              <w:spacing w:after="0"/>
            </w:pPr>
            <w:r>
              <w:rPr>
                <w:sz w:val="17"/>
              </w:rPr>
              <w:t>Pre-nursery, Nursery 1, Nursery 2</w:t>
            </w:r>
          </w:p>
        </w:tc>
        <w:tc>
          <w:tcPr>
            <w:tcW w:type="dxa" w:w="2952"/>
            <w:vAlign w:val="center"/>
            <w:tcMar>
              <w:top w:w="100" w:type="dxa"/>
              <w:start w:w="110" w:type="dxa"/>
              <w:bottom w:w="100" w:type="dxa"/>
              <w:end w:w="110" w:type="dxa"/>
            </w:tcMar>
          </w:tcPr>
          <w:p>
            <w:pPr>
              <w:spacing w:after="0"/>
            </w:pPr>
            <w:r>
              <w:rPr>
                <w:sz w:val="17"/>
              </w:rPr>
              <w:t>Nomenclature confirmée</w:t>
            </w:r>
          </w:p>
        </w:tc>
      </w:tr>
      <w:tr>
        <w:tc>
          <w:tcPr>
            <w:tcW w:type="dxa" w:w="1800"/>
            <w:vAlign w:val="center"/>
            <w:shd w:fill="F3F6FA"/>
            <w:tcMar>
              <w:top w:w="100" w:type="dxa"/>
              <w:start w:w="110" w:type="dxa"/>
              <w:bottom w:w="100" w:type="dxa"/>
              <w:end w:w="110" w:type="dxa"/>
            </w:tcMar>
          </w:tcPr>
          <w:p>
            <w:pPr>
              <w:spacing w:after="0"/>
            </w:pPr>
            <w:r>
              <w:rPr>
                <w:sz w:val="17"/>
              </w:rPr>
              <w:t>Anglophone</w:t>
            </w:r>
          </w:p>
        </w:tc>
        <w:tc>
          <w:tcPr>
            <w:tcW w:type="dxa" w:w="1728"/>
            <w:vAlign w:val="center"/>
            <w:shd w:fill="F3F6FA"/>
            <w:tcMar>
              <w:top w:w="100" w:type="dxa"/>
              <w:start w:w="110" w:type="dxa"/>
              <w:bottom w:w="100" w:type="dxa"/>
              <w:end w:w="110" w:type="dxa"/>
            </w:tcMar>
          </w:tcPr>
          <w:p>
            <w:pPr>
              <w:spacing w:after="0"/>
            </w:pPr>
            <w:r>
              <w:rPr>
                <w:sz w:val="17"/>
              </w:rPr>
              <w:t>Primary</w:t>
            </w:r>
          </w:p>
        </w:tc>
        <w:tc>
          <w:tcPr>
            <w:tcW w:type="dxa" w:w="3168"/>
            <w:vAlign w:val="center"/>
            <w:shd w:fill="F3F6FA"/>
            <w:tcMar>
              <w:top w:w="100" w:type="dxa"/>
              <w:start w:w="110" w:type="dxa"/>
              <w:bottom w:w="100" w:type="dxa"/>
              <w:end w:w="110" w:type="dxa"/>
            </w:tcMar>
          </w:tcPr>
          <w:p>
            <w:pPr>
              <w:spacing w:after="0"/>
            </w:pPr>
            <w:r>
              <w:rPr>
                <w:sz w:val="17"/>
              </w:rPr>
              <w:t>Class 1 à Class 6 ou équivalent</w:t>
            </w:r>
          </w:p>
        </w:tc>
        <w:tc>
          <w:tcPr>
            <w:tcW w:type="dxa" w:w="2952"/>
            <w:vAlign w:val="center"/>
            <w:shd w:fill="F3F6FA"/>
            <w:tcMar>
              <w:top w:w="100" w:type="dxa"/>
              <w:start w:w="110" w:type="dxa"/>
              <w:bottom w:w="100" w:type="dxa"/>
              <w:end w:w="110" w:type="dxa"/>
            </w:tcMar>
          </w:tcPr>
          <w:p>
            <w:pPr>
              <w:spacing w:after="0"/>
            </w:pPr>
            <w:r>
              <w:rPr>
                <w:sz w:val="17"/>
              </w:rPr>
              <w:t>Nomenclature officielle</w:t>
            </w:r>
          </w:p>
        </w:tc>
      </w:tr>
    </w:tbl>
    <w:p>
      <w:pPr>
        <w:spacing w:after="20"/>
      </w:pPr>
    </w:p>
    <w:p>
      <w:r>
        <w:t>Modèle recommandé : Section → Cycle → Niveau → Classe. Le niveau représente le programme scolaire ; la classe représente un groupe réel pour une année scolaire, par exemple CM2 A 2026–2027. Cette séparation évite de mélanger les tarifs avec les groupes physiques.</w:t>
      </w:r>
    </w:p>
    <w:p>
      <w:pPr>
        <w:pStyle w:val="Heading1"/>
        <w:keepNext/>
      </w:pPr>
      <w:r>
        <w:t>3 Rôles et droits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728"/>
            <w:shd w:fill="17365D"/>
            <w:vAlign w:val="center"/>
            <w:tcMar>
              <w:top w:w="100" w:type="dxa"/>
              <w:start w:w="110" w:type="dxa"/>
              <w:bottom w:w="100" w:type="dxa"/>
              <w:end w:w="110" w:type="dxa"/>
            </w:tcMar>
          </w:tcPr>
          <w:p>
            <w:r>
              <w:rPr>
                <w:b/>
                <w:color w:val="FFFFFF"/>
                <w:sz w:val="18"/>
              </w:rPr>
              <w:t>Rôle</w:t>
            </w:r>
          </w:p>
        </w:tc>
        <w:tc>
          <w:tcPr>
            <w:tcW w:type="dxa" w:w="4320"/>
            <w:shd w:fill="17365D"/>
            <w:vAlign w:val="center"/>
            <w:tcMar>
              <w:top w:w="100" w:type="dxa"/>
              <w:start w:w="110" w:type="dxa"/>
              <w:bottom w:w="100" w:type="dxa"/>
              <w:end w:w="110" w:type="dxa"/>
            </w:tcMar>
          </w:tcPr>
          <w:p>
            <w:r>
              <w:rPr>
                <w:b/>
                <w:color w:val="FFFFFF"/>
                <w:sz w:val="18"/>
              </w:rPr>
              <w:t>Responsabilités</w:t>
            </w:r>
          </w:p>
        </w:tc>
        <w:tc>
          <w:tcPr>
            <w:tcW w:type="dxa" w:w="3600"/>
            <w:shd w:fill="17365D"/>
            <w:vAlign w:val="center"/>
            <w:tcMar>
              <w:top w:w="100" w:type="dxa"/>
              <w:start w:w="110" w:type="dxa"/>
              <w:bottom w:w="100" w:type="dxa"/>
              <w:end w:w="110" w:type="dxa"/>
            </w:tcMar>
          </w:tcPr>
          <w:p>
            <w:r>
              <w:rPr>
                <w:b/>
                <w:color w:val="FFFFFF"/>
                <w:sz w:val="18"/>
              </w:rPr>
              <w:t>Restrictions clés</w:t>
            </w:r>
          </w:p>
        </w:tc>
      </w:tr>
      <w:tr>
        <w:tc>
          <w:tcPr>
            <w:tcW w:type="dxa" w:w="1728"/>
            <w:vAlign w:val="center"/>
            <w:tcMar>
              <w:top w:w="100" w:type="dxa"/>
              <w:start w:w="110" w:type="dxa"/>
              <w:bottom w:w="100" w:type="dxa"/>
              <w:end w:w="110" w:type="dxa"/>
            </w:tcMar>
          </w:tcPr>
          <w:p>
            <w:pPr>
              <w:spacing w:after="0"/>
            </w:pPr>
            <w:r>
              <w:rPr>
                <w:sz w:val="17"/>
              </w:rPr>
              <w:t>Administrateur</w:t>
            </w:r>
          </w:p>
        </w:tc>
        <w:tc>
          <w:tcPr>
            <w:tcW w:type="dxa" w:w="4320"/>
            <w:vAlign w:val="center"/>
            <w:tcMar>
              <w:top w:w="100" w:type="dxa"/>
              <w:start w:w="110" w:type="dxa"/>
              <w:bottom w:w="100" w:type="dxa"/>
              <w:end w:w="110" w:type="dxa"/>
            </w:tcMar>
          </w:tcPr>
          <w:p>
            <w:pPr>
              <w:spacing w:after="0"/>
            </w:pPr>
            <w:r>
              <w:rPr>
                <w:sz w:val="17"/>
              </w:rPr>
              <w:t>Paramètres, utilisateurs, années, tarifs, classes, caisses, consultation globale</w:t>
            </w:r>
          </w:p>
        </w:tc>
        <w:tc>
          <w:tcPr>
            <w:tcW w:type="dxa" w:w="3600"/>
            <w:vAlign w:val="center"/>
            <w:tcMar>
              <w:top w:w="100" w:type="dxa"/>
              <w:start w:w="110" w:type="dxa"/>
              <w:bottom w:w="100" w:type="dxa"/>
              <w:end w:w="110" w:type="dxa"/>
            </w:tcMar>
          </w:tcPr>
          <w:p>
            <w:pPr>
              <w:spacing w:after="0"/>
            </w:pPr>
            <w:r>
              <w:rPr>
                <w:sz w:val="17"/>
              </w:rPr>
              <w:t>Ne peut pas effacer une transaction validée.</w:t>
            </w:r>
          </w:p>
        </w:tc>
      </w:tr>
      <w:tr>
        <w:tc>
          <w:tcPr>
            <w:tcW w:type="dxa" w:w="1728"/>
            <w:vAlign w:val="center"/>
            <w:shd w:fill="F3F6FA"/>
            <w:tcMar>
              <w:top w:w="100" w:type="dxa"/>
              <w:start w:w="110" w:type="dxa"/>
              <w:bottom w:w="100" w:type="dxa"/>
              <w:end w:w="110" w:type="dxa"/>
            </w:tcMar>
          </w:tcPr>
          <w:p>
            <w:pPr>
              <w:spacing w:after="0"/>
            </w:pPr>
            <w:r>
              <w:rPr>
                <w:sz w:val="17"/>
              </w:rPr>
              <w:t>Direction</w:t>
            </w:r>
          </w:p>
        </w:tc>
        <w:tc>
          <w:tcPr>
            <w:tcW w:type="dxa" w:w="4320"/>
            <w:vAlign w:val="center"/>
            <w:shd w:fill="F3F6FA"/>
            <w:tcMar>
              <w:top w:w="100" w:type="dxa"/>
              <w:start w:w="110" w:type="dxa"/>
              <w:bottom w:w="100" w:type="dxa"/>
              <w:end w:w="110" w:type="dxa"/>
            </w:tcMar>
          </w:tcPr>
          <w:p>
            <w:pPr>
              <w:spacing w:after="0"/>
            </w:pPr>
            <w:r>
              <w:rPr>
                <w:sz w:val="17"/>
              </w:rPr>
              <w:t>Tableaux de bord, rapports, validation des annulations et écarts</w:t>
            </w:r>
          </w:p>
        </w:tc>
        <w:tc>
          <w:tcPr>
            <w:tcW w:type="dxa" w:w="3600"/>
            <w:vAlign w:val="center"/>
            <w:shd w:fill="F3F6FA"/>
            <w:tcMar>
              <w:top w:w="100" w:type="dxa"/>
              <w:start w:w="110" w:type="dxa"/>
              <w:bottom w:w="100" w:type="dxa"/>
              <w:end w:w="110" w:type="dxa"/>
            </w:tcMar>
          </w:tcPr>
          <w:p>
            <w:pPr>
              <w:spacing w:after="0"/>
            </w:pPr>
            <w:r>
              <w:rPr>
                <w:sz w:val="17"/>
              </w:rPr>
              <w:t>Pas de modification rétroactive de transaction.</w:t>
            </w:r>
          </w:p>
        </w:tc>
      </w:tr>
      <w:tr>
        <w:tc>
          <w:tcPr>
            <w:tcW w:type="dxa" w:w="1728"/>
            <w:vAlign w:val="center"/>
            <w:tcMar>
              <w:top w:w="100" w:type="dxa"/>
              <w:start w:w="110" w:type="dxa"/>
              <w:bottom w:w="100" w:type="dxa"/>
              <w:end w:w="110" w:type="dxa"/>
            </w:tcMar>
          </w:tcPr>
          <w:p>
            <w:pPr>
              <w:spacing w:after="0"/>
            </w:pPr>
            <w:r>
              <w:rPr>
                <w:sz w:val="17"/>
              </w:rPr>
              <w:t>Secrétaire-caissier</w:t>
            </w:r>
          </w:p>
        </w:tc>
        <w:tc>
          <w:tcPr>
            <w:tcW w:type="dxa" w:w="4320"/>
            <w:vAlign w:val="center"/>
            <w:tcMar>
              <w:top w:w="100" w:type="dxa"/>
              <w:start w:w="110" w:type="dxa"/>
              <w:bottom w:w="100" w:type="dxa"/>
              <w:end w:w="110" w:type="dxa"/>
            </w:tcMar>
          </w:tcPr>
          <w:p>
            <w:pPr>
              <w:spacing w:after="0"/>
            </w:pPr>
            <w:r>
              <w:rPr>
                <w:sz w:val="17"/>
              </w:rPr>
              <w:t>Élèves, responsables, inscriptions, réinscriptions, encaissements, autres recettes, réimpressions, ouverture et clôture de caisse</w:t>
            </w:r>
          </w:p>
        </w:tc>
        <w:tc>
          <w:tcPr>
            <w:tcW w:type="dxa" w:w="3600"/>
            <w:vAlign w:val="center"/>
            <w:tcMar>
              <w:top w:w="100" w:type="dxa"/>
              <w:start w:w="110" w:type="dxa"/>
              <w:bottom w:w="100" w:type="dxa"/>
              <w:end w:w="110" w:type="dxa"/>
            </w:tcMar>
          </w:tcPr>
          <w:p>
            <w:pPr>
              <w:spacing w:after="0"/>
            </w:pPr>
            <w:r>
              <w:rPr>
                <w:sz w:val="17"/>
              </w:rPr>
              <w:t>Rôle confié à une seule personne ; ne valide pas ses propres annulations, remises exceptionnelles ou écarts.</w:t>
            </w:r>
          </w:p>
        </w:tc>
      </w:tr>
      <w:tr>
        <w:tc>
          <w:tcPr>
            <w:tcW w:type="dxa" w:w="1728"/>
            <w:vAlign w:val="center"/>
            <w:shd w:fill="F3F6FA"/>
            <w:tcMar>
              <w:top w:w="100" w:type="dxa"/>
              <w:start w:w="110" w:type="dxa"/>
              <w:bottom w:w="100" w:type="dxa"/>
              <w:end w:w="110" w:type="dxa"/>
            </w:tcMar>
          </w:tcPr>
          <w:p>
            <w:pPr>
              <w:spacing w:after="0"/>
            </w:pPr>
            <w:r>
              <w:rPr>
                <w:sz w:val="17"/>
              </w:rPr>
              <w:t>Comptable</w:t>
            </w:r>
          </w:p>
        </w:tc>
        <w:tc>
          <w:tcPr>
            <w:tcW w:type="dxa" w:w="4320"/>
            <w:vAlign w:val="center"/>
            <w:shd w:fill="F3F6FA"/>
            <w:tcMar>
              <w:top w:w="100" w:type="dxa"/>
              <w:start w:w="110" w:type="dxa"/>
              <w:bottom w:w="100" w:type="dxa"/>
              <w:end w:w="110" w:type="dxa"/>
            </w:tcMar>
          </w:tcPr>
          <w:p>
            <w:pPr>
              <w:spacing w:after="0"/>
            </w:pPr>
            <w:r>
              <w:rPr>
                <w:sz w:val="17"/>
              </w:rPr>
              <w:t>Sorties, rapports, rapprochements, export</w:t>
            </w:r>
          </w:p>
        </w:tc>
        <w:tc>
          <w:tcPr>
            <w:tcW w:type="dxa" w:w="3600"/>
            <w:vAlign w:val="center"/>
            <w:shd w:fill="F3F6FA"/>
            <w:tcMar>
              <w:top w:w="100" w:type="dxa"/>
              <w:start w:w="110" w:type="dxa"/>
              <w:bottom w:w="100" w:type="dxa"/>
              <w:end w:w="110" w:type="dxa"/>
            </w:tcMar>
          </w:tcPr>
          <w:p>
            <w:pPr>
              <w:spacing w:after="0"/>
            </w:pPr>
            <w:r>
              <w:rPr>
                <w:sz w:val="17"/>
              </w:rPr>
              <w:t>N’administre pas les utilisateurs.</w:t>
            </w:r>
          </w:p>
        </w:tc>
      </w:tr>
      <w:tr>
        <w:tc>
          <w:tcPr>
            <w:tcW w:type="dxa" w:w="1728"/>
            <w:vAlign w:val="center"/>
            <w:tcMar>
              <w:top w:w="100" w:type="dxa"/>
              <w:start w:w="110" w:type="dxa"/>
              <w:bottom w:w="100" w:type="dxa"/>
              <w:end w:w="110" w:type="dxa"/>
            </w:tcMar>
          </w:tcPr>
          <w:p>
            <w:pPr>
              <w:spacing w:after="0"/>
            </w:pPr>
            <w:r>
              <w:rPr>
                <w:sz w:val="17"/>
              </w:rPr>
              <w:t>Auditeur lecture seule</w:t>
            </w:r>
          </w:p>
        </w:tc>
        <w:tc>
          <w:tcPr>
            <w:tcW w:type="dxa" w:w="4320"/>
            <w:vAlign w:val="center"/>
            <w:tcMar>
              <w:top w:w="100" w:type="dxa"/>
              <w:start w:w="110" w:type="dxa"/>
              <w:bottom w:w="100" w:type="dxa"/>
              <w:end w:w="110" w:type="dxa"/>
            </w:tcMar>
          </w:tcPr>
          <w:p>
            <w:pPr>
              <w:spacing w:after="0"/>
            </w:pPr>
            <w:r>
              <w:rPr>
                <w:sz w:val="17"/>
              </w:rPr>
              <w:t>Consultation historique et exports</w:t>
            </w:r>
          </w:p>
        </w:tc>
        <w:tc>
          <w:tcPr>
            <w:tcW w:type="dxa" w:w="3600"/>
            <w:vAlign w:val="center"/>
            <w:tcMar>
              <w:top w:w="100" w:type="dxa"/>
              <w:start w:w="110" w:type="dxa"/>
              <w:bottom w:w="100" w:type="dxa"/>
              <w:end w:w="110" w:type="dxa"/>
            </w:tcMar>
          </w:tcPr>
          <w:p>
            <w:pPr>
              <w:spacing w:after="0"/>
            </w:pPr>
            <w:r>
              <w:rPr>
                <w:sz w:val="17"/>
              </w:rPr>
              <w:t>Aucune création ou modification.</w:t>
            </w:r>
          </w:p>
        </w:tc>
      </w:tr>
    </w:tbl>
    <w:p>
      <w:pPr>
        <w:spacing w:after="20"/>
      </w:pPr>
    </w:p>
    <w:p>
      <w:r>
        <w:t>Les droits doivent être gérés par permissions fines, et non uniquement par rôle. Le rôle Secrétaire-caissier regroupe les opérations administratives et les encaissements puisque ces tâches sont assurées par la même personne. La Direction conserve les permissions d’approbation afin d’assurer un contrôle indépendant. Exemples : PAYMENT_CREATE, PAYMENT_CANCEL_REQUEST, PAYMENT_CANCEL_APPROVE, CASH_CLOSE, EXPENSE_CREATE, REPORT_EXPORT, SETTINGS_MANAGE.</w:t>
      </w:r>
    </w:p>
    <w:p>
      <w:pPr>
        <w:pStyle w:val="Heading1"/>
        <w:keepNext/>
      </w:pPr>
      <w:r>
        <w:t>4 Parcours fonctionnels</w:t>
      </w:r>
    </w:p>
    <w:p>
      <w:pPr>
        <w:pStyle w:val="Heading2"/>
        <w:keepNext/>
      </w:pPr>
      <w:r>
        <w:t>4.1 Première inscription</w:t>
      </w:r>
    </w:p>
    <w:p>
      <w:pPr>
        <w:pStyle w:val="ListNumber"/>
      </w:pPr>
      <w:r>
        <w:t>Rechercher l’élève par matricule, nom, téléphone du responsable ou date de naissance.</w:t>
      </w:r>
    </w:p>
    <w:p>
      <w:pPr>
        <w:pStyle w:val="ListNumber"/>
      </w:pPr>
      <w:r>
        <w:t>Si aucun dossier fiable n’existe, créer l’élève et au moins un responsable légal.</w:t>
      </w:r>
    </w:p>
    <w:p>
      <w:pPr>
        <w:pStyle w:val="ListNumber"/>
      </w:pPr>
      <w:r>
        <w:t>Choisir l’année scolaire, la section, le niveau et la classe disponible.</w:t>
      </w:r>
    </w:p>
    <w:p>
      <w:pPr>
        <w:pStyle w:val="ListNumber"/>
      </w:pPr>
      <w:r>
        <w:t>Afficher les frais obligatoires et facultatifs applicables avant validation.</w:t>
      </w:r>
    </w:p>
    <w:p>
      <w:pPr>
        <w:pStyle w:val="ListNumber"/>
      </w:pPr>
      <w:r>
        <w:t>Créer l’inscription et les échéances financières. Un numéro d’inscription est attribué.</w:t>
      </w:r>
    </w:p>
    <w:p>
      <w:pPr>
        <w:pStyle w:val="ListNumber"/>
      </w:pPr>
      <w:r>
        <w:t>Encaisser immédiatement ou laisser la dette ouverte selon la politique de l’école.</w:t>
      </w:r>
    </w:p>
    <w:p>
      <w:pPr>
        <w:pStyle w:val="ListNumber"/>
      </w:pPr>
      <w:r>
        <w:t>Imprimer la fiche d’inscription et le reçu si un paiement a été réalisé.</w:t>
      </w:r>
    </w:p>
    <w:p>
      <w:pPr>
        <w:pStyle w:val="Heading2"/>
        <w:keepNext/>
      </w:pPr>
      <w:r>
        <w:t>4.2 Réinscription</w:t>
      </w:r>
    </w:p>
    <w:p>
      <w:r>
        <w:t>Le secrétariat ouvre le dossier existant, vérifie les coordonnées, visualise les anciennes dettes, choisit la nouvelle classe et confirme la réinscription. Le système crée une nouvelle inscription annuelle sans dupliquer l’élève. Une alerte signale les impayés antérieurs ; le blocage éventuel est paramétrable et contournable uniquement avec autorisation et motif.</w:t>
      </w:r>
    </w:p>
    <w:p>
      <w:pPr>
        <w:pStyle w:val="Heading2"/>
        <w:keepNext/>
      </w:pPr>
      <w:r>
        <w:t>4.3 Paiement élève</w:t>
      </w:r>
    </w:p>
    <w:p>
      <w:pPr>
        <w:pStyle w:val="ListNumber"/>
      </w:pPr>
      <w:r>
        <w:t>Identifier l’élève et afficher sa dette par rubrique et par échéance.</w:t>
      </w:r>
    </w:p>
    <w:p>
      <w:pPr>
        <w:pStyle w:val="ListNumber"/>
      </w:pPr>
      <w:r>
        <w:t>Sélectionner une ou plusieurs lignes à régler ; proposer automatiquement les plus anciennes.</w:t>
      </w:r>
    </w:p>
    <w:p>
      <w:pPr>
        <w:pStyle w:val="ListNumber"/>
      </w:pPr>
      <w:r>
        <w:t>Saisir le montant reçu, le mode de paiement et la référence externe si nécessaire.</w:t>
      </w:r>
    </w:p>
    <w:p>
      <w:pPr>
        <w:pStyle w:val="ListNumber"/>
      </w:pPr>
      <w:r>
        <w:t>Ventiler le paiement entre les dettes sélectionnées ; interdire une ventilation supérieure au montant encaissé.</w:t>
      </w:r>
    </w:p>
    <w:p>
      <w:pPr>
        <w:pStyle w:val="ListNumber"/>
      </w:pPr>
      <w:r>
        <w:t>Confirmer dans une transaction atomique, attribuer un numéro de reçu et actualiser les soldes.</w:t>
      </w:r>
    </w:p>
    <w:p>
      <w:pPr>
        <w:pStyle w:val="ListNumber"/>
      </w:pPr>
      <w:r>
        <w:t>Afficher l’aperçu puis imprimer. Une réimpression porte la mention DUPLICATA.</w:t>
      </w:r>
    </w:p>
    <w:p>
      <w:pPr>
        <w:pStyle w:val="Heading2"/>
        <w:keepNext/>
      </w:pPr>
      <w:r>
        <w:t>4.4 Sortie financière</w:t>
      </w:r>
    </w:p>
    <w:p>
      <w:r>
        <w:t>Une sortie contient au minimum : date, caisse, catégorie, motif, bénéficiaire, montant, mode, référence et auteur. Un justificatif peut être joint. Selon un seuil paramétrable, une validation de direction peut être obligatoire avant décaissement. La sortie validée reçoit un numéro de pièce et un reçu de décaissement.</w:t>
      </w:r>
    </w:p>
    <w:p>
      <w:pPr>
        <w:pStyle w:val="Heading2"/>
        <w:keepNext/>
      </w:pPr>
      <w:r>
        <w:t>4.5 Clôture de journée</w:t>
      </w:r>
    </w:p>
    <w:p>
      <w:pPr>
        <w:pStyle w:val="ListNumber"/>
      </w:pPr>
      <w:r>
        <w:t>Le caissier ouvre sa session avec un fonds de caisse éventuel.</w:t>
      </w:r>
    </w:p>
    <w:p>
      <w:pPr>
        <w:pStyle w:val="ListNumber"/>
      </w:pPr>
      <w:r>
        <w:t>Le système calcule les entrées, sorties, annulations et solde théorique par mode de paiement.</w:t>
      </w:r>
    </w:p>
    <w:p>
      <w:pPr>
        <w:pStyle w:val="ListNumber"/>
      </w:pPr>
      <w:r>
        <w:t>Le caissier saisit le montant physique compté par mode.</w:t>
      </w:r>
    </w:p>
    <w:p>
      <w:pPr>
        <w:pStyle w:val="ListNumber"/>
      </w:pPr>
      <w:r>
        <w:t>Le système calcule l’écart et exige un commentaire si celui-ci est non nul.</w:t>
      </w:r>
    </w:p>
    <w:p>
      <w:pPr>
        <w:pStyle w:val="ListNumber"/>
      </w:pPr>
      <w:r>
        <w:t>Le caissier soumet la clôture ; après clôture, il ne peut plus saisir rétroactivement dans cette session.</w:t>
      </w:r>
    </w:p>
    <w:p>
      <w:pPr>
        <w:pStyle w:val="ListNumber"/>
      </w:pPr>
      <w:r>
        <w:t>La direction valide les écarts selon la règle définie. Le rapport de clôture est imprimable et signé.</w:t>
      </w:r>
    </w:p>
    <w:p>
      <w:pPr>
        <w:pStyle w:val="Heading1"/>
        <w:keepNext/>
      </w:pPr>
      <w:r>
        <w:t>5 Règles de gestion essentielles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936"/>
            <w:shd w:fill="17365D"/>
            <w:vAlign w:val="center"/>
            <w:tcMar>
              <w:top w:w="100" w:type="dxa"/>
              <w:start w:w="110" w:type="dxa"/>
              <w:bottom w:w="100" w:type="dxa"/>
              <w:end w:w="110" w:type="dxa"/>
            </w:tcMar>
          </w:tcPr>
          <w:p>
            <w:r>
              <w:rPr>
                <w:b/>
                <w:color w:val="FFFFFF"/>
                <w:sz w:val="18"/>
              </w:rPr>
              <w:t>ID</w:t>
            </w:r>
          </w:p>
        </w:tc>
        <w:tc>
          <w:tcPr>
            <w:tcW w:type="dxa" w:w="8784"/>
            <w:shd w:fill="17365D"/>
            <w:vAlign w:val="center"/>
            <w:tcMar>
              <w:top w:w="100" w:type="dxa"/>
              <w:start w:w="110" w:type="dxa"/>
              <w:bottom w:w="100" w:type="dxa"/>
              <w:end w:w="110" w:type="dxa"/>
            </w:tcMar>
          </w:tcPr>
          <w:p>
            <w:r>
              <w:rPr>
                <w:b/>
                <w:color w:val="FFFFFF"/>
                <w:sz w:val="18"/>
              </w:rPr>
              <w:t>Règle</w:t>
            </w:r>
          </w:p>
        </w:tc>
      </w:tr>
      <w:tr>
        <w:tc>
          <w:tcPr>
            <w:tcW w:type="dxa" w:w="936"/>
            <w:vAlign w:val="center"/>
            <w:tcMar>
              <w:top w:w="100" w:type="dxa"/>
              <w:start w:w="110" w:type="dxa"/>
              <w:bottom w:w="100" w:type="dxa"/>
              <w:end w:w="110" w:type="dxa"/>
            </w:tcMar>
          </w:tcPr>
          <w:p>
            <w:pPr>
              <w:spacing w:after="0"/>
            </w:pPr>
            <w:r>
              <w:rPr>
                <w:sz w:val="17"/>
              </w:rPr>
              <w:t>RG01</w:t>
            </w:r>
          </w:p>
        </w:tc>
        <w:tc>
          <w:tcPr>
            <w:tcW w:type="dxa" w:w="8784"/>
            <w:vAlign w:val="center"/>
            <w:tcMar>
              <w:top w:w="100" w:type="dxa"/>
              <w:start w:w="110" w:type="dxa"/>
              <w:bottom w:w="100" w:type="dxa"/>
              <w:end w:w="110" w:type="dxa"/>
            </w:tcMar>
          </w:tcPr>
          <w:p>
            <w:pPr>
              <w:spacing w:after="0"/>
            </w:pPr>
            <w:r>
              <w:rPr>
                <w:sz w:val="17"/>
              </w:rPr>
              <w:t>Un élève possède un matricule permanent et une seule inscription active par année scolaire.</w:t>
            </w:r>
          </w:p>
        </w:tc>
      </w:tr>
      <w:tr>
        <w:tc>
          <w:tcPr>
            <w:tcW w:type="dxa" w:w="936"/>
            <w:vAlign w:val="center"/>
            <w:shd w:fill="F3F6FA"/>
            <w:tcMar>
              <w:top w:w="100" w:type="dxa"/>
              <w:start w:w="110" w:type="dxa"/>
              <w:bottom w:w="100" w:type="dxa"/>
              <w:end w:w="110" w:type="dxa"/>
            </w:tcMar>
          </w:tcPr>
          <w:p>
            <w:pPr>
              <w:spacing w:after="0"/>
            </w:pPr>
            <w:r>
              <w:rPr>
                <w:sz w:val="17"/>
              </w:rPr>
              <w:t>RG02</w:t>
            </w:r>
          </w:p>
        </w:tc>
        <w:tc>
          <w:tcPr>
            <w:tcW w:type="dxa" w:w="8784"/>
            <w:vAlign w:val="center"/>
            <w:shd w:fill="F3F6FA"/>
            <w:tcMar>
              <w:top w:w="100" w:type="dxa"/>
              <w:start w:w="110" w:type="dxa"/>
              <w:bottom w:w="100" w:type="dxa"/>
              <w:end w:w="110" w:type="dxa"/>
            </w:tcMar>
          </w:tcPr>
          <w:p>
            <w:pPr>
              <w:spacing w:after="0"/>
            </w:pPr>
            <w:r>
              <w:rPr>
                <w:sz w:val="17"/>
              </w:rPr>
              <w:t>Une classe appartient à un niveau, une section et une année scolaire.</w:t>
            </w:r>
          </w:p>
        </w:tc>
      </w:tr>
      <w:tr>
        <w:tc>
          <w:tcPr>
            <w:tcW w:type="dxa" w:w="936"/>
            <w:vAlign w:val="center"/>
            <w:tcMar>
              <w:top w:w="100" w:type="dxa"/>
              <w:start w:w="110" w:type="dxa"/>
              <w:bottom w:w="100" w:type="dxa"/>
              <w:end w:w="110" w:type="dxa"/>
            </w:tcMar>
          </w:tcPr>
          <w:p>
            <w:pPr>
              <w:spacing w:after="0"/>
            </w:pPr>
            <w:r>
              <w:rPr>
                <w:sz w:val="17"/>
              </w:rPr>
              <w:t>RG03</w:t>
            </w:r>
          </w:p>
        </w:tc>
        <w:tc>
          <w:tcPr>
            <w:tcW w:type="dxa" w:w="8784"/>
            <w:vAlign w:val="center"/>
            <w:tcMar>
              <w:top w:w="100" w:type="dxa"/>
              <w:start w:w="110" w:type="dxa"/>
              <w:bottom w:w="100" w:type="dxa"/>
              <w:end w:w="110" w:type="dxa"/>
            </w:tcMar>
          </w:tcPr>
          <w:p>
            <w:pPr>
              <w:spacing w:after="0"/>
            </w:pPr>
            <w:r>
              <w:rPr>
                <w:sz w:val="17"/>
              </w:rPr>
              <w:t>Les frais sont versionnés par année scolaire. Modifier un tarif ne modifie jamais les factures déjà émises.</w:t>
            </w:r>
          </w:p>
        </w:tc>
      </w:tr>
      <w:tr>
        <w:tc>
          <w:tcPr>
            <w:tcW w:type="dxa" w:w="936"/>
            <w:vAlign w:val="center"/>
            <w:shd w:fill="F3F6FA"/>
            <w:tcMar>
              <w:top w:w="100" w:type="dxa"/>
              <w:start w:w="110" w:type="dxa"/>
              <w:bottom w:w="100" w:type="dxa"/>
              <w:end w:w="110" w:type="dxa"/>
            </w:tcMar>
          </w:tcPr>
          <w:p>
            <w:pPr>
              <w:spacing w:after="0"/>
            </w:pPr>
            <w:r>
              <w:rPr>
                <w:sz w:val="17"/>
              </w:rPr>
              <w:t>RG04</w:t>
            </w:r>
          </w:p>
        </w:tc>
        <w:tc>
          <w:tcPr>
            <w:tcW w:type="dxa" w:w="8784"/>
            <w:vAlign w:val="center"/>
            <w:shd w:fill="F3F6FA"/>
            <w:tcMar>
              <w:top w:w="100" w:type="dxa"/>
              <w:start w:w="110" w:type="dxa"/>
              <w:bottom w:w="100" w:type="dxa"/>
              <w:end w:w="110" w:type="dxa"/>
            </w:tcMar>
          </w:tcPr>
          <w:p>
            <w:pPr>
              <w:spacing w:after="0"/>
            </w:pPr>
            <w:r>
              <w:rPr>
                <w:sz w:val="17"/>
              </w:rPr>
              <w:t>L’écolage annuel se compose de trois échéances paramétrables : libellé, montant, date limite et ordre.</w:t>
            </w:r>
          </w:p>
        </w:tc>
      </w:tr>
      <w:tr>
        <w:tc>
          <w:tcPr>
            <w:tcW w:type="dxa" w:w="936"/>
            <w:vAlign w:val="center"/>
            <w:tcMar>
              <w:top w:w="100" w:type="dxa"/>
              <w:start w:w="110" w:type="dxa"/>
              <w:bottom w:w="100" w:type="dxa"/>
              <w:end w:w="110" w:type="dxa"/>
            </w:tcMar>
          </w:tcPr>
          <w:p>
            <w:pPr>
              <w:spacing w:after="0"/>
            </w:pPr>
            <w:r>
              <w:rPr>
                <w:sz w:val="17"/>
              </w:rPr>
              <w:t>RG05</w:t>
            </w:r>
          </w:p>
        </w:tc>
        <w:tc>
          <w:tcPr>
            <w:tcW w:type="dxa" w:w="8784"/>
            <w:vAlign w:val="center"/>
            <w:tcMar>
              <w:top w:w="100" w:type="dxa"/>
              <w:start w:w="110" w:type="dxa"/>
              <w:bottom w:w="100" w:type="dxa"/>
              <w:end w:w="110" w:type="dxa"/>
            </w:tcMar>
          </w:tcPr>
          <w:p>
            <w:pPr>
              <w:spacing w:after="0"/>
            </w:pPr>
            <w:r>
              <w:rPr>
                <w:sz w:val="17"/>
              </w:rPr>
              <w:t>La somme des trois tranches doit correspondre au montant annuel, sauf si l’école choisit de ne gérer que les tranches comme référence.</w:t>
            </w:r>
          </w:p>
        </w:tc>
      </w:tr>
      <w:tr>
        <w:tc>
          <w:tcPr>
            <w:tcW w:type="dxa" w:w="936"/>
            <w:vAlign w:val="center"/>
            <w:shd w:fill="F3F6FA"/>
            <w:tcMar>
              <w:top w:w="100" w:type="dxa"/>
              <w:start w:w="110" w:type="dxa"/>
              <w:bottom w:w="100" w:type="dxa"/>
              <w:end w:w="110" w:type="dxa"/>
            </w:tcMar>
          </w:tcPr>
          <w:p>
            <w:pPr>
              <w:spacing w:after="0"/>
            </w:pPr>
            <w:r>
              <w:rPr>
                <w:sz w:val="17"/>
              </w:rPr>
              <w:t>RG06</w:t>
            </w:r>
          </w:p>
        </w:tc>
        <w:tc>
          <w:tcPr>
            <w:tcW w:type="dxa" w:w="8784"/>
            <w:vAlign w:val="center"/>
            <w:shd w:fill="F3F6FA"/>
            <w:tcMar>
              <w:top w:w="100" w:type="dxa"/>
              <w:start w:w="110" w:type="dxa"/>
              <w:bottom w:w="100" w:type="dxa"/>
              <w:end w:w="110" w:type="dxa"/>
            </w:tcMar>
          </w:tcPr>
          <w:p>
            <w:pPr>
              <w:spacing w:after="0"/>
            </w:pPr>
            <w:r>
              <w:rPr>
                <w:sz w:val="17"/>
              </w:rPr>
              <w:t>Une remise doit comporter un type, un montant ou taux, un motif, un auteur et, au-delà d’un seuil, un approbateur.</w:t>
            </w:r>
          </w:p>
        </w:tc>
      </w:tr>
      <w:tr>
        <w:tc>
          <w:tcPr>
            <w:tcW w:type="dxa" w:w="936"/>
            <w:vAlign w:val="center"/>
            <w:tcMar>
              <w:top w:w="100" w:type="dxa"/>
              <w:start w:w="110" w:type="dxa"/>
              <w:bottom w:w="100" w:type="dxa"/>
              <w:end w:w="110" w:type="dxa"/>
            </w:tcMar>
          </w:tcPr>
          <w:p>
            <w:pPr>
              <w:spacing w:after="0"/>
            </w:pPr>
            <w:r>
              <w:rPr>
                <w:sz w:val="17"/>
              </w:rPr>
              <w:t>RG07</w:t>
            </w:r>
          </w:p>
        </w:tc>
        <w:tc>
          <w:tcPr>
            <w:tcW w:type="dxa" w:w="8784"/>
            <w:vAlign w:val="center"/>
            <w:tcMar>
              <w:top w:w="100" w:type="dxa"/>
              <w:start w:w="110" w:type="dxa"/>
              <w:bottom w:w="100" w:type="dxa"/>
              <w:end w:w="110" w:type="dxa"/>
            </w:tcMar>
          </w:tcPr>
          <w:p>
            <w:pPr>
              <w:spacing w:after="0"/>
            </w:pPr>
            <w:r>
              <w:rPr>
                <w:sz w:val="17"/>
              </w:rPr>
              <w:t>Le paiement peut couvrir plusieurs dettes ; chaque affectation est conservée séparément.</w:t>
            </w:r>
          </w:p>
        </w:tc>
      </w:tr>
      <w:tr>
        <w:tc>
          <w:tcPr>
            <w:tcW w:type="dxa" w:w="936"/>
            <w:vAlign w:val="center"/>
            <w:shd w:fill="F3F6FA"/>
            <w:tcMar>
              <w:top w:w="100" w:type="dxa"/>
              <w:start w:w="110" w:type="dxa"/>
              <w:bottom w:w="100" w:type="dxa"/>
              <w:end w:w="110" w:type="dxa"/>
            </w:tcMar>
          </w:tcPr>
          <w:p>
            <w:pPr>
              <w:spacing w:after="0"/>
            </w:pPr>
            <w:r>
              <w:rPr>
                <w:sz w:val="17"/>
              </w:rPr>
              <w:t>RG08</w:t>
            </w:r>
          </w:p>
        </w:tc>
        <w:tc>
          <w:tcPr>
            <w:tcW w:type="dxa" w:w="8784"/>
            <w:vAlign w:val="center"/>
            <w:shd w:fill="F3F6FA"/>
            <w:tcMar>
              <w:top w:w="100" w:type="dxa"/>
              <w:start w:w="110" w:type="dxa"/>
              <w:bottom w:w="100" w:type="dxa"/>
              <w:end w:w="110" w:type="dxa"/>
            </w:tcMar>
          </w:tcPr>
          <w:p>
            <w:pPr>
              <w:spacing w:after="0"/>
            </w:pPr>
            <w:r>
              <w:rPr>
                <w:sz w:val="17"/>
              </w:rPr>
              <w:t>Un trop-perçu est interdit dans le MVP, sauf activation explicite d’un compte d’avance élève.</w:t>
            </w:r>
          </w:p>
        </w:tc>
      </w:tr>
      <w:tr>
        <w:tc>
          <w:tcPr>
            <w:tcW w:type="dxa" w:w="936"/>
            <w:vAlign w:val="center"/>
            <w:tcMar>
              <w:top w:w="100" w:type="dxa"/>
              <w:start w:w="110" w:type="dxa"/>
              <w:bottom w:w="100" w:type="dxa"/>
              <w:end w:w="110" w:type="dxa"/>
            </w:tcMar>
          </w:tcPr>
          <w:p>
            <w:pPr>
              <w:spacing w:after="0"/>
            </w:pPr>
            <w:r>
              <w:rPr>
                <w:sz w:val="17"/>
              </w:rPr>
              <w:t>RG09</w:t>
            </w:r>
          </w:p>
        </w:tc>
        <w:tc>
          <w:tcPr>
            <w:tcW w:type="dxa" w:w="8784"/>
            <w:vAlign w:val="center"/>
            <w:tcMar>
              <w:top w:w="100" w:type="dxa"/>
              <w:start w:w="110" w:type="dxa"/>
              <w:bottom w:w="100" w:type="dxa"/>
              <w:end w:w="110" w:type="dxa"/>
            </w:tcMar>
          </w:tcPr>
          <w:p>
            <w:pPr>
              <w:spacing w:after="0"/>
            </w:pPr>
            <w:r>
              <w:rPr>
                <w:sz w:val="17"/>
              </w:rPr>
              <w:t>Une transaction validée est immuable. L’annulation crée une transaction inverse liée à l’originale.</w:t>
            </w:r>
          </w:p>
        </w:tc>
      </w:tr>
      <w:tr>
        <w:tc>
          <w:tcPr>
            <w:tcW w:type="dxa" w:w="936"/>
            <w:vAlign w:val="center"/>
            <w:shd w:fill="F3F6FA"/>
            <w:tcMar>
              <w:top w:w="100" w:type="dxa"/>
              <w:start w:w="110" w:type="dxa"/>
              <w:bottom w:w="100" w:type="dxa"/>
              <w:end w:w="110" w:type="dxa"/>
            </w:tcMar>
          </w:tcPr>
          <w:p>
            <w:pPr>
              <w:spacing w:after="0"/>
            </w:pPr>
            <w:r>
              <w:rPr>
                <w:sz w:val="17"/>
              </w:rPr>
              <w:t>RG10</w:t>
            </w:r>
          </w:p>
        </w:tc>
        <w:tc>
          <w:tcPr>
            <w:tcW w:type="dxa" w:w="8784"/>
            <w:vAlign w:val="center"/>
            <w:shd w:fill="F3F6FA"/>
            <w:tcMar>
              <w:top w:w="100" w:type="dxa"/>
              <w:start w:w="110" w:type="dxa"/>
              <w:bottom w:w="100" w:type="dxa"/>
              <w:end w:w="110" w:type="dxa"/>
            </w:tcMar>
          </w:tcPr>
          <w:p>
            <w:pPr>
              <w:spacing w:after="0"/>
            </w:pPr>
            <w:r>
              <w:rPr>
                <w:sz w:val="17"/>
              </w:rPr>
              <w:t>Les numéros de reçu sont uniques, séquentiels et générés côté serveur.</w:t>
            </w:r>
          </w:p>
        </w:tc>
      </w:tr>
      <w:tr>
        <w:tc>
          <w:tcPr>
            <w:tcW w:type="dxa" w:w="936"/>
            <w:vAlign w:val="center"/>
            <w:tcMar>
              <w:top w:w="100" w:type="dxa"/>
              <w:start w:w="110" w:type="dxa"/>
              <w:bottom w:w="100" w:type="dxa"/>
              <w:end w:w="110" w:type="dxa"/>
            </w:tcMar>
          </w:tcPr>
          <w:p>
            <w:pPr>
              <w:spacing w:after="0"/>
            </w:pPr>
            <w:r>
              <w:rPr>
                <w:sz w:val="17"/>
              </w:rPr>
              <w:t>RG11</w:t>
            </w:r>
          </w:p>
        </w:tc>
        <w:tc>
          <w:tcPr>
            <w:tcW w:type="dxa" w:w="8784"/>
            <w:vAlign w:val="center"/>
            <w:tcMar>
              <w:top w:w="100" w:type="dxa"/>
              <w:start w:w="110" w:type="dxa"/>
              <w:bottom w:w="100" w:type="dxa"/>
              <w:end w:w="110" w:type="dxa"/>
            </w:tcMar>
          </w:tcPr>
          <w:p>
            <w:pPr>
              <w:spacing w:after="0"/>
            </w:pPr>
            <w:r>
              <w:rPr>
                <w:sz w:val="17"/>
              </w:rPr>
              <w:t>La date métier d’une opération est celle de la session de caisse ; la date technique de création reste horodatée.</w:t>
            </w:r>
          </w:p>
        </w:tc>
      </w:tr>
      <w:tr>
        <w:tc>
          <w:tcPr>
            <w:tcW w:type="dxa" w:w="936"/>
            <w:vAlign w:val="center"/>
            <w:shd w:fill="F3F6FA"/>
            <w:tcMar>
              <w:top w:w="100" w:type="dxa"/>
              <w:start w:w="110" w:type="dxa"/>
              <w:bottom w:w="100" w:type="dxa"/>
              <w:end w:w="110" w:type="dxa"/>
            </w:tcMar>
          </w:tcPr>
          <w:p>
            <w:pPr>
              <w:spacing w:after="0"/>
            </w:pPr>
            <w:r>
              <w:rPr>
                <w:sz w:val="17"/>
              </w:rPr>
              <w:t>RG12</w:t>
            </w:r>
          </w:p>
        </w:tc>
        <w:tc>
          <w:tcPr>
            <w:tcW w:type="dxa" w:w="8784"/>
            <w:vAlign w:val="center"/>
            <w:shd w:fill="F3F6FA"/>
            <w:tcMar>
              <w:top w:w="100" w:type="dxa"/>
              <w:start w:w="110" w:type="dxa"/>
              <w:bottom w:w="100" w:type="dxa"/>
              <w:end w:w="110" w:type="dxa"/>
            </w:tcMar>
          </w:tcPr>
          <w:p>
            <w:pPr>
              <w:spacing w:after="0"/>
            </w:pPr>
            <w:r>
              <w:rPr>
                <w:sz w:val="17"/>
              </w:rPr>
              <w:t>Une caisse clôturée refuse toute nouvelle opération sur la date concernée, sauf réouverture autorisée et journalisée.</w:t>
            </w:r>
          </w:p>
        </w:tc>
      </w:tr>
      <w:tr>
        <w:tc>
          <w:tcPr>
            <w:tcW w:type="dxa" w:w="936"/>
            <w:vAlign w:val="center"/>
            <w:tcMar>
              <w:top w:w="100" w:type="dxa"/>
              <w:start w:w="110" w:type="dxa"/>
              <w:bottom w:w="100" w:type="dxa"/>
              <w:end w:w="110" w:type="dxa"/>
            </w:tcMar>
          </w:tcPr>
          <w:p>
            <w:pPr>
              <w:spacing w:after="0"/>
            </w:pPr>
            <w:r>
              <w:rPr>
                <w:sz w:val="17"/>
              </w:rPr>
              <w:t>RG13</w:t>
            </w:r>
          </w:p>
        </w:tc>
        <w:tc>
          <w:tcPr>
            <w:tcW w:type="dxa" w:w="8784"/>
            <w:vAlign w:val="center"/>
            <w:tcMar>
              <w:top w:w="100" w:type="dxa"/>
              <w:start w:w="110" w:type="dxa"/>
              <w:bottom w:w="100" w:type="dxa"/>
              <w:end w:w="110" w:type="dxa"/>
            </w:tcMar>
          </w:tcPr>
          <w:p>
            <w:pPr>
              <w:spacing w:after="0"/>
            </w:pPr>
            <w:r>
              <w:rPr>
                <w:sz w:val="17"/>
              </w:rPr>
              <w:t>La solvabilité est calculée, jamais saisie manuellement. Les seuils doivent être paramétrables.</w:t>
            </w:r>
          </w:p>
        </w:tc>
      </w:tr>
      <w:tr>
        <w:tc>
          <w:tcPr>
            <w:tcW w:type="dxa" w:w="936"/>
            <w:vAlign w:val="center"/>
            <w:shd w:fill="F3F6FA"/>
            <w:tcMar>
              <w:top w:w="100" w:type="dxa"/>
              <w:start w:w="110" w:type="dxa"/>
              <w:bottom w:w="100" w:type="dxa"/>
              <w:end w:w="110" w:type="dxa"/>
            </w:tcMar>
          </w:tcPr>
          <w:p>
            <w:pPr>
              <w:spacing w:after="0"/>
            </w:pPr>
            <w:r>
              <w:rPr>
                <w:sz w:val="17"/>
              </w:rPr>
              <w:t>RG14</w:t>
            </w:r>
          </w:p>
        </w:tc>
        <w:tc>
          <w:tcPr>
            <w:tcW w:type="dxa" w:w="8784"/>
            <w:vAlign w:val="center"/>
            <w:shd w:fill="F3F6FA"/>
            <w:tcMar>
              <w:top w:w="100" w:type="dxa"/>
              <w:start w:w="110" w:type="dxa"/>
              <w:bottom w:w="100" w:type="dxa"/>
              <w:end w:w="110" w:type="dxa"/>
            </w:tcMar>
          </w:tcPr>
          <w:p>
            <w:pPr>
              <w:spacing w:after="0"/>
            </w:pPr>
            <w:r>
              <w:rPr>
                <w:sz w:val="17"/>
              </w:rPr>
              <w:t>Les dettes des années antérieures restent visibles séparément du solde de l’année courante.</w:t>
            </w:r>
          </w:p>
        </w:tc>
      </w:tr>
      <w:tr>
        <w:tc>
          <w:tcPr>
            <w:tcW w:type="dxa" w:w="936"/>
            <w:vAlign w:val="center"/>
            <w:tcMar>
              <w:top w:w="100" w:type="dxa"/>
              <w:start w:w="110" w:type="dxa"/>
              <w:bottom w:w="100" w:type="dxa"/>
              <w:end w:w="110" w:type="dxa"/>
            </w:tcMar>
          </w:tcPr>
          <w:p>
            <w:pPr>
              <w:spacing w:after="0"/>
            </w:pPr>
            <w:r>
              <w:rPr>
                <w:sz w:val="17"/>
              </w:rPr>
              <w:t>RG15</w:t>
            </w:r>
          </w:p>
        </w:tc>
        <w:tc>
          <w:tcPr>
            <w:tcW w:type="dxa" w:w="8784"/>
            <w:vAlign w:val="center"/>
            <w:tcMar>
              <w:top w:w="100" w:type="dxa"/>
              <w:start w:w="110" w:type="dxa"/>
              <w:bottom w:w="100" w:type="dxa"/>
              <w:end w:w="110" w:type="dxa"/>
            </w:tcMar>
          </w:tcPr>
          <w:p>
            <w:pPr>
              <w:spacing w:after="0"/>
            </w:pPr>
            <w:r>
              <w:rPr>
                <w:sz w:val="17"/>
              </w:rPr>
              <w:t>Toutes les actions sensibles sont journalisées avec utilisateur, horodatage, ancienne valeur et nouvelle valeur.</w:t>
            </w:r>
          </w:p>
        </w:tc>
      </w:tr>
      <w:tr>
        <w:tc>
          <w:tcPr>
            <w:tcW w:type="dxa" w:w="936"/>
            <w:vAlign w:val="center"/>
            <w:shd w:fill="F3F6FA"/>
            <w:tcMar>
              <w:top w:w="100" w:type="dxa"/>
              <w:start w:w="110" w:type="dxa"/>
              <w:bottom w:w="100" w:type="dxa"/>
              <w:end w:w="110" w:type="dxa"/>
            </w:tcMar>
          </w:tcPr>
          <w:p>
            <w:pPr>
              <w:spacing w:after="0"/>
            </w:pPr>
            <w:r>
              <w:rPr>
                <w:sz w:val="17"/>
              </w:rPr>
              <w:t>RG16</w:t>
            </w:r>
          </w:p>
        </w:tc>
        <w:tc>
          <w:tcPr>
            <w:tcW w:type="dxa" w:w="8784"/>
            <w:vAlign w:val="center"/>
            <w:shd w:fill="F3F6FA"/>
            <w:tcMar>
              <w:top w:w="100" w:type="dxa"/>
              <w:start w:w="110" w:type="dxa"/>
              <w:bottom w:w="100" w:type="dxa"/>
              <w:end w:w="110" w:type="dxa"/>
            </w:tcMar>
          </w:tcPr>
          <w:p>
            <w:pPr>
              <w:spacing w:after="0"/>
            </w:pPr>
            <w:r>
              <w:rPr>
                <w:sz w:val="17"/>
              </w:rPr>
              <w:t>Les montants XAF sont stockés en entiers ; aucun calcul financier en nombre flottant.</w:t>
            </w:r>
          </w:p>
        </w:tc>
      </w:tr>
      <w:tr>
        <w:tc>
          <w:tcPr>
            <w:tcW w:type="dxa" w:w="936"/>
            <w:vAlign w:val="center"/>
            <w:tcMar>
              <w:top w:w="100" w:type="dxa"/>
              <w:start w:w="110" w:type="dxa"/>
              <w:bottom w:w="100" w:type="dxa"/>
              <w:end w:w="110" w:type="dxa"/>
            </w:tcMar>
          </w:tcPr>
          <w:p>
            <w:pPr>
              <w:spacing w:after="0"/>
            </w:pPr>
            <w:r>
              <w:rPr>
                <w:sz w:val="17"/>
              </w:rPr>
              <w:t>RG17</w:t>
            </w:r>
          </w:p>
        </w:tc>
        <w:tc>
          <w:tcPr>
            <w:tcW w:type="dxa" w:w="8784"/>
            <w:vAlign w:val="center"/>
            <w:tcMar>
              <w:top w:w="100" w:type="dxa"/>
              <w:start w:w="110" w:type="dxa"/>
              <w:bottom w:w="100" w:type="dxa"/>
              <w:end w:w="110" w:type="dxa"/>
            </w:tcMar>
          </w:tcPr>
          <w:p>
            <w:pPr>
              <w:spacing w:after="0"/>
            </w:pPr>
            <w:r>
              <w:rPr>
                <w:sz w:val="17"/>
              </w:rPr>
              <w:t>Le changement de classe conserve l’historique et recalcule uniquement selon une procédure contrôlée.</w:t>
            </w:r>
          </w:p>
        </w:tc>
      </w:tr>
      <w:tr>
        <w:tc>
          <w:tcPr>
            <w:tcW w:type="dxa" w:w="936"/>
            <w:vAlign w:val="center"/>
            <w:shd w:fill="F3F6FA"/>
            <w:tcMar>
              <w:top w:w="100" w:type="dxa"/>
              <w:start w:w="110" w:type="dxa"/>
              <w:bottom w:w="100" w:type="dxa"/>
              <w:end w:w="110" w:type="dxa"/>
            </w:tcMar>
          </w:tcPr>
          <w:p>
            <w:pPr>
              <w:spacing w:after="0"/>
            </w:pPr>
            <w:r>
              <w:rPr>
                <w:sz w:val="17"/>
              </w:rPr>
              <w:t>RG18</w:t>
            </w:r>
          </w:p>
        </w:tc>
        <w:tc>
          <w:tcPr>
            <w:tcW w:type="dxa" w:w="8784"/>
            <w:vAlign w:val="center"/>
            <w:shd w:fill="F3F6FA"/>
            <w:tcMar>
              <w:top w:w="100" w:type="dxa"/>
              <w:start w:w="110" w:type="dxa"/>
              <w:bottom w:w="100" w:type="dxa"/>
              <w:end w:w="110" w:type="dxa"/>
            </w:tcMar>
          </w:tcPr>
          <w:p>
            <w:pPr>
              <w:spacing w:after="0"/>
            </w:pPr>
            <w:r>
              <w:rPr>
                <w:sz w:val="17"/>
              </w:rPr>
              <w:t>La suppression physique des élèves, inscriptions, factures et transactions est interdite en production.</w:t>
            </w:r>
          </w:p>
        </w:tc>
      </w:tr>
    </w:tbl>
    <w:p>
      <w:pPr>
        <w:spacing w:after="20"/>
      </w:pPr>
    </w:p>
    <w:p>
      <w:pPr>
        <w:pStyle w:val="Heading1"/>
        <w:keepNext/>
      </w:pPr>
      <w:r>
        <w:t>6 Statut de solvabilité</w:t>
      </w:r>
    </w:p>
    <w:p>
      <w:r>
        <w:t>Le statut doit être explicable. L’écran affiche toujours le montant facturé, payé, restant, la prochaine échéance et le retard. Une simple couleur sans détail est insuffisante.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r>
              <w:rPr>
                <w:b/>
                <w:color w:val="FFFFFF"/>
                <w:sz w:val="18"/>
              </w:rPr>
              <w:t>Statut</w:t>
            </w:r>
          </w:p>
        </w:tc>
        <w:tc>
          <w:tcPr>
            <w:tcW w:type="dxa" w:w="5904"/>
            <w:shd w:fill="17365D"/>
            <w:vAlign w:val="center"/>
            <w:tcMar>
              <w:top w:w="100" w:type="dxa"/>
              <w:start w:w="110" w:type="dxa"/>
              <w:bottom w:w="100" w:type="dxa"/>
              <w:end w:w="110" w:type="dxa"/>
            </w:tcMar>
          </w:tcPr>
          <w:p>
            <w:r>
              <w:rPr>
                <w:b/>
                <w:color w:val="FFFFFF"/>
                <w:sz w:val="18"/>
              </w:rPr>
              <w:t>Condition recommandée</w:t>
            </w:r>
          </w:p>
        </w:tc>
        <w:tc>
          <w:tcPr>
            <w:tcW w:type="dxa" w:w="1944"/>
            <w:shd w:fill="17365D"/>
            <w:vAlign w:val="center"/>
            <w:tcMar>
              <w:top w:w="100" w:type="dxa"/>
              <w:start w:w="110" w:type="dxa"/>
              <w:bottom w:w="100" w:type="dxa"/>
              <w:end w:w="110" w:type="dxa"/>
            </w:tcMar>
          </w:tcPr>
          <w:p>
            <w:r>
              <w:rPr>
                <w:b/>
                <w:color w:val="FFFFFF"/>
                <w:sz w:val="18"/>
              </w:rPr>
              <w:t>Affichage</w:t>
            </w:r>
          </w:p>
        </w:tc>
      </w:tr>
      <w:tr>
        <w:tc>
          <w:tcPr>
            <w:tcW w:type="dxa" w:w="1800"/>
            <w:vAlign w:val="center"/>
            <w:tcMar>
              <w:top w:w="100" w:type="dxa"/>
              <w:start w:w="110" w:type="dxa"/>
              <w:bottom w:w="100" w:type="dxa"/>
              <w:end w:w="110" w:type="dxa"/>
            </w:tcMar>
          </w:tcPr>
          <w:p>
            <w:pPr>
              <w:spacing w:after="0"/>
            </w:pPr>
            <w:r>
              <w:rPr>
                <w:sz w:val="17"/>
              </w:rPr>
              <w:t>SOLVABLE</w:t>
            </w:r>
          </w:p>
        </w:tc>
        <w:tc>
          <w:tcPr>
            <w:tcW w:type="dxa" w:w="5904"/>
            <w:vAlign w:val="center"/>
            <w:tcMar>
              <w:top w:w="100" w:type="dxa"/>
              <w:start w:w="110" w:type="dxa"/>
              <w:bottom w:w="100" w:type="dxa"/>
              <w:end w:w="110" w:type="dxa"/>
            </w:tcMar>
          </w:tcPr>
          <w:p>
            <w:pPr>
              <w:spacing w:after="0"/>
            </w:pPr>
            <w:r>
              <w:rPr>
                <w:sz w:val="17"/>
              </w:rPr>
              <w:t>Aucun montant exigible impayé à la date du jour</w:t>
            </w:r>
          </w:p>
        </w:tc>
        <w:tc>
          <w:tcPr>
            <w:tcW w:type="dxa" w:w="1944"/>
            <w:vAlign w:val="center"/>
            <w:tcMar>
              <w:top w:w="100" w:type="dxa"/>
              <w:start w:w="110" w:type="dxa"/>
              <w:bottom w:w="100" w:type="dxa"/>
              <w:end w:w="110" w:type="dxa"/>
            </w:tcMar>
          </w:tcPr>
          <w:p>
            <w:pPr>
              <w:spacing w:after="0"/>
            </w:pPr>
            <w:r>
              <w:rPr>
                <w:sz w:val="17"/>
              </w:rPr>
              <w:t>Vert</w:t>
            </w:r>
          </w:p>
        </w:tc>
      </w:tr>
      <w:tr>
        <w:tc>
          <w:tcPr>
            <w:tcW w:type="dxa" w:w="1800"/>
            <w:vAlign w:val="center"/>
            <w:shd w:fill="F3F6FA"/>
            <w:tcMar>
              <w:top w:w="100" w:type="dxa"/>
              <w:start w:w="110" w:type="dxa"/>
              <w:bottom w:w="100" w:type="dxa"/>
              <w:end w:w="110" w:type="dxa"/>
            </w:tcMar>
          </w:tcPr>
          <w:p>
            <w:pPr>
              <w:spacing w:after="0"/>
            </w:pPr>
            <w:r>
              <w:rPr>
                <w:sz w:val="17"/>
              </w:rPr>
              <w:t>À ÉCHOIR</w:t>
            </w:r>
          </w:p>
        </w:tc>
        <w:tc>
          <w:tcPr>
            <w:tcW w:type="dxa" w:w="5904"/>
            <w:vAlign w:val="center"/>
            <w:shd w:fill="F3F6FA"/>
            <w:tcMar>
              <w:top w:w="100" w:type="dxa"/>
              <w:start w:w="110" w:type="dxa"/>
              <w:bottom w:w="100" w:type="dxa"/>
              <w:end w:w="110" w:type="dxa"/>
            </w:tcMar>
          </w:tcPr>
          <w:p>
            <w:pPr>
              <w:spacing w:after="0"/>
            </w:pPr>
            <w:r>
              <w:rPr>
                <w:sz w:val="17"/>
              </w:rPr>
              <w:t>Solde futur restant, mais aucune échéance dépassée</w:t>
            </w:r>
          </w:p>
        </w:tc>
        <w:tc>
          <w:tcPr>
            <w:tcW w:type="dxa" w:w="1944"/>
            <w:vAlign w:val="center"/>
            <w:shd w:fill="F3F6FA"/>
            <w:tcMar>
              <w:top w:w="100" w:type="dxa"/>
              <w:start w:w="110" w:type="dxa"/>
              <w:bottom w:w="100" w:type="dxa"/>
              <w:end w:w="110" w:type="dxa"/>
            </w:tcMar>
          </w:tcPr>
          <w:p>
            <w:pPr>
              <w:spacing w:after="0"/>
            </w:pPr>
            <w:r>
              <w:rPr>
                <w:sz w:val="17"/>
              </w:rPr>
              <w:t>Bleu</w:t>
            </w:r>
          </w:p>
        </w:tc>
      </w:tr>
      <w:tr>
        <w:tc>
          <w:tcPr>
            <w:tcW w:type="dxa" w:w="1800"/>
            <w:vAlign w:val="center"/>
            <w:tcMar>
              <w:top w:w="100" w:type="dxa"/>
              <w:start w:w="110" w:type="dxa"/>
              <w:bottom w:w="100" w:type="dxa"/>
              <w:end w:w="110" w:type="dxa"/>
            </w:tcMar>
          </w:tcPr>
          <w:p>
            <w:pPr>
              <w:spacing w:after="0"/>
            </w:pPr>
            <w:r>
              <w:rPr>
                <w:sz w:val="17"/>
              </w:rPr>
              <w:t>PARTIELLEMENT PAYÉ</w:t>
            </w:r>
          </w:p>
        </w:tc>
        <w:tc>
          <w:tcPr>
            <w:tcW w:type="dxa" w:w="5904"/>
            <w:vAlign w:val="center"/>
            <w:tcMar>
              <w:top w:w="100" w:type="dxa"/>
              <w:start w:w="110" w:type="dxa"/>
              <w:bottom w:w="100" w:type="dxa"/>
              <w:end w:w="110" w:type="dxa"/>
            </w:tcMar>
          </w:tcPr>
          <w:p>
            <w:pPr>
              <w:spacing w:after="0"/>
            </w:pPr>
            <w:r>
              <w:rPr>
                <w:sz w:val="17"/>
              </w:rPr>
              <w:t>Échéance en cours partiellement réglée et non encore dépassée</w:t>
            </w:r>
          </w:p>
        </w:tc>
        <w:tc>
          <w:tcPr>
            <w:tcW w:type="dxa" w:w="1944"/>
            <w:vAlign w:val="center"/>
            <w:tcMar>
              <w:top w:w="100" w:type="dxa"/>
              <w:start w:w="110" w:type="dxa"/>
              <w:bottom w:w="100" w:type="dxa"/>
              <w:end w:w="110" w:type="dxa"/>
            </w:tcMar>
          </w:tcPr>
          <w:p>
            <w:pPr>
              <w:spacing w:after="0"/>
            </w:pPr>
            <w:r>
              <w:rPr>
                <w:sz w:val="17"/>
              </w:rPr>
              <w:t>Bleu ou orange clair</w:t>
            </w:r>
          </w:p>
        </w:tc>
      </w:tr>
      <w:tr>
        <w:tc>
          <w:tcPr>
            <w:tcW w:type="dxa" w:w="1800"/>
            <w:vAlign w:val="center"/>
            <w:shd w:fill="F3F6FA"/>
            <w:tcMar>
              <w:top w:w="100" w:type="dxa"/>
              <w:start w:w="110" w:type="dxa"/>
              <w:bottom w:w="100" w:type="dxa"/>
              <w:end w:w="110" w:type="dxa"/>
            </w:tcMar>
          </w:tcPr>
          <w:p>
            <w:pPr>
              <w:spacing w:after="0"/>
            </w:pPr>
            <w:r>
              <w:rPr>
                <w:sz w:val="17"/>
              </w:rPr>
              <w:t>EN RETARD</w:t>
            </w:r>
          </w:p>
        </w:tc>
        <w:tc>
          <w:tcPr>
            <w:tcW w:type="dxa" w:w="5904"/>
            <w:vAlign w:val="center"/>
            <w:shd w:fill="F3F6FA"/>
            <w:tcMar>
              <w:top w:w="100" w:type="dxa"/>
              <w:start w:w="110" w:type="dxa"/>
              <w:bottom w:w="100" w:type="dxa"/>
              <w:end w:w="110" w:type="dxa"/>
            </w:tcMar>
          </w:tcPr>
          <w:p>
            <w:pPr>
              <w:spacing w:after="0"/>
            </w:pPr>
            <w:r>
              <w:rPr>
                <w:sz w:val="17"/>
              </w:rPr>
              <w:t>Montant exigible non soldé après la date limite, délai de grâce inclus</w:t>
            </w:r>
          </w:p>
        </w:tc>
        <w:tc>
          <w:tcPr>
            <w:tcW w:type="dxa" w:w="1944"/>
            <w:vAlign w:val="center"/>
            <w:shd w:fill="F3F6FA"/>
            <w:tcMar>
              <w:top w:w="100" w:type="dxa"/>
              <w:start w:w="110" w:type="dxa"/>
              <w:bottom w:w="100" w:type="dxa"/>
              <w:end w:w="110" w:type="dxa"/>
            </w:tcMar>
          </w:tcPr>
          <w:p>
            <w:pPr>
              <w:spacing w:after="0"/>
            </w:pPr>
            <w:r>
              <w:rPr>
                <w:sz w:val="17"/>
              </w:rPr>
              <w:t>Orange</w:t>
            </w:r>
          </w:p>
        </w:tc>
      </w:tr>
      <w:tr>
        <w:tc>
          <w:tcPr>
            <w:tcW w:type="dxa" w:w="1800"/>
            <w:vAlign w:val="center"/>
            <w:tcMar>
              <w:top w:w="100" w:type="dxa"/>
              <w:start w:w="110" w:type="dxa"/>
              <w:bottom w:w="100" w:type="dxa"/>
              <w:end w:w="110" w:type="dxa"/>
            </w:tcMar>
          </w:tcPr>
          <w:p>
            <w:pPr>
              <w:spacing w:after="0"/>
            </w:pPr>
            <w:r>
              <w:rPr>
                <w:sz w:val="17"/>
              </w:rPr>
              <w:t>IMPAYÉ CRITIQUE</w:t>
            </w:r>
          </w:p>
        </w:tc>
        <w:tc>
          <w:tcPr>
            <w:tcW w:type="dxa" w:w="5904"/>
            <w:vAlign w:val="center"/>
            <w:tcMar>
              <w:top w:w="100" w:type="dxa"/>
              <w:start w:w="110" w:type="dxa"/>
              <w:bottom w:w="100" w:type="dxa"/>
              <w:end w:w="110" w:type="dxa"/>
            </w:tcMar>
          </w:tcPr>
          <w:p>
            <w:pPr>
              <w:spacing w:after="0"/>
            </w:pPr>
            <w:r>
              <w:rPr>
                <w:sz w:val="17"/>
              </w:rPr>
              <w:t>Retard ou montant dépassant un seuil paramétrable</w:t>
            </w:r>
          </w:p>
        </w:tc>
        <w:tc>
          <w:tcPr>
            <w:tcW w:type="dxa" w:w="1944"/>
            <w:vAlign w:val="center"/>
            <w:tcMar>
              <w:top w:w="100" w:type="dxa"/>
              <w:start w:w="110" w:type="dxa"/>
              <w:bottom w:w="100" w:type="dxa"/>
              <w:end w:w="110" w:type="dxa"/>
            </w:tcMar>
          </w:tcPr>
          <w:p>
            <w:pPr>
              <w:spacing w:after="0"/>
            </w:pPr>
            <w:r>
              <w:rPr>
                <w:sz w:val="17"/>
              </w:rPr>
              <w:t>Rouge</w:t>
            </w:r>
          </w:p>
        </w:tc>
      </w:tr>
      <w:tr>
        <w:tc>
          <w:tcPr>
            <w:tcW w:type="dxa" w:w="1800"/>
            <w:vAlign w:val="center"/>
            <w:shd w:fill="F3F6FA"/>
            <w:tcMar>
              <w:top w:w="100" w:type="dxa"/>
              <w:start w:w="110" w:type="dxa"/>
              <w:bottom w:w="100" w:type="dxa"/>
              <w:end w:w="110" w:type="dxa"/>
            </w:tcMar>
          </w:tcPr>
          <w:p>
            <w:pPr>
              <w:spacing w:after="0"/>
            </w:pPr>
            <w:r>
              <w:rPr>
                <w:sz w:val="17"/>
              </w:rPr>
              <w:t>EXONÉRÉ</w:t>
            </w:r>
          </w:p>
        </w:tc>
        <w:tc>
          <w:tcPr>
            <w:tcW w:type="dxa" w:w="5904"/>
            <w:vAlign w:val="center"/>
            <w:shd w:fill="F3F6FA"/>
            <w:tcMar>
              <w:top w:w="100" w:type="dxa"/>
              <w:start w:w="110" w:type="dxa"/>
              <w:bottom w:w="100" w:type="dxa"/>
              <w:end w:w="110" w:type="dxa"/>
            </w:tcMar>
          </w:tcPr>
          <w:p>
            <w:pPr>
              <w:spacing w:after="0"/>
            </w:pPr>
            <w:r>
              <w:rPr>
                <w:sz w:val="17"/>
              </w:rPr>
              <w:t>Solde couvert par exonération approuvée</w:t>
            </w:r>
          </w:p>
        </w:tc>
        <w:tc>
          <w:tcPr>
            <w:tcW w:type="dxa" w:w="1944"/>
            <w:vAlign w:val="center"/>
            <w:shd w:fill="F3F6FA"/>
            <w:tcMar>
              <w:top w:w="100" w:type="dxa"/>
              <w:start w:w="110" w:type="dxa"/>
              <w:bottom w:w="100" w:type="dxa"/>
              <w:end w:w="110" w:type="dxa"/>
            </w:tcMar>
          </w:tcPr>
          <w:p>
            <w:pPr>
              <w:spacing w:after="0"/>
            </w:pPr>
            <w:r>
              <w:rPr>
                <w:sz w:val="17"/>
              </w:rPr>
              <w:t>Gris avec justificatif</w:t>
            </w:r>
          </w:p>
        </w:tc>
      </w:tr>
    </w:tbl>
    <w:p>
      <w:pPr>
        <w:spacing w:after="20"/>
      </w:pPr>
    </w:p>
    <w:p>
      <w:r>
        <w:t>Formule : montant exigible = somme des factures ou échéances dont la date limite est atteinte, moins paiements affectés, remises approuvées et annulations. Le statut global est le statut le plus défavorable parmi l’année courante et les arriérés, avec détail séparé.</w:t>
      </w:r>
    </w:p>
    <w:p>
      <w:pPr>
        <w:pStyle w:val="Heading1"/>
        <w:keepNext/>
      </w:pPr>
      <w:r>
        <w:t>7 Paramétrage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448"/>
            <w:shd w:fill="17365D"/>
            <w:vAlign w:val="center"/>
            <w:tcMar>
              <w:top w:w="100" w:type="dxa"/>
              <w:start w:w="110" w:type="dxa"/>
              <w:bottom w:w="100" w:type="dxa"/>
              <w:end w:w="110" w:type="dxa"/>
            </w:tcMar>
          </w:tcPr>
          <w:p>
            <w:r>
              <w:rPr>
                <w:b/>
                <w:color w:val="FFFFFF"/>
                <w:sz w:val="18"/>
              </w:rPr>
              <w:t>Écran</w:t>
            </w:r>
          </w:p>
        </w:tc>
        <w:tc>
          <w:tcPr>
            <w:tcW w:type="dxa" w:w="7272"/>
            <w:shd w:fill="17365D"/>
            <w:vAlign w:val="center"/>
            <w:tcMar>
              <w:top w:w="100" w:type="dxa"/>
              <w:start w:w="110" w:type="dxa"/>
              <w:bottom w:w="100" w:type="dxa"/>
              <w:end w:w="110" w:type="dxa"/>
            </w:tcMar>
          </w:tcPr>
          <w:p>
            <w:r>
              <w:rPr>
                <w:b/>
                <w:color w:val="FFFFFF"/>
                <w:sz w:val="18"/>
              </w:rPr>
              <w:t>Données principales</w:t>
            </w:r>
          </w:p>
        </w:tc>
      </w:tr>
      <w:tr>
        <w:tc>
          <w:tcPr>
            <w:tcW w:type="dxa" w:w="2448"/>
            <w:vAlign w:val="center"/>
            <w:tcMar>
              <w:top w:w="100" w:type="dxa"/>
              <w:start w:w="110" w:type="dxa"/>
              <w:bottom w:w="100" w:type="dxa"/>
              <w:end w:w="110" w:type="dxa"/>
            </w:tcMar>
          </w:tcPr>
          <w:p>
            <w:pPr>
              <w:spacing w:after="0"/>
            </w:pPr>
            <w:r>
              <w:rPr>
                <w:sz w:val="17"/>
              </w:rPr>
              <w:t>Établissement</w:t>
            </w:r>
          </w:p>
        </w:tc>
        <w:tc>
          <w:tcPr>
            <w:tcW w:type="dxa" w:w="7272"/>
            <w:vAlign w:val="center"/>
            <w:tcMar>
              <w:top w:w="100" w:type="dxa"/>
              <w:start w:w="110" w:type="dxa"/>
              <w:bottom w:w="100" w:type="dxa"/>
              <w:end w:w="110" w:type="dxa"/>
            </w:tcMar>
          </w:tcPr>
          <w:p>
            <w:pPr>
              <w:spacing w:after="0"/>
            </w:pPr>
            <w:r>
              <w:rPr>
                <w:sz w:val="17"/>
              </w:rPr>
              <w:t>Nom, adresse, contacts, logo, mentions de reçu, devise, fuseau, formats de numérotation</w:t>
            </w:r>
          </w:p>
        </w:tc>
      </w:tr>
      <w:tr>
        <w:tc>
          <w:tcPr>
            <w:tcW w:type="dxa" w:w="2448"/>
            <w:vAlign w:val="center"/>
            <w:shd w:fill="F3F6FA"/>
            <w:tcMar>
              <w:top w:w="100" w:type="dxa"/>
              <w:start w:w="110" w:type="dxa"/>
              <w:bottom w:w="100" w:type="dxa"/>
              <w:end w:w="110" w:type="dxa"/>
            </w:tcMar>
          </w:tcPr>
          <w:p>
            <w:pPr>
              <w:spacing w:after="0"/>
            </w:pPr>
            <w:r>
              <w:rPr>
                <w:sz w:val="17"/>
              </w:rPr>
              <w:t>Années scolaires</w:t>
            </w:r>
          </w:p>
        </w:tc>
        <w:tc>
          <w:tcPr>
            <w:tcW w:type="dxa" w:w="7272"/>
            <w:vAlign w:val="center"/>
            <w:shd w:fill="F3F6FA"/>
            <w:tcMar>
              <w:top w:w="100" w:type="dxa"/>
              <w:start w:w="110" w:type="dxa"/>
              <w:bottom w:w="100" w:type="dxa"/>
              <w:end w:w="110" w:type="dxa"/>
            </w:tcMar>
          </w:tcPr>
          <w:p>
            <w:pPr>
              <w:spacing w:after="0"/>
            </w:pPr>
            <w:r>
              <w:rPr>
                <w:sz w:val="17"/>
              </w:rPr>
              <w:t>Libellé, début, fin, état brouillon/active/clôturée, dates d’inscription</w:t>
            </w:r>
          </w:p>
        </w:tc>
      </w:tr>
      <w:tr>
        <w:tc>
          <w:tcPr>
            <w:tcW w:type="dxa" w:w="2448"/>
            <w:vAlign w:val="center"/>
            <w:tcMar>
              <w:top w:w="100" w:type="dxa"/>
              <w:start w:w="110" w:type="dxa"/>
              <w:bottom w:w="100" w:type="dxa"/>
              <w:end w:w="110" w:type="dxa"/>
            </w:tcMar>
          </w:tcPr>
          <w:p>
            <w:pPr>
              <w:spacing w:after="0"/>
            </w:pPr>
            <w:r>
              <w:rPr>
                <w:sz w:val="17"/>
              </w:rPr>
              <w:t>Structure académique</w:t>
            </w:r>
          </w:p>
        </w:tc>
        <w:tc>
          <w:tcPr>
            <w:tcW w:type="dxa" w:w="7272"/>
            <w:vAlign w:val="center"/>
            <w:tcMar>
              <w:top w:w="100" w:type="dxa"/>
              <w:start w:w="110" w:type="dxa"/>
              <w:bottom w:w="100" w:type="dxa"/>
              <w:end w:w="110" w:type="dxa"/>
            </w:tcMar>
          </w:tcPr>
          <w:p>
            <w:pPr>
              <w:spacing w:after="0"/>
            </w:pPr>
            <w:r>
              <w:rPr>
                <w:sz w:val="17"/>
              </w:rPr>
              <w:t>Sections, cycles, niveaux, classes, capacités et libellés bilingues</w:t>
            </w:r>
          </w:p>
        </w:tc>
      </w:tr>
      <w:tr>
        <w:tc>
          <w:tcPr>
            <w:tcW w:type="dxa" w:w="2448"/>
            <w:vAlign w:val="center"/>
            <w:shd w:fill="F3F6FA"/>
            <w:tcMar>
              <w:top w:w="100" w:type="dxa"/>
              <w:start w:w="110" w:type="dxa"/>
              <w:bottom w:w="100" w:type="dxa"/>
              <w:end w:w="110" w:type="dxa"/>
            </w:tcMar>
          </w:tcPr>
          <w:p>
            <w:pPr>
              <w:spacing w:after="0"/>
            </w:pPr>
            <w:r>
              <w:rPr>
                <w:sz w:val="17"/>
              </w:rPr>
              <w:t>Grille tarifaire</w:t>
            </w:r>
          </w:p>
        </w:tc>
        <w:tc>
          <w:tcPr>
            <w:tcW w:type="dxa" w:w="7272"/>
            <w:vAlign w:val="center"/>
            <w:shd w:fill="F3F6FA"/>
            <w:tcMar>
              <w:top w:w="100" w:type="dxa"/>
              <w:start w:w="110" w:type="dxa"/>
              <w:bottom w:w="100" w:type="dxa"/>
              <w:end w:w="110" w:type="dxa"/>
            </w:tcMar>
          </w:tcPr>
          <w:p>
            <w:pPr>
              <w:spacing w:after="0"/>
            </w:pPr>
            <w:r>
              <w:rPr>
                <w:sz w:val="17"/>
              </w:rPr>
              <w:t>Frais d’inscription, préinscription, écolage, autres frais, obligatoire/facultatif, périmètre</w:t>
            </w:r>
          </w:p>
        </w:tc>
      </w:tr>
      <w:tr>
        <w:tc>
          <w:tcPr>
            <w:tcW w:type="dxa" w:w="2448"/>
            <w:vAlign w:val="center"/>
            <w:tcMar>
              <w:top w:w="100" w:type="dxa"/>
              <w:start w:w="110" w:type="dxa"/>
              <w:bottom w:w="100" w:type="dxa"/>
              <w:end w:w="110" w:type="dxa"/>
            </w:tcMar>
          </w:tcPr>
          <w:p>
            <w:pPr>
              <w:spacing w:after="0"/>
            </w:pPr>
            <w:r>
              <w:rPr>
                <w:sz w:val="17"/>
              </w:rPr>
              <w:t>Trois tranches</w:t>
            </w:r>
          </w:p>
        </w:tc>
        <w:tc>
          <w:tcPr>
            <w:tcW w:type="dxa" w:w="7272"/>
            <w:vAlign w:val="center"/>
            <w:tcMar>
              <w:top w:w="100" w:type="dxa"/>
              <w:start w:w="110" w:type="dxa"/>
              <w:bottom w:w="100" w:type="dxa"/>
              <w:end w:w="110" w:type="dxa"/>
            </w:tcMar>
          </w:tcPr>
          <w:p>
            <w:pPr>
              <w:spacing w:after="0"/>
            </w:pPr>
            <w:r>
              <w:rPr>
                <w:sz w:val="17"/>
              </w:rPr>
              <w:t>Montant ou pourcentage, date d’échéance, ordre et délai de grâce</w:t>
            </w:r>
          </w:p>
        </w:tc>
      </w:tr>
      <w:tr>
        <w:tc>
          <w:tcPr>
            <w:tcW w:type="dxa" w:w="2448"/>
            <w:vAlign w:val="center"/>
            <w:shd w:fill="F3F6FA"/>
            <w:tcMar>
              <w:top w:w="100" w:type="dxa"/>
              <w:start w:w="110" w:type="dxa"/>
              <w:bottom w:w="100" w:type="dxa"/>
              <w:end w:w="110" w:type="dxa"/>
            </w:tcMar>
          </w:tcPr>
          <w:p>
            <w:pPr>
              <w:spacing w:after="0"/>
            </w:pPr>
            <w:r>
              <w:rPr>
                <w:sz w:val="17"/>
              </w:rPr>
              <w:t>Caisses</w:t>
            </w:r>
          </w:p>
        </w:tc>
        <w:tc>
          <w:tcPr>
            <w:tcW w:type="dxa" w:w="7272"/>
            <w:vAlign w:val="center"/>
            <w:shd w:fill="F3F6FA"/>
            <w:tcMar>
              <w:top w:w="100" w:type="dxa"/>
              <w:start w:w="110" w:type="dxa"/>
              <w:bottom w:w="100" w:type="dxa"/>
              <w:end w:w="110" w:type="dxa"/>
            </w:tcMar>
          </w:tcPr>
          <w:p>
            <w:pPr>
              <w:spacing w:after="0"/>
            </w:pPr>
            <w:r>
              <w:rPr>
                <w:sz w:val="17"/>
              </w:rPr>
              <w:t>Nom, site, modes autorisés, caissiers, seuils de validation</w:t>
            </w:r>
          </w:p>
        </w:tc>
      </w:tr>
      <w:tr>
        <w:tc>
          <w:tcPr>
            <w:tcW w:type="dxa" w:w="2448"/>
            <w:vAlign w:val="center"/>
            <w:tcMar>
              <w:top w:w="100" w:type="dxa"/>
              <w:start w:w="110" w:type="dxa"/>
              <w:bottom w:w="100" w:type="dxa"/>
              <w:end w:w="110" w:type="dxa"/>
            </w:tcMar>
          </w:tcPr>
          <w:p>
            <w:pPr>
              <w:spacing w:after="0"/>
            </w:pPr>
            <w:r>
              <w:rPr>
                <w:sz w:val="17"/>
              </w:rPr>
              <w:t>Référentiels</w:t>
            </w:r>
          </w:p>
        </w:tc>
        <w:tc>
          <w:tcPr>
            <w:tcW w:type="dxa" w:w="7272"/>
            <w:vAlign w:val="center"/>
            <w:tcMar>
              <w:top w:w="100" w:type="dxa"/>
              <w:start w:w="110" w:type="dxa"/>
              <w:bottom w:w="100" w:type="dxa"/>
              <w:end w:w="110" w:type="dxa"/>
            </w:tcMar>
          </w:tcPr>
          <w:p>
            <w:pPr>
              <w:spacing w:after="0"/>
            </w:pPr>
            <w:r>
              <w:rPr>
                <w:sz w:val="17"/>
              </w:rPr>
              <w:t>Catégories de sorties, modes de paiement, motifs de remise et d’annulation</w:t>
            </w:r>
          </w:p>
        </w:tc>
      </w:tr>
      <w:tr>
        <w:tc>
          <w:tcPr>
            <w:tcW w:type="dxa" w:w="2448"/>
            <w:vAlign w:val="center"/>
            <w:shd w:fill="F3F6FA"/>
            <w:tcMar>
              <w:top w:w="100" w:type="dxa"/>
              <w:start w:w="110" w:type="dxa"/>
              <w:bottom w:w="100" w:type="dxa"/>
              <w:end w:w="110" w:type="dxa"/>
            </w:tcMar>
          </w:tcPr>
          <w:p>
            <w:pPr>
              <w:spacing w:after="0"/>
            </w:pPr>
            <w:r>
              <w:rPr>
                <w:sz w:val="17"/>
              </w:rPr>
              <w:t>Utilisateurs</w:t>
            </w:r>
          </w:p>
        </w:tc>
        <w:tc>
          <w:tcPr>
            <w:tcW w:type="dxa" w:w="7272"/>
            <w:vAlign w:val="center"/>
            <w:shd w:fill="F3F6FA"/>
            <w:tcMar>
              <w:top w:w="100" w:type="dxa"/>
              <w:start w:w="110" w:type="dxa"/>
              <w:bottom w:w="100" w:type="dxa"/>
              <w:end w:w="110" w:type="dxa"/>
            </w:tcMar>
          </w:tcPr>
          <w:p>
            <w:pPr>
              <w:spacing w:after="0"/>
            </w:pPr>
            <w:r>
              <w:rPr>
                <w:sz w:val="17"/>
              </w:rPr>
              <w:t>Compte, rôle, permissions, statut, réinitialisation et journal de connexion</w:t>
            </w:r>
          </w:p>
        </w:tc>
      </w:tr>
    </w:tbl>
    <w:p>
      <w:pPr>
        <w:spacing w:after="20"/>
      </w:pPr>
    </w:p>
    <w:p>
      <w:pPr>
        <w:pStyle w:val="Heading1"/>
        <w:keepNext/>
      </w:pPr>
      <w:r>
        <w:t>8 Écrans du MVP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376"/>
            <w:shd w:fill="17365D"/>
            <w:vAlign w:val="center"/>
            <w:tcMar>
              <w:top w:w="100" w:type="dxa"/>
              <w:start w:w="110" w:type="dxa"/>
              <w:bottom w:w="100" w:type="dxa"/>
              <w:end w:w="110" w:type="dxa"/>
            </w:tcMar>
          </w:tcPr>
          <w:p>
            <w:r>
              <w:rPr>
                <w:b/>
                <w:color w:val="FFFFFF"/>
                <w:sz w:val="18"/>
              </w:rPr>
              <w:t>Écran</w:t>
            </w:r>
          </w:p>
        </w:tc>
        <w:tc>
          <w:tcPr>
            <w:tcW w:type="dxa" w:w="7344"/>
            <w:shd w:fill="17365D"/>
            <w:vAlign w:val="center"/>
            <w:tcMar>
              <w:top w:w="100" w:type="dxa"/>
              <w:start w:w="110" w:type="dxa"/>
              <w:bottom w:w="100" w:type="dxa"/>
              <w:end w:w="110" w:type="dxa"/>
            </w:tcMar>
          </w:tcPr>
          <w:p>
            <w:r>
              <w:rPr>
                <w:b/>
                <w:color w:val="FFFFFF"/>
                <w:sz w:val="18"/>
              </w:rPr>
              <w:t>Contenu essentiel</w:t>
            </w:r>
          </w:p>
        </w:tc>
      </w:tr>
      <w:tr>
        <w:tc>
          <w:tcPr>
            <w:tcW w:type="dxa" w:w="2376"/>
            <w:vAlign w:val="center"/>
            <w:tcMar>
              <w:top w:w="100" w:type="dxa"/>
              <w:start w:w="110" w:type="dxa"/>
              <w:bottom w:w="100" w:type="dxa"/>
              <w:end w:w="110" w:type="dxa"/>
            </w:tcMar>
          </w:tcPr>
          <w:p>
            <w:pPr>
              <w:spacing w:after="0"/>
            </w:pPr>
            <w:r>
              <w:rPr>
                <w:sz w:val="17"/>
              </w:rPr>
              <w:t>Connexion</w:t>
            </w:r>
          </w:p>
        </w:tc>
        <w:tc>
          <w:tcPr>
            <w:tcW w:type="dxa" w:w="7344"/>
            <w:vAlign w:val="center"/>
            <w:tcMar>
              <w:top w:w="100" w:type="dxa"/>
              <w:start w:w="110" w:type="dxa"/>
              <w:bottom w:w="100" w:type="dxa"/>
              <w:end w:w="110" w:type="dxa"/>
            </w:tcMar>
          </w:tcPr>
          <w:p>
            <w:pPr>
              <w:spacing w:after="0"/>
            </w:pPr>
            <w:r>
              <w:rPr>
                <w:sz w:val="17"/>
              </w:rPr>
              <w:t>Identifiant, mot de passe, récupération administrée, journalisation.</w:t>
            </w:r>
          </w:p>
        </w:tc>
      </w:tr>
      <w:tr>
        <w:tc>
          <w:tcPr>
            <w:tcW w:type="dxa" w:w="2376"/>
            <w:vAlign w:val="center"/>
            <w:shd w:fill="F3F6FA"/>
            <w:tcMar>
              <w:top w:w="100" w:type="dxa"/>
              <w:start w:w="110" w:type="dxa"/>
              <w:bottom w:w="100" w:type="dxa"/>
              <w:end w:w="110" w:type="dxa"/>
            </w:tcMar>
          </w:tcPr>
          <w:p>
            <w:pPr>
              <w:spacing w:after="0"/>
            </w:pPr>
            <w:r>
              <w:rPr>
                <w:sz w:val="17"/>
              </w:rPr>
              <w:t>Tableau de bord</w:t>
            </w:r>
          </w:p>
        </w:tc>
        <w:tc>
          <w:tcPr>
            <w:tcW w:type="dxa" w:w="7344"/>
            <w:vAlign w:val="center"/>
            <w:shd w:fill="F3F6FA"/>
            <w:tcMar>
              <w:top w:w="100" w:type="dxa"/>
              <w:start w:w="110" w:type="dxa"/>
              <w:bottom w:w="100" w:type="dxa"/>
              <w:end w:w="110" w:type="dxa"/>
            </w:tcMar>
          </w:tcPr>
          <w:p>
            <w:pPr>
              <w:spacing w:after="0"/>
            </w:pPr>
            <w:r>
              <w:rPr>
                <w:sz w:val="17"/>
              </w:rPr>
              <w:t>Encaissements du jour, sorties, solde caisse, élèves inscrits, impayés, échéances proches.</w:t>
            </w:r>
          </w:p>
        </w:tc>
      </w:tr>
      <w:tr>
        <w:tc>
          <w:tcPr>
            <w:tcW w:type="dxa" w:w="2376"/>
            <w:vAlign w:val="center"/>
            <w:tcMar>
              <w:top w:w="100" w:type="dxa"/>
              <w:start w:w="110" w:type="dxa"/>
              <w:bottom w:w="100" w:type="dxa"/>
              <w:end w:w="110" w:type="dxa"/>
            </w:tcMar>
          </w:tcPr>
          <w:p>
            <w:pPr>
              <w:spacing w:after="0"/>
            </w:pPr>
            <w:r>
              <w:rPr>
                <w:sz w:val="17"/>
              </w:rPr>
              <w:t>Recherche globale</w:t>
            </w:r>
          </w:p>
        </w:tc>
        <w:tc>
          <w:tcPr>
            <w:tcW w:type="dxa" w:w="7344"/>
            <w:vAlign w:val="center"/>
            <w:tcMar>
              <w:top w:w="100" w:type="dxa"/>
              <w:start w:w="110" w:type="dxa"/>
              <w:bottom w:w="100" w:type="dxa"/>
              <w:end w:w="110" w:type="dxa"/>
            </w:tcMar>
          </w:tcPr>
          <w:p>
            <w:pPr>
              <w:spacing w:after="0"/>
            </w:pPr>
            <w:r>
              <w:rPr>
                <w:sz w:val="17"/>
              </w:rPr>
              <w:t>Élève, matricule, téléphone, reçu ou référence.</w:t>
            </w:r>
          </w:p>
        </w:tc>
      </w:tr>
      <w:tr>
        <w:tc>
          <w:tcPr>
            <w:tcW w:type="dxa" w:w="2376"/>
            <w:vAlign w:val="center"/>
            <w:shd w:fill="F3F6FA"/>
            <w:tcMar>
              <w:top w:w="100" w:type="dxa"/>
              <w:start w:w="110" w:type="dxa"/>
              <w:bottom w:w="100" w:type="dxa"/>
              <w:end w:w="110" w:type="dxa"/>
            </w:tcMar>
          </w:tcPr>
          <w:p>
            <w:pPr>
              <w:spacing w:after="0"/>
            </w:pPr>
            <w:r>
              <w:rPr>
                <w:sz w:val="17"/>
              </w:rPr>
              <w:t>Liste élèves</w:t>
            </w:r>
          </w:p>
        </w:tc>
        <w:tc>
          <w:tcPr>
            <w:tcW w:type="dxa" w:w="7344"/>
            <w:vAlign w:val="center"/>
            <w:shd w:fill="F3F6FA"/>
            <w:tcMar>
              <w:top w:w="100" w:type="dxa"/>
              <w:start w:w="110" w:type="dxa"/>
              <w:bottom w:w="100" w:type="dxa"/>
              <w:end w:w="110" w:type="dxa"/>
            </w:tcMar>
          </w:tcPr>
          <w:p>
            <w:pPr>
              <w:spacing w:after="0"/>
            </w:pPr>
            <w:r>
              <w:rPr>
                <w:sz w:val="17"/>
              </w:rPr>
              <w:t>Filtres section, cycle, niveau, classe, statut et année ; export contrôlé.</w:t>
            </w:r>
          </w:p>
        </w:tc>
      </w:tr>
      <w:tr>
        <w:tc>
          <w:tcPr>
            <w:tcW w:type="dxa" w:w="2376"/>
            <w:vAlign w:val="center"/>
            <w:tcMar>
              <w:top w:w="100" w:type="dxa"/>
              <w:start w:w="110" w:type="dxa"/>
              <w:bottom w:w="100" w:type="dxa"/>
              <w:end w:w="110" w:type="dxa"/>
            </w:tcMar>
          </w:tcPr>
          <w:p>
            <w:pPr>
              <w:spacing w:after="0"/>
            </w:pPr>
            <w:r>
              <w:rPr>
                <w:sz w:val="17"/>
              </w:rPr>
              <w:t>Dossier élève</w:t>
            </w:r>
          </w:p>
        </w:tc>
        <w:tc>
          <w:tcPr>
            <w:tcW w:type="dxa" w:w="7344"/>
            <w:vAlign w:val="center"/>
            <w:tcMar>
              <w:top w:w="100" w:type="dxa"/>
              <w:start w:w="110" w:type="dxa"/>
              <w:bottom w:w="100" w:type="dxa"/>
              <w:end w:w="110" w:type="dxa"/>
            </w:tcMar>
          </w:tcPr>
          <w:p>
            <w:pPr>
              <w:spacing w:after="0"/>
            </w:pPr>
            <w:r>
              <w:rPr>
                <w:sz w:val="17"/>
              </w:rPr>
              <w:t>Identité, responsables, parcours annuel, situation financière, reçus, documents.</w:t>
            </w:r>
          </w:p>
        </w:tc>
      </w:tr>
      <w:tr>
        <w:tc>
          <w:tcPr>
            <w:tcW w:type="dxa" w:w="2376"/>
            <w:vAlign w:val="center"/>
            <w:shd w:fill="F3F6FA"/>
            <w:tcMar>
              <w:top w:w="100" w:type="dxa"/>
              <w:start w:w="110" w:type="dxa"/>
              <w:bottom w:w="100" w:type="dxa"/>
              <w:end w:w="110" w:type="dxa"/>
            </w:tcMar>
          </w:tcPr>
          <w:p>
            <w:pPr>
              <w:spacing w:after="0"/>
            </w:pPr>
            <w:r>
              <w:rPr>
                <w:sz w:val="17"/>
              </w:rPr>
              <w:t>Nouvelle inscription</w:t>
            </w:r>
          </w:p>
        </w:tc>
        <w:tc>
          <w:tcPr>
            <w:tcW w:type="dxa" w:w="7344"/>
            <w:vAlign w:val="center"/>
            <w:shd w:fill="F3F6FA"/>
            <w:tcMar>
              <w:top w:w="100" w:type="dxa"/>
              <w:start w:w="110" w:type="dxa"/>
              <w:bottom w:w="100" w:type="dxa"/>
              <w:end w:w="110" w:type="dxa"/>
            </w:tcMar>
          </w:tcPr>
          <w:p>
            <w:pPr>
              <w:spacing w:after="0"/>
            </w:pPr>
            <w:r>
              <w:rPr>
                <w:sz w:val="17"/>
              </w:rPr>
              <w:t>Assistant en étapes avec détection de doublons et récapitulatif avant validation.</w:t>
            </w:r>
          </w:p>
        </w:tc>
      </w:tr>
      <w:tr>
        <w:tc>
          <w:tcPr>
            <w:tcW w:type="dxa" w:w="2376"/>
            <w:vAlign w:val="center"/>
            <w:tcMar>
              <w:top w:w="100" w:type="dxa"/>
              <w:start w:w="110" w:type="dxa"/>
              <w:bottom w:w="100" w:type="dxa"/>
              <w:end w:w="110" w:type="dxa"/>
            </w:tcMar>
          </w:tcPr>
          <w:p>
            <w:pPr>
              <w:spacing w:after="0"/>
            </w:pPr>
            <w:r>
              <w:rPr>
                <w:sz w:val="17"/>
              </w:rPr>
              <w:t>Réinscription</w:t>
            </w:r>
          </w:p>
        </w:tc>
        <w:tc>
          <w:tcPr>
            <w:tcW w:type="dxa" w:w="7344"/>
            <w:vAlign w:val="center"/>
            <w:tcMar>
              <w:top w:w="100" w:type="dxa"/>
              <w:start w:w="110" w:type="dxa"/>
              <w:bottom w:w="100" w:type="dxa"/>
              <w:end w:w="110" w:type="dxa"/>
            </w:tcMar>
          </w:tcPr>
          <w:p>
            <w:pPr>
              <w:spacing w:after="0"/>
            </w:pPr>
            <w:r>
              <w:rPr>
                <w:sz w:val="17"/>
              </w:rPr>
              <w:t>Choix de la nouvelle classe, contrôle des arriérés, mise à jour des contacts.</w:t>
            </w:r>
          </w:p>
        </w:tc>
      </w:tr>
      <w:tr>
        <w:tc>
          <w:tcPr>
            <w:tcW w:type="dxa" w:w="2376"/>
            <w:vAlign w:val="center"/>
            <w:shd w:fill="F3F6FA"/>
            <w:tcMar>
              <w:top w:w="100" w:type="dxa"/>
              <w:start w:w="110" w:type="dxa"/>
              <w:bottom w:w="100" w:type="dxa"/>
              <w:end w:w="110" w:type="dxa"/>
            </w:tcMar>
          </w:tcPr>
          <w:p>
            <w:pPr>
              <w:spacing w:after="0"/>
            </w:pPr>
            <w:r>
              <w:rPr>
                <w:sz w:val="17"/>
              </w:rPr>
              <w:t>Encaissement rapide</w:t>
            </w:r>
          </w:p>
        </w:tc>
        <w:tc>
          <w:tcPr>
            <w:tcW w:type="dxa" w:w="7344"/>
            <w:vAlign w:val="center"/>
            <w:shd w:fill="F3F6FA"/>
            <w:tcMar>
              <w:top w:w="100" w:type="dxa"/>
              <w:start w:w="110" w:type="dxa"/>
              <w:bottom w:w="100" w:type="dxa"/>
              <w:end w:w="110" w:type="dxa"/>
            </w:tcMar>
          </w:tcPr>
          <w:p>
            <w:pPr>
              <w:spacing w:after="0"/>
            </w:pPr>
            <w:r>
              <w:rPr>
                <w:sz w:val="17"/>
              </w:rPr>
              <w:t>Recherche élève, dettes, ventilation, mode, confirmation et impression.</w:t>
            </w:r>
          </w:p>
        </w:tc>
      </w:tr>
      <w:tr>
        <w:tc>
          <w:tcPr>
            <w:tcW w:type="dxa" w:w="2376"/>
            <w:vAlign w:val="center"/>
            <w:tcMar>
              <w:top w:w="100" w:type="dxa"/>
              <w:start w:w="110" w:type="dxa"/>
              <w:bottom w:w="100" w:type="dxa"/>
              <w:end w:w="110" w:type="dxa"/>
            </w:tcMar>
          </w:tcPr>
          <w:p>
            <w:pPr>
              <w:spacing w:after="0"/>
            </w:pPr>
            <w:r>
              <w:rPr>
                <w:sz w:val="17"/>
              </w:rPr>
              <w:t>Autre recette</w:t>
            </w:r>
          </w:p>
        </w:tc>
        <w:tc>
          <w:tcPr>
            <w:tcW w:type="dxa" w:w="7344"/>
            <w:vAlign w:val="center"/>
            <w:tcMar>
              <w:top w:w="100" w:type="dxa"/>
              <w:start w:w="110" w:type="dxa"/>
              <w:bottom w:w="100" w:type="dxa"/>
              <w:end w:w="110" w:type="dxa"/>
            </w:tcMar>
          </w:tcPr>
          <w:p>
            <w:pPr>
              <w:spacing w:after="0"/>
            </w:pPr>
            <w:r>
              <w:rPr>
                <w:sz w:val="17"/>
              </w:rPr>
              <w:t>Recette non rattachée ou rattachée à un élève, catégorie, tiers et reçu.</w:t>
            </w:r>
          </w:p>
        </w:tc>
      </w:tr>
      <w:tr>
        <w:tc>
          <w:tcPr>
            <w:tcW w:type="dxa" w:w="2376"/>
            <w:vAlign w:val="center"/>
            <w:shd w:fill="F3F6FA"/>
            <w:tcMar>
              <w:top w:w="100" w:type="dxa"/>
              <w:start w:w="110" w:type="dxa"/>
              <w:bottom w:w="100" w:type="dxa"/>
              <w:end w:w="110" w:type="dxa"/>
            </w:tcMar>
          </w:tcPr>
          <w:p>
            <w:pPr>
              <w:spacing w:after="0"/>
            </w:pPr>
            <w:r>
              <w:rPr>
                <w:sz w:val="17"/>
              </w:rPr>
              <w:t>Sorties financières</w:t>
            </w:r>
          </w:p>
        </w:tc>
        <w:tc>
          <w:tcPr>
            <w:tcW w:type="dxa" w:w="7344"/>
            <w:vAlign w:val="center"/>
            <w:shd w:fill="F3F6FA"/>
            <w:tcMar>
              <w:top w:w="100" w:type="dxa"/>
              <w:start w:w="110" w:type="dxa"/>
              <w:bottom w:w="100" w:type="dxa"/>
              <w:end w:w="110" w:type="dxa"/>
            </w:tcMar>
          </w:tcPr>
          <w:p>
            <w:pPr>
              <w:spacing w:after="0"/>
            </w:pPr>
            <w:r>
              <w:rPr>
                <w:sz w:val="17"/>
              </w:rPr>
              <w:t>Création, approbation éventuelle, liste et pièce de décaissement.</w:t>
            </w:r>
          </w:p>
        </w:tc>
      </w:tr>
      <w:tr>
        <w:tc>
          <w:tcPr>
            <w:tcW w:type="dxa" w:w="2376"/>
            <w:vAlign w:val="center"/>
            <w:tcMar>
              <w:top w:w="100" w:type="dxa"/>
              <w:start w:w="110" w:type="dxa"/>
              <w:bottom w:w="100" w:type="dxa"/>
              <w:end w:w="110" w:type="dxa"/>
            </w:tcMar>
          </w:tcPr>
          <w:p>
            <w:pPr>
              <w:spacing w:after="0"/>
            </w:pPr>
            <w:r>
              <w:rPr>
                <w:sz w:val="17"/>
              </w:rPr>
              <w:t>Caisse du jour</w:t>
            </w:r>
          </w:p>
        </w:tc>
        <w:tc>
          <w:tcPr>
            <w:tcW w:type="dxa" w:w="7344"/>
            <w:vAlign w:val="center"/>
            <w:tcMar>
              <w:top w:w="100" w:type="dxa"/>
              <w:start w:w="110" w:type="dxa"/>
              <w:bottom w:w="100" w:type="dxa"/>
              <w:end w:w="110" w:type="dxa"/>
            </w:tcMar>
          </w:tcPr>
          <w:p>
            <w:pPr>
              <w:spacing w:after="0"/>
            </w:pPr>
            <w:r>
              <w:rPr>
                <w:sz w:val="17"/>
              </w:rPr>
              <w:t>Ouverture, journal temps réel, solde théorique, annulations et clôture.</w:t>
            </w:r>
          </w:p>
        </w:tc>
      </w:tr>
      <w:tr>
        <w:tc>
          <w:tcPr>
            <w:tcW w:type="dxa" w:w="2376"/>
            <w:vAlign w:val="center"/>
            <w:shd w:fill="F3F6FA"/>
            <w:tcMar>
              <w:top w:w="100" w:type="dxa"/>
              <w:start w:w="110" w:type="dxa"/>
              <w:bottom w:w="100" w:type="dxa"/>
              <w:end w:w="110" w:type="dxa"/>
            </w:tcMar>
          </w:tcPr>
          <w:p>
            <w:pPr>
              <w:spacing w:after="0"/>
            </w:pPr>
            <w:r>
              <w:rPr>
                <w:sz w:val="17"/>
              </w:rPr>
              <w:t>Situation élève</w:t>
            </w:r>
          </w:p>
        </w:tc>
        <w:tc>
          <w:tcPr>
            <w:tcW w:type="dxa" w:w="7344"/>
            <w:vAlign w:val="center"/>
            <w:shd w:fill="F3F6FA"/>
            <w:tcMar>
              <w:top w:w="100" w:type="dxa"/>
              <w:start w:w="110" w:type="dxa"/>
              <w:bottom w:w="100" w:type="dxa"/>
              <w:end w:w="110" w:type="dxa"/>
            </w:tcMar>
          </w:tcPr>
          <w:p>
            <w:pPr>
              <w:spacing w:after="0"/>
            </w:pPr>
            <w:r>
              <w:rPr>
                <w:sz w:val="17"/>
              </w:rPr>
              <w:t>Synthèse imprimable des factures, paiements, remises, solde et échéances.</w:t>
            </w:r>
          </w:p>
        </w:tc>
      </w:tr>
      <w:tr>
        <w:tc>
          <w:tcPr>
            <w:tcW w:type="dxa" w:w="2376"/>
            <w:vAlign w:val="center"/>
            <w:tcMar>
              <w:top w:w="100" w:type="dxa"/>
              <w:start w:w="110" w:type="dxa"/>
              <w:bottom w:w="100" w:type="dxa"/>
              <w:end w:w="110" w:type="dxa"/>
            </w:tcMar>
          </w:tcPr>
          <w:p>
            <w:pPr>
              <w:spacing w:after="0"/>
            </w:pPr>
            <w:r>
              <w:rPr>
                <w:sz w:val="17"/>
              </w:rPr>
              <w:t>Rapports</w:t>
            </w:r>
          </w:p>
        </w:tc>
        <w:tc>
          <w:tcPr>
            <w:tcW w:type="dxa" w:w="7344"/>
            <w:vAlign w:val="center"/>
            <w:tcMar>
              <w:top w:w="100" w:type="dxa"/>
              <w:start w:w="110" w:type="dxa"/>
              <w:bottom w:w="100" w:type="dxa"/>
              <w:end w:w="110" w:type="dxa"/>
            </w:tcMar>
          </w:tcPr>
          <w:p>
            <w:pPr>
              <w:spacing w:after="0"/>
            </w:pPr>
            <w:r>
              <w:rPr>
                <w:sz w:val="17"/>
              </w:rPr>
              <w:t>Journal de caisse, recettes par rubrique, impayés, inscriptions, clôtures, exports.</w:t>
            </w:r>
          </w:p>
        </w:tc>
      </w:tr>
      <w:tr>
        <w:tc>
          <w:tcPr>
            <w:tcW w:type="dxa" w:w="2376"/>
            <w:vAlign w:val="center"/>
            <w:shd w:fill="F3F6FA"/>
            <w:tcMar>
              <w:top w:w="100" w:type="dxa"/>
              <w:start w:w="110" w:type="dxa"/>
              <w:bottom w:w="100" w:type="dxa"/>
              <w:end w:w="110" w:type="dxa"/>
            </w:tcMar>
          </w:tcPr>
          <w:p>
            <w:pPr>
              <w:spacing w:after="0"/>
            </w:pPr>
            <w:r>
              <w:rPr>
                <w:sz w:val="17"/>
              </w:rPr>
              <w:t>Paramètres</w:t>
            </w:r>
          </w:p>
        </w:tc>
        <w:tc>
          <w:tcPr>
            <w:tcW w:type="dxa" w:w="7344"/>
            <w:vAlign w:val="center"/>
            <w:shd w:fill="F3F6FA"/>
            <w:tcMar>
              <w:top w:w="100" w:type="dxa"/>
              <w:start w:w="110" w:type="dxa"/>
              <w:bottom w:w="100" w:type="dxa"/>
              <w:end w:w="110" w:type="dxa"/>
            </w:tcMar>
          </w:tcPr>
          <w:p>
            <w:pPr>
              <w:spacing w:after="0"/>
            </w:pPr>
            <w:r>
              <w:rPr>
                <w:sz w:val="17"/>
              </w:rPr>
              <w:t>Année, structure, tarifs, tranches, utilisateurs, caisses et numérotation.</w:t>
            </w:r>
          </w:p>
        </w:tc>
      </w:tr>
      <w:tr>
        <w:tc>
          <w:tcPr>
            <w:tcW w:type="dxa" w:w="2376"/>
            <w:vAlign w:val="center"/>
            <w:tcMar>
              <w:top w:w="100" w:type="dxa"/>
              <w:start w:w="110" w:type="dxa"/>
              <w:bottom w:w="100" w:type="dxa"/>
              <w:end w:w="110" w:type="dxa"/>
            </w:tcMar>
          </w:tcPr>
          <w:p>
            <w:pPr>
              <w:spacing w:after="0"/>
            </w:pPr>
            <w:r>
              <w:rPr>
                <w:sz w:val="17"/>
              </w:rPr>
              <w:t>Journal d’audit</w:t>
            </w:r>
          </w:p>
        </w:tc>
        <w:tc>
          <w:tcPr>
            <w:tcW w:type="dxa" w:w="7344"/>
            <w:vAlign w:val="center"/>
            <w:tcMar>
              <w:top w:w="100" w:type="dxa"/>
              <w:start w:w="110" w:type="dxa"/>
              <w:bottom w:w="100" w:type="dxa"/>
              <w:end w:w="110" w:type="dxa"/>
            </w:tcMar>
          </w:tcPr>
          <w:p>
            <w:pPr>
              <w:spacing w:after="0"/>
            </w:pPr>
            <w:r>
              <w:rPr>
                <w:sz w:val="17"/>
              </w:rPr>
              <w:t>Recherche des actions sensibles par utilisateur, période et objet.</w:t>
            </w:r>
          </w:p>
        </w:tc>
      </w:tr>
    </w:tbl>
    <w:p>
      <w:pPr>
        <w:spacing w:after="20"/>
      </w:pPr>
    </w:p>
    <w:p>
      <w:pPr>
        <w:pStyle w:val="Heading1"/>
        <w:keepNext/>
      </w:pPr>
      <w:r>
        <w:t>9 Reçus et documents imprimables</w:t>
      </w:r>
    </w:p>
    <w:p>
      <w:pPr>
        <w:pStyle w:val="Heading2"/>
        <w:keepNext/>
      </w:pPr>
      <w:r>
        <w:t>9.1 Reçu d’encaissement</w:t>
      </w:r>
    </w:p>
    <w:p>
      <w:r>
        <w:t>Formats recommandés : A5 ou A4 pour l’administration, et option 80 mm pour imprimante thermique. Le reçu doit être généré côté serveur en PDF pour conserver une présentation identique.</w:t>
      </w:r>
    </w:p>
    <w:p>
      <w:pPr>
        <w:pStyle w:val="ListBullet"/>
      </w:pPr>
      <w:r>
        <w:t>Logo et coordonnées de Shakespeare Academy</w:t>
      </w:r>
    </w:p>
    <w:p>
      <w:pPr>
        <w:pStyle w:val="ListBullet"/>
      </w:pPr>
      <w:r>
        <w:t>Numéro unique et éventuellement QR code de vérification</w:t>
      </w:r>
    </w:p>
    <w:p>
      <w:pPr>
        <w:pStyle w:val="ListBullet"/>
      </w:pPr>
      <w:r>
        <w:t>Date et heure, caisse et caissier</w:t>
      </w:r>
    </w:p>
    <w:p>
      <w:pPr>
        <w:pStyle w:val="ListBullet"/>
      </w:pPr>
      <w:r>
        <w:t>Élève, matricule, section, classe et année</w:t>
      </w:r>
    </w:p>
    <w:p>
      <w:pPr>
        <w:pStyle w:val="ListBullet"/>
      </w:pPr>
      <w:r>
        <w:t>Détail des rubriques et périodes réglées</w:t>
      </w:r>
    </w:p>
    <w:p>
      <w:pPr>
        <w:pStyle w:val="ListBullet"/>
      </w:pPr>
      <w:r>
        <w:t>Montant total en chiffres et en lettres</w:t>
      </w:r>
    </w:p>
    <w:p>
      <w:pPr>
        <w:pStyle w:val="ListBullet"/>
      </w:pPr>
      <w:r>
        <w:t>Mode et référence du paiement</w:t>
      </w:r>
    </w:p>
    <w:p>
      <w:pPr>
        <w:pStyle w:val="ListBullet"/>
      </w:pPr>
      <w:r>
        <w:t>Solde restant et prochaine échéance</w:t>
      </w:r>
    </w:p>
    <w:p>
      <w:pPr>
        <w:pStyle w:val="ListBullet"/>
      </w:pPr>
      <w:r>
        <w:t>Mention original ou duplicata</w:t>
      </w:r>
    </w:p>
    <w:p>
      <w:pPr>
        <w:pStyle w:val="ListBullet"/>
      </w:pPr>
      <w:r>
        <w:t>Emplacements signature caissier et payeur</w:t>
      </w:r>
    </w:p>
    <w:p>
      <w:pPr>
        <w:pStyle w:val="Heading2"/>
        <w:keepNext/>
      </w:pPr>
      <w:r>
        <w:t>9.2 Autres impressions</w:t>
      </w:r>
    </w:p>
    <w:p>
      <w:r>
        <w:t>Fiche d’inscription, reçu de décaissement, situation de compte élève, liste d’élèves, état des impayés, journal de caisse, bordereau de clôture, rapport des annulations et rapport des remises.</w:t>
      </w:r>
    </w:p>
    <w:p>
      <w:pPr>
        <w:pStyle w:val="Heading1"/>
        <w:keepNext/>
      </w:pPr>
      <w:r>
        <w:t>10 Rapports et indicateurs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r>
              <w:rPr>
                <w:b/>
                <w:color w:val="FFFFFF"/>
                <w:sz w:val="18"/>
              </w:rPr>
              <w:t>Rapport</w:t>
            </w:r>
          </w:p>
        </w:tc>
        <w:tc>
          <w:tcPr>
            <w:tcW w:type="dxa" w:w="4608"/>
            <w:shd w:fill="17365D"/>
            <w:vAlign w:val="center"/>
            <w:tcMar>
              <w:top w:w="100" w:type="dxa"/>
              <w:start w:w="110" w:type="dxa"/>
              <w:bottom w:w="100" w:type="dxa"/>
              <w:end w:w="110" w:type="dxa"/>
            </w:tcMar>
          </w:tcPr>
          <w:p>
            <w:r>
              <w:rPr>
                <w:b/>
                <w:color w:val="FFFFFF"/>
                <w:sz w:val="18"/>
              </w:rPr>
              <w:t>Filtres minimaux</w:t>
            </w:r>
          </w:p>
        </w:tc>
        <w:tc>
          <w:tcPr>
            <w:tcW w:type="dxa" w:w="3024"/>
            <w:shd w:fill="17365D"/>
            <w:vAlign w:val="center"/>
            <w:tcMar>
              <w:top w:w="100" w:type="dxa"/>
              <w:start w:w="110" w:type="dxa"/>
              <w:bottom w:w="100" w:type="dxa"/>
              <w:end w:w="110" w:type="dxa"/>
            </w:tcMar>
          </w:tcPr>
          <w:p>
            <w:r>
              <w:rPr>
                <w:b/>
                <w:color w:val="FFFFFF"/>
                <w:sz w:val="18"/>
              </w:rPr>
              <w:t>Totaux attendus</w:t>
            </w:r>
          </w:p>
        </w:tc>
      </w:tr>
      <w:tr>
        <w:tc>
          <w:tcPr>
            <w:tcW w:type="dxa" w:w="2088"/>
            <w:vAlign w:val="center"/>
            <w:tcMar>
              <w:top w:w="100" w:type="dxa"/>
              <w:start w:w="110" w:type="dxa"/>
              <w:bottom w:w="100" w:type="dxa"/>
              <w:end w:w="110" w:type="dxa"/>
            </w:tcMar>
          </w:tcPr>
          <w:p>
            <w:pPr>
              <w:spacing w:after="0"/>
            </w:pPr>
            <w:r>
              <w:rPr>
                <w:sz w:val="17"/>
              </w:rPr>
              <w:t>Journal de caisse</w:t>
            </w:r>
          </w:p>
        </w:tc>
        <w:tc>
          <w:tcPr>
            <w:tcW w:type="dxa" w:w="4608"/>
            <w:vAlign w:val="center"/>
            <w:tcMar>
              <w:top w:w="100" w:type="dxa"/>
              <w:start w:w="110" w:type="dxa"/>
              <w:bottom w:w="100" w:type="dxa"/>
              <w:end w:w="110" w:type="dxa"/>
            </w:tcMar>
          </w:tcPr>
          <w:p>
            <w:pPr>
              <w:spacing w:after="0"/>
            </w:pPr>
            <w:r>
              <w:rPr>
                <w:sz w:val="17"/>
              </w:rPr>
              <w:t>Date, caisse, caissier, mode, statut</w:t>
            </w:r>
          </w:p>
        </w:tc>
        <w:tc>
          <w:tcPr>
            <w:tcW w:type="dxa" w:w="3024"/>
            <w:vAlign w:val="center"/>
            <w:tcMar>
              <w:top w:w="100" w:type="dxa"/>
              <w:start w:w="110" w:type="dxa"/>
              <w:bottom w:w="100" w:type="dxa"/>
              <w:end w:w="110" w:type="dxa"/>
            </w:tcMar>
          </w:tcPr>
          <w:p>
            <w:pPr>
              <w:spacing w:after="0"/>
            </w:pPr>
            <w:r>
              <w:rPr>
                <w:sz w:val="17"/>
              </w:rPr>
              <w:t>Entrées, sorties, annulations, net</w:t>
            </w:r>
          </w:p>
        </w:tc>
      </w:tr>
      <w:tr>
        <w:tc>
          <w:tcPr>
            <w:tcW w:type="dxa" w:w="2088"/>
            <w:vAlign w:val="center"/>
            <w:shd w:fill="F3F6FA"/>
            <w:tcMar>
              <w:top w:w="100" w:type="dxa"/>
              <w:start w:w="110" w:type="dxa"/>
              <w:bottom w:w="100" w:type="dxa"/>
              <w:end w:w="110" w:type="dxa"/>
            </w:tcMar>
          </w:tcPr>
          <w:p>
            <w:pPr>
              <w:spacing w:after="0"/>
            </w:pPr>
            <w:r>
              <w:rPr>
                <w:sz w:val="17"/>
              </w:rPr>
              <w:t>Clôture journalière</w:t>
            </w:r>
          </w:p>
        </w:tc>
        <w:tc>
          <w:tcPr>
            <w:tcW w:type="dxa" w:w="4608"/>
            <w:vAlign w:val="center"/>
            <w:shd w:fill="F3F6FA"/>
            <w:tcMar>
              <w:top w:w="100" w:type="dxa"/>
              <w:start w:w="110" w:type="dxa"/>
              <w:bottom w:w="100" w:type="dxa"/>
              <w:end w:w="110" w:type="dxa"/>
            </w:tcMar>
          </w:tcPr>
          <w:p>
            <w:pPr>
              <w:spacing w:after="0"/>
            </w:pPr>
            <w:r>
              <w:rPr>
                <w:sz w:val="17"/>
              </w:rPr>
              <w:t>Date, caisse, caissier</w:t>
            </w:r>
          </w:p>
        </w:tc>
        <w:tc>
          <w:tcPr>
            <w:tcW w:type="dxa" w:w="3024"/>
            <w:vAlign w:val="center"/>
            <w:shd w:fill="F3F6FA"/>
            <w:tcMar>
              <w:top w:w="100" w:type="dxa"/>
              <w:start w:w="110" w:type="dxa"/>
              <w:bottom w:w="100" w:type="dxa"/>
              <w:end w:w="110" w:type="dxa"/>
            </w:tcMar>
          </w:tcPr>
          <w:p>
            <w:pPr>
              <w:spacing w:after="0"/>
            </w:pPr>
            <w:r>
              <w:rPr>
                <w:sz w:val="17"/>
              </w:rPr>
              <w:t>Théorique, compté, écart</w:t>
            </w:r>
          </w:p>
        </w:tc>
      </w:tr>
      <w:tr>
        <w:tc>
          <w:tcPr>
            <w:tcW w:type="dxa" w:w="2088"/>
            <w:vAlign w:val="center"/>
            <w:tcMar>
              <w:top w:w="100" w:type="dxa"/>
              <w:start w:w="110" w:type="dxa"/>
              <w:bottom w:w="100" w:type="dxa"/>
              <w:end w:w="110" w:type="dxa"/>
            </w:tcMar>
          </w:tcPr>
          <w:p>
            <w:pPr>
              <w:spacing w:after="0"/>
            </w:pPr>
            <w:r>
              <w:rPr>
                <w:sz w:val="17"/>
              </w:rPr>
              <w:t>Recettes par rubrique</w:t>
            </w:r>
          </w:p>
        </w:tc>
        <w:tc>
          <w:tcPr>
            <w:tcW w:type="dxa" w:w="4608"/>
            <w:vAlign w:val="center"/>
            <w:tcMar>
              <w:top w:w="100" w:type="dxa"/>
              <w:start w:w="110" w:type="dxa"/>
              <w:bottom w:w="100" w:type="dxa"/>
              <w:end w:w="110" w:type="dxa"/>
            </w:tcMar>
          </w:tcPr>
          <w:p>
            <w:pPr>
              <w:spacing w:after="0"/>
            </w:pPr>
            <w:r>
              <w:rPr>
                <w:sz w:val="17"/>
              </w:rPr>
              <w:t>Période, section, cycle, classe</w:t>
            </w:r>
          </w:p>
        </w:tc>
        <w:tc>
          <w:tcPr>
            <w:tcW w:type="dxa" w:w="3024"/>
            <w:vAlign w:val="center"/>
            <w:tcMar>
              <w:top w:w="100" w:type="dxa"/>
              <w:start w:w="110" w:type="dxa"/>
              <w:bottom w:w="100" w:type="dxa"/>
              <w:end w:w="110" w:type="dxa"/>
            </w:tcMar>
          </w:tcPr>
          <w:p>
            <w:pPr>
              <w:spacing w:after="0"/>
            </w:pPr>
            <w:r>
              <w:rPr>
                <w:sz w:val="17"/>
              </w:rPr>
              <w:t>Facturé, encaissé, restant</w:t>
            </w:r>
          </w:p>
        </w:tc>
      </w:tr>
      <w:tr>
        <w:tc>
          <w:tcPr>
            <w:tcW w:type="dxa" w:w="2088"/>
            <w:vAlign w:val="center"/>
            <w:shd w:fill="F3F6FA"/>
            <w:tcMar>
              <w:top w:w="100" w:type="dxa"/>
              <w:start w:w="110" w:type="dxa"/>
              <w:bottom w:w="100" w:type="dxa"/>
              <w:end w:w="110" w:type="dxa"/>
            </w:tcMar>
          </w:tcPr>
          <w:p>
            <w:pPr>
              <w:spacing w:after="0"/>
            </w:pPr>
            <w:r>
              <w:rPr>
                <w:sz w:val="17"/>
              </w:rPr>
              <w:t>Impayés</w:t>
            </w:r>
          </w:p>
        </w:tc>
        <w:tc>
          <w:tcPr>
            <w:tcW w:type="dxa" w:w="4608"/>
            <w:vAlign w:val="center"/>
            <w:shd w:fill="F3F6FA"/>
            <w:tcMar>
              <w:top w:w="100" w:type="dxa"/>
              <w:start w:w="110" w:type="dxa"/>
              <w:bottom w:w="100" w:type="dxa"/>
              <w:end w:w="110" w:type="dxa"/>
            </w:tcMar>
          </w:tcPr>
          <w:p>
            <w:pPr>
              <w:spacing w:after="0"/>
            </w:pPr>
            <w:r>
              <w:rPr>
                <w:sz w:val="17"/>
              </w:rPr>
              <w:t>Année, échéance, section, classe, statut</w:t>
            </w:r>
          </w:p>
        </w:tc>
        <w:tc>
          <w:tcPr>
            <w:tcW w:type="dxa" w:w="3024"/>
            <w:vAlign w:val="center"/>
            <w:shd w:fill="F3F6FA"/>
            <w:tcMar>
              <w:top w:w="100" w:type="dxa"/>
              <w:start w:w="110" w:type="dxa"/>
              <w:bottom w:w="100" w:type="dxa"/>
              <w:end w:w="110" w:type="dxa"/>
            </w:tcMar>
          </w:tcPr>
          <w:p>
            <w:pPr>
              <w:spacing w:after="0"/>
            </w:pPr>
            <w:r>
              <w:rPr>
                <w:sz w:val="17"/>
              </w:rPr>
              <w:t>Exigible, payé, retard</w:t>
            </w:r>
          </w:p>
        </w:tc>
      </w:tr>
      <w:tr>
        <w:tc>
          <w:tcPr>
            <w:tcW w:type="dxa" w:w="2088"/>
            <w:vAlign w:val="center"/>
            <w:tcMar>
              <w:top w:w="100" w:type="dxa"/>
              <w:start w:w="110" w:type="dxa"/>
              <w:bottom w:w="100" w:type="dxa"/>
              <w:end w:w="110" w:type="dxa"/>
            </w:tcMar>
          </w:tcPr>
          <w:p>
            <w:pPr>
              <w:spacing w:after="0"/>
            </w:pPr>
            <w:r>
              <w:rPr>
                <w:sz w:val="17"/>
              </w:rPr>
              <w:t>Situation élève</w:t>
            </w:r>
          </w:p>
        </w:tc>
        <w:tc>
          <w:tcPr>
            <w:tcW w:type="dxa" w:w="4608"/>
            <w:vAlign w:val="center"/>
            <w:tcMar>
              <w:top w:w="100" w:type="dxa"/>
              <w:start w:w="110" w:type="dxa"/>
              <w:bottom w:w="100" w:type="dxa"/>
              <w:end w:w="110" w:type="dxa"/>
            </w:tcMar>
          </w:tcPr>
          <w:p>
            <w:pPr>
              <w:spacing w:after="0"/>
            </w:pPr>
            <w:r>
              <w:rPr>
                <w:sz w:val="17"/>
              </w:rPr>
              <w:t>Élève, année ou toutes années</w:t>
            </w:r>
          </w:p>
        </w:tc>
        <w:tc>
          <w:tcPr>
            <w:tcW w:type="dxa" w:w="3024"/>
            <w:vAlign w:val="center"/>
            <w:tcMar>
              <w:top w:w="100" w:type="dxa"/>
              <w:start w:w="110" w:type="dxa"/>
              <w:bottom w:w="100" w:type="dxa"/>
              <w:end w:w="110" w:type="dxa"/>
            </w:tcMar>
          </w:tcPr>
          <w:p>
            <w:pPr>
              <w:spacing w:after="0"/>
            </w:pPr>
            <w:r>
              <w:rPr>
                <w:sz w:val="17"/>
              </w:rPr>
              <w:t>Facturé, remise, payé, solde</w:t>
            </w:r>
          </w:p>
        </w:tc>
      </w:tr>
      <w:tr>
        <w:tc>
          <w:tcPr>
            <w:tcW w:type="dxa" w:w="2088"/>
            <w:vAlign w:val="center"/>
            <w:shd w:fill="F3F6FA"/>
            <w:tcMar>
              <w:top w:w="100" w:type="dxa"/>
              <w:start w:w="110" w:type="dxa"/>
              <w:bottom w:w="100" w:type="dxa"/>
              <w:end w:w="110" w:type="dxa"/>
            </w:tcMar>
          </w:tcPr>
          <w:p>
            <w:pPr>
              <w:spacing w:after="0"/>
            </w:pPr>
            <w:r>
              <w:rPr>
                <w:sz w:val="17"/>
              </w:rPr>
              <w:t>Inscriptions</w:t>
            </w:r>
          </w:p>
        </w:tc>
        <w:tc>
          <w:tcPr>
            <w:tcW w:type="dxa" w:w="4608"/>
            <w:vAlign w:val="center"/>
            <w:shd w:fill="F3F6FA"/>
            <w:tcMar>
              <w:top w:w="100" w:type="dxa"/>
              <w:start w:w="110" w:type="dxa"/>
              <w:bottom w:w="100" w:type="dxa"/>
              <w:end w:w="110" w:type="dxa"/>
            </w:tcMar>
          </w:tcPr>
          <w:p>
            <w:pPr>
              <w:spacing w:after="0"/>
            </w:pPr>
            <w:r>
              <w:rPr>
                <w:sz w:val="17"/>
              </w:rPr>
              <w:t>Année, type, section, cycle, classe</w:t>
            </w:r>
          </w:p>
        </w:tc>
        <w:tc>
          <w:tcPr>
            <w:tcW w:type="dxa" w:w="3024"/>
            <w:vAlign w:val="center"/>
            <w:shd w:fill="F3F6FA"/>
            <w:tcMar>
              <w:top w:w="100" w:type="dxa"/>
              <w:start w:w="110" w:type="dxa"/>
              <w:bottom w:w="100" w:type="dxa"/>
              <w:end w:w="110" w:type="dxa"/>
            </w:tcMar>
          </w:tcPr>
          <w:p>
            <w:pPr>
              <w:spacing w:after="0"/>
            </w:pPr>
            <w:r>
              <w:rPr>
                <w:sz w:val="17"/>
              </w:rPr>
              <w:t>Effectif, nouvelles, réinscriptions</w:t>
            </w:r>
          </w:p>
        </w:tc>
      </w:tr>
      <w:tr>
        <w:tc>
          <w:tcPr>
            <w:tcW w:type="dxa" w:w="2088"/>
            <w:vAlign w:val="center"/>
            <w:tcMar>
              <w:top w:w="100" w:type="dxa"/>
              <w:start w:w="110" w:type="dxa"/>
              <w:bottom w:w="100" w:type="dxa"/>
              <w:end w:w="110" w:type="dxa"/>
            </w:tcMar>
          </w:tcPr>
          <w:p>
            <w:pPr>
              <w:spacing w:after="0"/>
            </w:pPr>
            <w:r>
              <w:rPr>
                <w:sz w:val="17"/>
              </w:rPr>
              <w:t>Sorties</w:t>
            </w:r>
          </w:p>
        </w:tc>
        <w:tc>
          <w:tcPr>
            <w:tcW w:type="dxa" w:w="4608"/>
            <w:vAlign w:val="center"/>
            <w:tcMar>
              <w:top w:w="100" w:type="dxa"/>
              <w:start w:w="110" w:type="dxa"/>
              <w:bottom w:w="100" w:type="dxa"/>
              <w:end w:w="110" w:type="dxa"/>
            </w:tcMar>
          </w:tcPr>
          <w:p>
            <w:pPr>
              <w:spacing w:after="0"/>
            </w:pPr>
            <w:r>
              <w:rPr>
                <w:sz w:val="17"/>
              </w:rPr>
              <w:t>Période, catégorie, bénéficiaire, caisse</w:t>
            </w:r>
          </w:p>
        </w:tc>
        <w:tc>
          <w:tcPr>
            <w:tcW w:type="dxa" w:w="3024"/>
            <w:vAlign w:val="center"/>
            <w:tcMar>
              <w:top w:w="100" w:type="dxa"/>
              <w:start w:w="110" w:type="dxa"/>
              <w:bottom w:w="100" w:type="dxa"/>
              <w:end w:w="110" w:type="dxa"/>
            </w:tcMar>
          </w:tcPr>
          <w:p>
            <w:pPr>
              <w:spacing w:after="0"/>
            </w:pPr>
            <w:r>
              <w:rPr>
                <w:sz w:val="17"/>
              </w:rPr>
              <w:t>Montant par catégorie et total</w:t>
            </w:r>
          </w:p>
        </w:tc>
      </w:tr>
      <w:tr>
        <w:tc>
          <w:tcPr>
            <w:tcW w:type="dxa" w:w="2088"/>
            <w:vAlign w:val="center"/>
            <w:shd w:fill="F3F6FA"/>
            <w:tcMar>
              <w:top w:w="100" w:type="dxa"/>
              <w:start w:w="110" w:type="dxa"/>
              <w:bottom w:w="100" w:type="dxa"/>
              <w:end w:w="110" w:type="dxa"/>
            </w:tcMar>
          </w:tcPr>
          <w:p>
            <w:pPr>
              <w:spacing w:after="0"/>
            </w:pPr>
            <w:r>
              <w:rPr>
                <w:sz w:val="17"/>
              </w:rPr>
              <w:t>Annulations et remises</w:t>
            </w:r>
          </w:p>
        </w:tc>
        <w:tc>
          <w:tcPr>
            <w:tcW w:type="dxa" w:w="4608"/>
            <w:vAlign w:val="center"/>
            <w:shd w:fill="F3F6FA"/>
            <w:tcMar>
              <w:top w:w="100" w:type="dxa"/>
              <w:start w:w="110" w:type="dxa"/>
              <w:bottom w:w="100" w:type="dxa"/>
              <w:end w:w="110" w:type="dxa"/>
            </w:tcMar>
          </w:tcPr>
          <w:p>
            <w:pPr>
              <w:spacing w:after="0"/>
            </w:pPr>
            <w:r>
              <w:rPr>
                <w:sz w:val="17"/>
              </w:rPr>
              <w:t>Période, auteur, approbateur, motif</w:t>
            </w:r>
          </w:p>
        </w:tc>
        <w:tc>
          <w:tcPr>
            <w:tcW w:type="dxa" w:w="3024"/>
            <w:vAlign w:val="center"/>
            <w:shd w:fill="F3F6FA"/>
            <w:tcMar>
              <w:top w:w="100" w:type="dxa"/>
              <w:start w:w="110" w:type="dxa"/>
              <w:bottom w:w="100" w:type="dxa"/>
              <w:end w:w="110" w:type="dxa"/>
            </w:tcMar>
          </w:tcPr>
          <w:p>
            <w:pPr>
              <w:spacing w:after="0"/>
            </w:pPr>
            <w:r>
              <w:rPr>
                <w:sz w:val="17"/>
              </w:rPr>
              <w:t>Nombre et montant</w:t>
            </w:r>
          </w:p>
        </w:tc>
      </w:tr>
    </w:tbl>
    <w:p>
      <w:pPr>
        <w:spacing w:after="20"/>
      </w:pPr>
    </w:p>
    <w:p>
      <w:pPr>
        <w:pStyle w:val="Heading1"/>
        <w:keepNext/>
      </w:pPr>
      <w:r>
        <w:t>11 Modèle de données recommandé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3096"/>
            <w:shd w:fill="17365D"/>
            <w:vAlign w:val="center"/>
            <w:tcMar>
              <w:top w:w="100" w:type="dxa"/>
              <w:start w:w="110" w:type="dxa"/>
              <w:bottom w:w="100" w:type="dxa"/>
              <w:end w:w="110" w:type="dxa"/>
            </w:tcMar>
          </w:tcPr>
          <w:p>
            <w:r>
              <w:rPr>
                <w:b/>
                <w:color w:val="FFFFFF"/>
                <w:sz w:val="18"/>
              </w:rPr>
              <w:t>Entité</w:t>
            </w:r>
          </w:p>
        </w:tc>
        <w:tc>
          <w:tcPr>
            <w:tcW w:type="dxa" w:w="6624"/>
            <w:shd w:fill="17365D"/>
            <w:vAlign w:val="center"/>
            <w:tcMar>
              <w:top w:w="100" w:type="dxa"/>
              <w:start w:w="110" w:type="dxa"/>
              <w:bottom w:w="100" w:type="dxa"/>
              <w:end w:w="110" w:type="dxa"/>
            </w:tcMar>
          </w:tcPr>
          <w:p>
            <w:r>
              <w:rPr>
                <w:b/>
                <w:color w:val="FFFFFF"/>
                <w:sz w:val="18"/>
              </w:rPr>
              <w:t>Responsabilité</w:t>
            </w:r>
          </w:p>
        </w:tc>
      </w:tr>
      <w:tr>
        <w:tc>
          <w:tcPr>
            <w:tcW w:type="dxa" w:w="3096"/>
            <w:vAlign w:val="center"/>
            <w:tcMar>
              <w:top w:w="100" w:type="dxa"/>
              <w:start w:w="110" w:type="dxa"/>
              <w:bottom w:w="100" w:type="dxa"/>
              <w:end w:w="110" w:type="dxa"/>
            </w:tcMar>
          </w:tcPr>
          <w:p>
            <w:pPr>
              <w:spacing w:after="0"/>
            </w:pPr>
            <w:r>
              <w:rPr>
                <w:sz w:val="17"/>
              </w:rPr>
              <w:t>schools</w:t>
            </w:r>
          </w:p>
        </w:tc>
        <w:tc>
          <w:tcPr>
            <w:tcW w:type="dxa" w:w="6624"/>
            <w:vAlign w:val="center"/>
            <w:tcMar>
              <w:top w:w="100" w:type="dxa"/>
              <w:start w:w="110" w:type="dxa"/>
              <w:bottom w:w="100" w:type="dxa"/>
              <w:end w:w="110" w:type="dxa"/>
            </w:tcMar>
          </w:tcPr>
          <w:p>
            <w:pPr>
              <w:spacing w:after="0"/>
            </w:pPr>
            <w:r>
              <w:rPr>
                <w:sz w:val="17"/>
              </w:rPr>
              <w:t>Identité de l’établissement ; prévoir school_id pour une future extension multi-site.</w:t>
            </w:r>
          </w:p>
        </w:tc>
      </w:tr>
      <w:tr>
        <w:tc>
          <w:tcPr>
            <w:tcW w:type="dxa" w:w="3096"/>
            <w:vAlign w:val="center"/>
            <w:shd w:fill="F3F6FA"/>
            <w:tcMar>
              <w:top w:w="100" w:type="dxa"/>
              <w:start w:w="110" w:type="dxa"/>
              <w:bottom w:w="100" w:type="dxa"/>
              <w:end w:w="110" w:type="dxa"/>
            </w:tcMar>
          </w:tcPr>
          <w:p>
            <w:pPr>
              <w:spacing w:after="0"/>
            </w:pPr>
            <w:r>
              <w:rPr>
                <w:sz w:val="17"/>
              </w:rPr>
              <w:t>academic_years</w:t>
            </w:r>
          </w:p>
        </w:tc>
        <w:tc>
          <w:tcPr>
            <w:tcW w:type="dxa" w:w="6624"/>
            <w:vAlign w:val="center"/>
            <w:shd w:fill="F3F6FA"/>
            <w:tcMar>
              <w:top w:w="100" w:type="dxa"/>
              <w:start w:w="110" w:type="dxa"/>
              <w:bottom w:w="100" w:type="dxa"/>
              <w:end w:w="110" w:type="dxa"/>
            </w:tcMar>
          </w:tcPr>
          <w:p>
            <w:pPr>
              <w:spacing w:after="0"/>
            </w:pPr>
            <w:r>
              <w:rPr>
                <w:sz w:val="17"/>
              </w:rPr>
              <w:t>Années scolaires, dates, statut et année active.</w:t>
            </w:r>
          </w:p>
        </w:tc>
      </w:tr>
      <w:tr>
        <w:tc>
          <w:tcPr>
            <w:tcW w:type="dxa" w:w="3096"/>
            <w:vAlign w:val="center"/>
            <w:tcMar>
              <w:top w:w="100" w:type="dxa"/>
              <w:start w:w="110" w:type="dxa"/>
              <w:bottom w:w="100" w:type="dxa"/>
              <w:end w:w="110" w:type="dxa"/>
            </w:tcMar>
          </w:tcPr>
          <w:p>
            <w:pPr>
              <w:spacing w:after="0"/>
            </w:pPr>
            <w:r>
              <w:rPr>
                <w:sz w:val="17"/>
              </w:rPr>
              <w:t>sections / cycles / levels</w:t>
            </w:r>
          </w:p>
        </w:tc>
        <w:tc>
          <w:tcPr>
            <w:tcW w:type="dxa" w:w="6624"/>
            <w:vAlign w:val="center"/>
            <w:tcMar>
              <w:top w:w="100" w:type="dxa"/>
              <w:start w:w="110" w:type="dxa"/>
              <w:bottom w:w="100" w:type="dxa"/>
              <w:end w:w="110" w:type="dxa"/>
            </w:tcMar>
          </w:tcPr>
          <w:p>
            <w:pPr>
              <w:spacing w:after="0"/>
            </w:pPr>
            <w:r>
              <w:rPr>
                <w:sz w:val="17"/>
              </w:rPr>
              <w:t>Référentiel académique hiérarchisé.</w:t>
            </w:r>
          </w:p>
        </w:tc>
      </w:tr>
      <w:tr>
        <w:tc>
          <w:tcPr>
            <w:tcW w:type="dxa" w:w="3096"/>
            <w:vAlign w:val="center"/>
            <w:shd w:fill="F3F6FA"/>
            <w:tcMar>
              <w:top w:w="100" w:type="dxa"/>
              <w:start w:w="110" w:type="dxa"/>
              <w:bottom w:w="100" w:type="dxa"/>
              <w:end w:w="110" w:type="dxa"/>
            </w:tcMar>
          </w:tcPr>
          <w:p>
            <w:pPr>
              <w:spacing w:after="0"/>
            </w:pPr>
            <w:r>
              <w:rPr>
                <w:sz w:val="17"/>
              </w:rPr>
              <w:t>classes</w:t>
            </w:r>
          </w:p>
        </w:tc>
        <w:tc>
          <w:tcPr>
            <w:tcW w:type="dxa" w:w="6624"/>
            <w:vAlign w:val="center"/>
            <w:shd w:fill="F3F6FA"/>
            <w:tcMar>
              <w:top w:w="100" w:type="dxa"/>
              <w:start w:w="110" w:type="dxa"/>
              <w:bottom w:w="100" w:type="dxa"/>
              <w:end w:w="110" w:type="dxa"/>
            </w:tcMar>
          </w:tcPr>
          <w:p>
            <w:pPr>
              <w:spacing w:after="0"/>
            </w:pPr>
            <w:r>
              <w:rPr>
                <w:sz w:val="17"/>
              </w:rPr>
              <w:t>Groupes réels par année, capacité et professeur principal facultatif.</w:t>
            </w:r>
          </w:p>
        </w:tc>
      </w:tr>
      <w:tr>
        <w:tc>
          <w:tcPr>
            <w:tcW w:type="dxa" w:w="3096"/>
            <w:vAlign w:val="center"/>
            <w:tcMar>
              <w:top w:w="100" w:type="dxa"/>
              <w:start w:w="110" w:type="dxa"/>
              <w:bottom w:w="100" w:type="dxa"/>
              <w:end w:w="110" w:type="dxa"/>
            </w:tcMar>
          </w:tcPr>
          <w:p>
            <w:pPr>
              <w:spacing w:after="0"/>
            </w:pPr>
            <w:r>
              <w:rPr>
                <w:sz w:val="17"/>
              </w:rPr>
              <w:t>students</w:t>
            </w:r>
          </w:p>
        </w:tc>
        <w:tc>
          <w:tcPr>
            <w:tcW w:type="dxa" w:w="6624"/>
            <w:vAlign w:val="center"/>
            <w:tcMar>
              <w:top w:w="100" w:type="dxa"/>
              <w:start w:w="110" w:type="dxa"/>
              <w:bottom w:w="100" w:type="dxa"/>
              <w:end w:w="110" w:type="dxa"/>
            </w:tcMar>
          </w:tcPr>
          <w:p>
            <w:pPr>
              <w:spacing w:after="0"/>
            </w:pPr>
            <w:r>
              <w:rPr>
                <w:sz w:val="17"/>
              </w:rPr>
              <w:t>Matricule, identité, sexe, naissance, nationalité, statut et photo facultative.</w:t>
            </w:r>
          </w:p>
        </w:tc>
      </w:tr>
      <w:tr>
        <w:tc>
          <w:tcPr>
            <w:tcW w:type="dxa" w:w="3096"/>
            <w:vAlign w:val="center"/>
            <w:shd w:fill="F3F6FA"/>
            <w:tcMar>
              <w:top w:w="100" w:type="dxa"/>
              <w:start w:w="110" w:type="dxa"/>
              <w:bottom w:w="100" w:type="dxa"/>
              <w:end w:w="110" w:type="dxa"/>
            </w:tcMar>
          </w:tcPr>
          <w:p>
            <w:pPr>
              <w:spacing w:after="0"/>
            </w:pPr>
            <w:r>
              <w:rPr>
                <w:sz w:val="17"/>
              </w:rPr>
              <w:t>guardians</w:t>
            </w:r>
          </w:p>
        </w:tc>
        <w:tc>
          <w:tcPr>
            <w:tcW w:type="dxa" w:w="6624"/>
            <w:vAlign w:val="center"/>
            <w:shd w:fill="F3F6FA"/>
            <w:tcMar>
              <w:top w:w="100" w:type="dxa"/>
              <w:start w:w="110" w:type="dxa"/>
              <w:bottom w:w="100" w:type="dxa"/>
              <w:end w:w="110" w:type="dxa"/>
            </w:tcMar>
          </w:tcPr>
          <w:p>
            <w:pPr>
              <w:spacing w:after="0"/>
            </w:pPr>
            <w:r>
              <w:rPr>
                <w:sz w:val="17"/>
              </w:rPr>
              <w:t>Responsables légaux, contacts, profession et adresse.</w:t>
            </w:r>
          </w:p>
        </w:tc>
      </w:tr>
      <w:tr>
        <w:tc>
          <w:tcPr>
            <w:tcW w:type="dxa" w:w="3096"/>
            <w:vAlign w:val="center"/>
            <w:tcMar>
              <w:top w:w="100" w:type="dxa"/>
              <w:start w:w="110" w:type="dxa"/>
              <w:bottom w:w="100" w:type="dxa"/>
              <w:end w:w="110" w:type="dxa"/>
            </w:tcMar>
          </w:tcPr>
          <w:p>
            <w:pPr>
              <w:spacing w:after="0"/>
            </w:pPr>
            <w:r>
              <w:rPr>
                <w:sz w:val="17"/>
              </w:rPr>
              <w:t>student_guardians</w:t>
            </w:r>
          </w:p>
        </w:tc>
        <w:tc>
          <w:tcPr>
            <w:tcW w:type="dxa" w:w="6624"/>
            <w:vAlign w:val="center"/>
            <w:tcMar>
              <w:top w:w="100" w:type="dxa"/>
              <w:start w:w="110" w:type="dxa"/>
              <w:bottom w:w="100" w:type="dxa"/>
              <w:end w:w="110" w:type="dxa"/>
            </w:tcMar>
          </w:tcPr>
          <w:p>
            <w:pPr>
              <w:spacing w:after="0"/>
            </w:pPr>
            <w:r>
              <w:rPr>
                <w:sz w:val="17"/>
              </w:rPr>
              <w:t>Relation élève-responsable, lien, priorité et autorisations.</w:t>
            </w:r>
          </w:p>
        </w:tc>
      </w:tr>
      <w:tr>
        <w:tc>
          <w:tcPr>
            <w:tcW w:type="dxa" w:w="3096"/>
            <w:vAlign w:val="center"/>
            <w:shd w:fill="F3F6FA"/>
            <w:tcMar>
              <w:top w:w="100" w:type="dxa"/>
              <w:start w:w="110" w:type="dxa"/>
              <w:bottom w:w="100" w:type="dxa"/>
              <w:end w:w="110" w:type="dxa"/>
            </w:tcMar>
          </w:tcPr>
          <w:p>
            <w:pPr>
              <w:spacing w:after="0"/>
            </w:pPr>
            <w:r>
              <w:rPr>
                <w:sz w:val="17"/>
              </w:rPr>
              <w:t>enrollments</w:t>
            </w:r>
          </w:p>
        </w:tc>
        <w:tc>
          <w:tcPr>
            <w:tcW w:type="dxa" w:w="6624"/>
            <w:vAlign w:val="center"/>
            <w:shd w:fill="F3F6FA"/>
            <w:tcMar>
              <w:top w:w="100" w:type="dxa"/>
              <w:start w:w="110" w:type="dxa"/>
              <w:bottom w:w="100" w:type="dxa"/>
              <w:end w:w="110" w:type="dxa"/>
            </w:tcMar>
          </w:tcPr>
          <w:p>
            <w:pPr>
              <w:spacing w:after="0"/>
            </w:pPr>
            <w:r>
              <w:rPr>
                <w:sz w:val="17"/>
              </w:rPr>
              <w:t>Inscription annuelle : type, classe, date, statut, numéro.</w:t>
            </w:r>
          </w:p>
        </w:tc>
      </w:tr>
      <w:tr>
        <w:tc>
          <w:tcPr>
            <w:tcW w:type="dxa" w:w="3096"/>
            <w:vAlign w:val="center"/>
            <w:tcMar>
              <w:top w:w="100" w:type="dxa"/>
              <w:start w:w="110" w:type="dxa"/>
              <w:bottom w:w="100" w:type="dxa"/>
              <w:end w:w="110" w:type="dxa"/>
            </w:tcMar>
          </w:tcPr>
          <w:p>
            <w:pPr>
              <w:spacing w:after="0"/>
            </w:pPr>
            <w:r>
              <w:rPr>
                <w:sz w:val="17"/>
              </w:rPr>
              <w:t>fee_types</w:t>
            </w:r>
          </w:p>
        </w:tc>
        <w:tc>
          <w:tcPr>
            <w:tcW w:type="dxa" w:w="6624"/>
            <w:vAlign w:val="center"/>
            <w:tcMar>
              <w:top w:w="100" w:type="dxa"/>
              <w:start w:w="110" w:type="dxa"/>
              <w:bottom w:w="100" w:type="dxa"/>
              <w:end w:w="110" w:type="dxa"/>
            </w:tcMar>
          </w:tcPr>
          <w:p>
            <w:pPr>
              <w:spacing w:after="0"/>
            </w:pPr>
            <w:r>
              <w:rPr>
                <w:sz w:val="17"/>
              </w:rPr>
              <w:t>Rubriques : inscription, préinscription, écolage, uniforme, transport, etc.</w:t>
            </w:r>
          </w:p>
        </w:tc>
      </w:tr>
      <w:tr>
        <w:tc>
          <w:tcPr>
            <w:tcW w:type="dxa" w:w="3096"/>
            <w:vAlign w:val="center"/>
            <w:shd w:fill="F3F6FA"/>
            <w:tcMar>
              <w:top w:w="100" w:type="dxa"/>
              <w:start w:w="110" w:type="dxa"/>
              <w:bottom w:w="100" w:type="dxa"/>
              <w:end w:w="110" w:type="dxa"/>
            </w:tcMar>
          </w:tcPr>
          <w:p>
            <w:pPr>
              <w:spacing w:after="0"/>
            </w:pPr>
            <w:r>
              <w:rPr>
                <w:sz w:val="17"/>
              </w:rPr>
              <w:t>fee_schedules</w:t>
            </w:r>
          </w:p>
        </w:tc>
        <w:tc>
          <w:tcPr>
            <w:tcW w:type="dxa" w:w="6624"/>
            <w:vAlign w:val="center"/>
            <w:shd w:fill="F3F6FA"/>
            <w:tcMar>
              <w:top w:w="100" w:type="dxa"/>
              <w:start w:w="110" w:type="dxa"/>
              <w:bottom w:w="100" w:type="dxa"/>
              <w:end w:w="110" w:type="dxa"/>
            </w:tcMar>
          </w:tcPr>
          <w:p>
            <w:pPr>
              <w:spacing w:after="0"/>
            </w:pPr>
            <w:r>
              <w:rPr>
                <w:sz w:val="17"/>
              </w:rPr>
              <w:t>Tarif versionné par année et périmètre section/cycle/niveau.</w:t>
            </w:r>
          </w:p>
        </w:tc>
      </w:tr>
      <w:tr>
        <w:tc>
          <w:tcPr>
            <w:tcW w:type="dxa" w:w="3096"/>
            <w:vAlign w:val="center"/>
            <w:tcMar>
              <w:top w:w="100" w:type="dxa"/>
              <w:start w:w="110" w:type="dxa"/>
              <w:bottom w:w="100" w:type="dxa"/>
              <w:end w:w="110" w:type="dxa"/>
            </w:tcMar>
          </w:tcPr>
          <w:p>
            <w:pPr>
              <w:spacing w:after="0"/>
            </w:pPr>
            <w:r>
              <w:rPr>
                <w:sz w:val="17"/>
              </w:rPr>
              <w:t>installment_schedules</w:t>
            </w:r>
          </w:p>
        </w:tc>
        <w:tc>
          <w:tcPr>
            <w:tcW w:type="dxa" w:w="6624"/>
            <w:vAlign w:val="center"/>
            <w:tcMar>
              <w:top w:w="100" w:type="dxa"/>
              <w:start w:w="110" w:type="dxa"/>
              <w:bottom w:w="100" w:type="dxa"/>
              <w:end w:w="110" w:type="dxa"/>
            </w:tcMar>
          </w:tcPr>
          <w:p>
            <w:pPr>
              <w:spacing w:after="0"/>
            </w:pPr>
            <w:r>
              <w:rPr>
                <w:sz w:val="17"/>
              </w:rPr>
              <w:t>Trois tranches, dates limites, montants et ordre.</w:t>
            </w:r>
          </w:p>
        </w:tc>
      </w:tr>
      <w:tr>
        <w:tc>
          <w:tcPr>
            <w:tcW w:type="dxa" w:w="3096"/>
            <w:vAlign w:val="center"/>
            <w:shd w:fill="F3F6FA"/>
            <w:tcMar>
              <w:top w:w="100" w:type="dxa"/>
              <w:start w:w="110" w:type="dxa"/>
              <w:bottom w:w="100" w:type="dxa"/>
              <w:end w:w="110" w:type="dxa"/>
            </w:tcMar>
          </w:tcPr>
          <w:p>
            <w:pPr>
              <w:spacing w:after="0"/>
            </w:pPr>
            <w:r>
              <w:rPr>
                <w:sz w:val="17"/>
              </w:rPr>
              <w:t>invoices</w:t>
            </w:r>
          </w:p>
        </w:tc>
        <w:tc>
          <w:tcPr>
            <w:tcW w:type="dxa" w:w="6624"/>
            <w:vAlign w:val="center"/>
            <w:shd w:fill="F3F6FA"/>
            <w:tcMar>
              <w:top w:w="100" w:type="dxa"/>
              <w:start w:w="110" w:type="dxa"/>
              <w:bottom w:w="100" w:type="dxa"/>
              <w:end w:w="110" w:type="dxa"/>
            </w:tcMar>
          </w:tcPr>
          <w:p>
            <w:pPr>
              <w:spacing w:after="0"/>
            </w:pPr>
            <w:r>
              <w:rPr>
                <w:sz w:val="17"/>
              </w:rPr>
              <w:t>Document de dette élève avec total, remise, net et statut.</w:t>
            </w:r>
          </w:p>
        </w:tc>
      </w:tr>
      <w:tr>
        <w:tc>
          <w:tcPr>
            <w:tcW w:type="dxa" w:w="3096"/>
            <w:vAlign w:val="center"/>
            <w:tcMar>
              <w:top w:w="100" w:type="dxa"/>
              <w:start w:w="110" w:type="dxa"/>
              <w:bottom w:w="100" w:type="dxa"/>
              <w:end w:w="110" w:type="dxa"/>
            </w:tcMar>
          </w:tcPr>
          <w:p>
            <w:pPr>
              <w:spacing w:after="0"/>
            </w:pPr>
            <w:r>
              <w:rPr>
                <w:sz w:val="17"/>
              </w:rPr>
              <w:t>invoice_lines</w:t>
            </w:r>
          </w:p>
        </w:tc>
        <w:tc>
          <w:tcPr>
            <w:tcW w:type="dxa" w:w="6624"/>
            <w:vAlign w:val="center"/>
            <w:tcMar>
              <w:top w:w="100" w:type="dxa"/>
              <w:start w:w="110" w:type="dxa"/>
              <w:bottom w:w="100" w:type="dxa"/>
              <w:end w:w="110" w:type="dxa"/>
            </w:tcMar>
          </w:tcPr>
          <w:p>
            <w:pPr>
              <w:spacing w:after="0"/>
            </w:pPr>
            <w:r>
              <w:rPr>
                <w:sz w:val="17"/>
              </w:rPr>
              <w:t>Rubrique, échéance, quantité, prix, solde et référence tarifaire.</w:t>
            </w:r>
          </w:p>
        </w:tc>
      </w:tr>
      <w:tr>
        <w:tc>
          <w:tcPr>
            <w:tcW w:type="dxa" w:w="3096"/>
            <w:vAlign w:val="center"/>
            <w:shd w:fill="F3F6FA"/>
            <w:tcMar>
              <w:top w:w="100" w:type="dxa"/>
              <w:start w:w="110" w:type="dxa"/>
              <w:bottom w:w="100" w:type="dxa"/>
              <w:end w:w="110" w:type="dxa"/>
            </w:tcMar>
          </w:tcPr>
          <w:p>
            <w:pPr>
              <w:spacing w:after="0"/>
            </w:pPr>
            <w:r>
              <w:rPr>
                <w:sz w:val="17"/>
              </w:rPr>
              <w:t>discounts</w:t>
            </w:r>
          </w:p>
        </w:tc>
        <w:tc>
          <w:tcPr>
            <w:tcW w:type="dxa" w:w="6624"/>
            <w:vAlign w:val="center"/>
            <w:shd w:fill="F3F6FA"/>
            <w:tcMar>
              <w:top w:w="100" w:type="dxa"/>
              <w:start w:w="110" w:type="dxa"/>
              <w:bottom w:w="100" w:type="dxa"/>
              <w:end w:w="110" w:type="dxa"/>
            </w:tcMar>
          </w:tcPr>
          <w:p>
            <w:pPr>
              <w:spacing w:after="0"/>
            </w:pPr>
            <w:r>
              <w:rPr>
                <w:sz w:val="17"/>
              </w:rPr>
              <w:t>Remise/exonération, motif, approbation et pièce justificative.</w:t>
            </w:r>
          </w:p>
        </w:tc>
      </w:tr>
      <w:tr>
        <w:tc>
          <w:tcPr>
            <w:tcW w:type="dxa" w:w="3096"/>
            <w:vAlign w:val="center"/>
            <w:tcMar>
              <w:top w:w="100" w:type="dxa"/>
              <w:start w:w="110" w:type="dxa"/>
              <w:bottom w:w="100" w:type="dxa"/>
              <w:end w:w="110" w:type="dxa"/>
            </w:tcMar>
          </w:tcPr>
          <w:p>
            <w:pPr>
              <w:spacing w:after="0"/>
            </w:pPr>
            <w:r>
              <w:rPr>
                <w:sz w:val="17"/>
              </w:rPr>
              <w:t>cash_registers / cash_sessions</w:t>
            </w:r>
          </w:p>
        </w:tc>
        <w:tc>
          <w:tcPr>
            <w:tcW w:type="dxa" w:w="6624"/>
            <w:vAlign w:val="center"/>
            <w:tcMar>
              <w:top w:w="100" w:type="dxa"/>
              <w:start w:w="110" w:type="dxa"/>
              <w:bottom w:w="100" w:type="dxa"/>
              <w:end w:w="110" w:type="dxa"/>
            </w:tcMar>
          </w:tcPr>
          <w:p>
            <w:pPr>
              <w:spacing w:after="0"/>
            </w:pPr>
            <w:r>
              <w:rPr>
                <w:sz w:val="17"/>
              </w:rPr>
              <w:t>Caisses et sessions d’ouverture/clôture.</w:t>
            </w:r>
          </w:p>
        </w:tc>
      </w:tr>
      <w:tr>
        <w:tc>
          <w:tcPr>
            <w:tcW w:type="dxa" w:w="3096"/>
            <w:vAlign w:val="center"/>
            <w:shd w:fill="F3F6FA"/>
            <w:tcMar>
              <w:top w:w="100" w:type="dxa"/>
              <w:start w:w="110" w:type="dxa"/>
              <w:bottom w:w="100" w:type="dxa"/>
              <w:end w:w="110" w:type="dxa"/>
            </w:tcMar>
          </w:tcPr>
          <w:p>
            <w:pPr>
              <w:spacing w:after="0"/>
            </w:pPr>
            <w:r>
              <w:rPr>
                <w:sz w:val="17"/>
              </w:rPr>
              <w:t>payments</w:t>
            </w:r>
          </w:p>
        </w:tc>
        <w:tc>
          <w:tcPr>
            <w:tcW w:type="dxa" w:w="6624"/>
            <w:vAlign w:val="center"/>
            <w:shd w:fill="F3F6FA"/>
            <w:tcMar>
              <w:top w:w="100" w:type="dxa"/>
              <w:start w:w="110" w:type="dxa"/>
              <w:bottom w:w="100" w:type="dxa"/>
              <w:end w:w="110" w:type="dxa"/>
            </w:tcMar>
          </w:tcPr>
          <w:p>
            <w:pPr>
              <w:spacing w:after="0"/>
            </w:pPr>
            <w:r>
              <w:rPr>
                <w:sz w:val="17"/>
              </w:rPr>
              <w:t>Encaissement, numéro reçu, mode, montant, caisse, statut.</w:t>
            </w:r>
          </w:p>
        </w:tc>
      </w:tr>
      <w:tr>
        <w:tc>
          <w:tcPr>
            <w:tcW w:type="dxa" w:w="3096"/>
            <w:vAlign w:val="center"/>
            <w:tcMar>
              <w:top w:w="100" w:type="dxa"/>
              <w:start w:w="110" w:type="dxa"/>
              <w:bottom w:w="100" w:type="dxa"/>
              <w:end w:w="110" w:type="dxa"/>
            </w:tcMar>
          </w:tcPr>
          <w:p>
            <w:pPr>
              <w:spacing w:after="0"/>
            </w:pPr>
            <w:r>
              <w:rPr>
                <w:sz w:val="17"/>
              </w:rPr>
              <w:t>payment_allocations</w:t>
            </w:r>
          </w:p>
        </w:tc>
        <w:tc>
          <w:tcPr>
            <w:tcW w:type="dxa" w:w="6624"/>
            <w:vAlign w:val="center"/>
            <w:tcMar>
              <w:top w:w="100" w:type="dxa"/>
              <w:start w:w="110" w:type="dxa"/>
              <w:bottom w:w="100" w:type="dxa"/>
              <w:end w:w="110" w:type="dxa"/>
            </w:tcMar>
          </w:tcPr>
          <w:p>
            <w:pPr>
              <w:spacing w:after="0"/>
            </w:pPr>
            <w:r>
              <w:rPr>
                <w:sz w:val="17"/>
              </w:rPr>
              <w:t>Ventilation d’un paiement vers une ou plusieurs lignes de facture.</w:t>
            </w:r>
          </w:p>
        </w:tc>
      </w:tr>
      <w:tr>
        <w:tc>
          <w:tcPr>
            <w:tcW w:type="dxa" w:w="3096"/>
            <w:vAlign w:val="center"/>
            <w:shd w:fill="F3F6FA"/>
            <w:tcMar>
              <w:top w:w="100" w:type="dxa"/>
              <w:start w:w="110" w:type="dxa"/>
              <w:bottom w:w="100" w:type="dxa"/>
              <w:end w:w="110" w:type="dxa"/>
            </w:tcMar>
          </w:tcPr>
          <w:p>
            <w:pPr>
              <w:spacing w:after="0"/>
            </w:pPr>
            <w:r>
              <w:rPr>
                <w:sz w:val="17"/>
              </w:rPr>
              <w:t>expenses</w:t>
            </w:r>
          </w:p>
        </w:tc>
        <w:tc>
          <w:tcPr>
            <w:tcW w:type="dxa" w:w="6624"/>
            <w:vAlign w:val="center"/>
            <w:shd w:fill="F3F6FA"/>
            <w:tcMar>
              <w:top w:w="100" w:type="dxa"/>
              <w:start w:w="110" w:type="dxa"/>
              <w:bottom w:w="100" w:type="dxa"/>
              <w:end w:w="110" w:type="dxa"/>
            </w:tcMar>
          </w:tcPr>
          <w:p>
            <w:pPr>
              <w:spacing w:after="0"/>
            </w:pPr>
            <w:r>
              <w:rPr>
                <w:sz w:val="17"/>
              </w:rPr>
              <w:t>Décaissements, catégorie, bénéficiaire, approbation et pièce.</w:t>
            </w:r>
          </w:p>
        </w:tc>
      </w:tr>
      <w:tr>
        <w:tc>
          <w:tcPr>
            <w:tcW w:type="dxa" w:w="3096"/>
            <w:vAlign w:val="center"/>
            <w:tcMar>
              <w:top w:w="100" w:type="dxa"/>
              <w:start w:w="110" w:type="dxa"/>
              <w:bottom w:w="100" w:type="dxa"/>
              <w:end w:w="110" w:type="dxa"/>
            </w:tcMar>
          </w:tcPr>
          <w:p>
            <w:pPr>
              <w:spacing w:after="0"/>
            </w:pPr>
            <w:r>
              <w:rPr>
                <w:sz w:val="17"/>
              </w:rPr>
              <w:t>reversals</w:t>
            </w:r>
          </w:p>
        </w:tc>
        <w:tc>
          <w:tcPr>
            <w:tcW w:type="dxa" w:w="6624"/>
            <w:vAlign w:val="center"/>
            <w:tcMar>
              <w:top w:w="100" w:type="dxa"/>
              <w:start w:w="110" w:type="dxa"/>
              <w:bottom w:w="100" w:type="dxa"/>
              <w:end w:w="110" w:type="dxa"/>
            </w:tcMar>
          </w:tcPr>
          <w:p>
            <w:pPr>
              <w:spacing w:after="0"/>
            </w:pPr>
            <w:r>
              <w:rPr>
                <w:sz w:val="17"/>
              </w:rPr>
              <w:t>Lien entre opération originale et écriture inverse.</w:t>
            </w:r>
          </w:p>
        </w:tc>
      </w:tr>
      <w:tr>
        <w:tc>
          <w:tcPr>
            <w:tcW w:type="dxa" w:w="3096"/>
            <w:vAlign w:val="center"/>
            <w:shd w:fill="F3F6FA"/>
            <w:tcMar>
              <w:top w:w="100" w:type="dxa"/>
              <w:start w:w="110" w:type="dxa"/>
              <w:bottom w:w="100" w:type="dxa"/>
              <w:end w:w="110" w:type="dxa"/>
            </w:tcMar>
          </w:tcPr>
          <w:p>
            <w:pPr>
              <w:spacing w:after="0"/>
            </w:pPr>
            <w:r>
              <w:rPr>
                <w:sz w:val="17"/>
              </w:rPr>
              <w:t>daily_closures</w:t>
            </w:r>
          </w:p>
        </w:tc>
        <w:tc>
          <w:tcPr>
            <w:tcW w:type="dxa" w:w="6624"/>
            <w:vAlign w:val="center"/>
            <w:shd w:fill="F3F6FA"/>
            <w:tcMar>
              <w:top w:w="100" w:type="dxa"/>
              <w:start w:w="110" w:type="dxa"/>
              <w:bottom w:w="100" w:type="dxa"/>
              <w:end w:w="110" w:type="dxa"/>
            </w:tcMar>
          </w:tcPr>
          <w:p>
            <w:pPr>
              <w:spacing w:after="0"/>
            </w:pPr>
            <w:r>
              <w:rPr>
                <w:sz w:val="17"/>
              </w:rPr>
              <w:t>Totaux théoriques, comptés, écarts et validations.</w:t>
            </w:r>
          </w:p>
        </w:tc>
      </w:tr>
      <w:tr>
        <w:tc>
          <w:tcPr>
            <w:tcW w:type="dxa" w:w="3096"/>
            <w:vAlign w:val="center"/>
            <w:tcMar>
              <w:top w:w="100" w:type="dxa"/>
              <w:start w:w="110" w:type="dxa"/>
              <w:bottom w:w="100" w:type="dxa"/>
              <w:end w:w="110" w:type="dxa"/>
            </w:tcMar>
          </w:tcPr>
          <w:p>
            <w:pPr>
              <w:spacing w:after="0"/>
            </w:pPr>
            <w:r>
              <w:rPr>
                <w:sz w:val="17"/>
              </w:rPr>
              <w:t>documents</w:t>
            </w:r>
          </w:p>
        </w:tc>
        <w:tc>
          <w:tcPr>
            <w:tcW w:type="dxa" w:w="6624"/>
            <w:vAlign w:val="center"/>
            <w:tcMar>
              <w:top w:w="100" w:type="dxa"/>
              <w:start w:w="110" w:type="dxa"/>
              <w:bottom w:w="100" w:type="dxa"/>
              <w:end w:w="110" w:type="dxa"/>
            </w:tcMar>
          </w:tcPr>
          <w:p>
            <w:pPr>
              <w:spacing w:after="0"/>
            </w:pPr>
            <w:r>
              <w:rPr>
                <w:sz w:val="17"/>
              </w:rPr>
              <w:t>Métadonnées des pièces jointes, stockage objet externe.</w:t>
            </w:r>
          </w:p>
        </w:tc>
      </w:tr>
      <w:tr>
        <w:tc>
          <w:tcPr>
            <w:tcW w:type="dxa" w:w="3096"/>
            <w:vAlign w:val="center"/>
            <w:shd w:fill="F3F6FA"/>
            <w:tcMar>
              <w:top w:w="100" w:type="dxa"/>
              <w:start w:w="110" w:type="dxa"/>
              <w:bottom w:w="100" w:type="dxa"/>
              <w:end w:w="110" w:type="dxa"/>
            </w:tcMar>
          </w:tcPr>
          <w:p>
            <w:pPr>
              <w:spacing w:after="0"/>
            </w:pPr>
            <w:r>
              <w:rPr>
                <w:sz w:val="17"/>
              </w:rPr>
              <w:t>users / roles / permissions</w:t>
            </w:r>
          </w:p>
        </w:tc>
        <w:tc>
          <w:tcPr>
            <w:tcW w:type="dxa" w:w="6624"/>
            <w:vAlign w:val="center"/>
            <w:shd w:fill="F3F6FA"/>
            <w:tcMar>
              <w:top w:w="100" w:type="dxa"/>
              <w:start w:w="110" w:type="dxa"/>
              <w:bottom w:w="100" w:type="dxa"/>
              <w:end w:w="110" w:type="dxa"/>
            </w:tcMar>
          </w:tcPr>
          <w:p>
            <w:pPr>
              <w:spacing w:after="0"/>
            </w:pPr>
            <w:r>
              <w:rPr>
                <w:sz w:val="17"/>
              </w:rPr>
              <w:t>Authentification et contrôle d’accès.</w:t>
            </w:r>
          </w:p>
        </w:tc>
      </w:tr>
      <w:tr>
        <w:tc>
          <w:tcPr>
            <w:tcW w:type="dxa" w:w="3096"/>
            <w:vAlign w:val="center"/>
            <w:tcMar>
              <w:top w:w="100" w:type="dxa"/>
              <w:start w:w="110" w:type="dxa"/>
              <w:bottom w:w="100" w:type="dxa"/>
              <w:end w:w="110" w:type="dxa"/>
            </w:tcMar>
          </w:tcPr>
          <w:p>
            <w:pPr>
              <w:spacing w:after="0"/>
            </w:pPr>
            <w:r>
              <w:rPr>
                <w:sz w:val="17"/>
              </w:rPr>
              <w:t>audit_logs</w:t>
            </w:r>
          </w:p>
        </w:tc>
        <w:tc>
          <w:tcPr>
            <w:tcW w:type="dxa" w:w="6624"/>
            <w:vAlign w:val="center"/>
            <w:tcMar>
              <w:top w:w="100" w:type="dxa"/>
              <w:start w:w="110" w:type="dxa"/>
              <w:bottom w:w="100" w:type="dxa"/>
              <w:end w:w="110" w:type="dxa"/>
            </w:tcMar>
          </w:tcPr>
          <w:p>
            <w:pPr>
              <w:spacing w:after="0"/>
            </w:pPr>
            <w:r>
              <w:rPr>
                <w:sz w:val="17"/>
              </w:rPr>
              <w:t>Traçabilité append-only des actions sensibles.</w:t>
            </w:r>
          </w:p>
        </w:tc>
      </w:tr>
      <w:tr>
        <w:tc>
          <w:tcPr>
            <w:tcW w:type="dxa" w:w="3096"/>
            <w:vAlign w:val="center"/>
            <w:shd w:fill="F3F6FA"/>
            <w:tcMar>
              <w:top w:w="100" w:type="dxa"/>
              <w:start w:w="110" w:type="dxa"/>
              <w:bottom w:w="100" w:type="dxa"/>
              <w:end w:w="110" w:type="dxa"/>
            </w:tcMar>
          </w:tcPr>
          <w:p>
            <w:pPr>
              <w:spacing w:after="0"/>
            </w:pPr>
            <w:r>
              <w:rPr>
                <w:sz w:val="17"/>
              </w:rPr>
              <w:t>number_sequences</w:t>
            </w:r>
          </w:p>
        </w:tc>
        <w:tc>
          <w:tcPr>
            <w:tcW w:type="dxa" w:w="6624"/>
            <w:vAlign w:val="center"/>
            <w:shd w:fill="F3F6FA"/>
            <w:tcMar>
              <w:top w:w="100" w:type="dxa"/>
              <w:start w:w="110" w:type="dxa"/>
              <w:bottom w:w="100" w:type="dxa"/>
              <w:end w:w="110" w:type="dxa"/>
            </w:tcMar>
          </w:tcPr>
          <w:p>
            <w:pPr>
              <w:spacing w:after="0"/>
            </w:pPr>
            <w:r>
              <w:rPr>
                <w:sz w:val="17"/>
              </w:rPr>
              <w:t>Séquences atomiques par type, année et éventuellement caisse.</w:t>
            </w:r>
          </w:p>
        </w:tc>
      </w:tr>
    </w:tbl>
    <w:p>
      <w:pPr>
        <w:spacing w:after="20"/>
      </w:pPr>
    </w:p>
    <w:p>
      <w:pPr>
        <w:pStyle w:val="Heading2"/>
        <w:keepNext/>
      </w:pPr>
      <w:r>
        <w:t>11.1 Relations structurantes</w:t>
      </w:r>
    </w:p>
    <w:p>
      <w:pPr>
        <w:pStyle w:val="ListBullet"/>
      </w:pPr>
      <w:r>
        <w:t>Student 1—N Enrollment ; Enrollment N—1 Class ; Class N—1 AcademicYear.</w:t>
      </w:r>
    </w:p>
    <w:p>
      <w:pPr>
        <w:pStyle w:val="ListBullet"/>
      </w:pPr>
      <w:r>
        <w:t>Enrollment 1—N Invoice ; Invoice 1—N InvoiceLine.</w:t>
      </w:r>
    </w:p>
    <w:p>
      <w:pPr>
        <w:pStyle w:val="ListBullet"/>
      </w:pPr>
      <w:r>
        <w:t>Payment N—N InvoiceLine via PaymentAllocation.</w:t>
      </w:r>
    </w:p>
    <w:p>
      <w:pPr>
        <w:pStyle w:val="ListBullet"/>
      </w:pPr>
      <w:r>
        <w:t>CashRegister 1—N CashSession ; CashSession 1—N Payment et 1—N Expense.</w:t>
      </w:r>
    </w:p>
    <w:p>
      <w:pPr>
        <w:pStyle w:val="ListBullet"/>
      </w:pPr>
      <w:r>
        <w:t>Payment 0—1 Reversal et Expense 0—1 Reversal ; aucune suppression financière.</w:t>
      </w:r>
    </w:p>
    <w:p>
      <w:pPr>
        <w:pStyle w:val="Heading1"/>
        <w:keepNext/>
      </w:pPr>
      <w:r>
        <w:t>12 API applicative indicative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4608"/>
            <w:shd w:fill="17365D"/>
            <w:vAlign w:val="center"/>
            <w:tcMar>
              <w:top w:w="100" w:type="dxa"/>
              <w:start w:w="110" w:type="dxa"/>
              <w:bottom w:w="100" w:type="dxa"/>
              <w:end w:w="110" w:type="dxa"/>
            </w:tcMar>
          </w:tcPr>
          <w:p>
            <w:r>
              <w:rPr>
                <w:b/>
                <w:color w:val="FFFFFF"/>
                <w:sz w:val="18"/>
              </w:rPr>
              <w:t>Route</w:t>
            </w:r>
          </w:p>
        </w:tc>
        <w:tc>
          <w:tcPr>
            <w:tcW w:type="dxa" w:w="5112"/>
            <w:shd w:fill="17365D"/>
            <w:vAlign w:val="center"/>
            <w:tcMar>
              <w:top w:w="100" w:type="dxa"/>
              <w:start w:w="110" w:type="dxa"/>
              <w:bottom w:w="100" w:type="dxa"/>
              <w:end w:w="110" w:type="dxa"/>
            </w:tcMar>
          </w:tcPr>
          <w:p>
            <w:r>
              <w:rPr>
                <w:b/>
                <w:color w:val="FFFFFF"/>
                <w:sz w:val="18"/>
              </w:rPr>
              <w:t>Finalité</w:t>
            </w:r>
          </w:p>
        </w:tc>
      </w:tr>
      <w:tr>
        <w:tc>
          <w:tcPr>
            <w:tcW w:type="dxa" w:w="4608"/>
            <w:vAlign w:val="center"/>
            <w:tcMar>
              <w:top w:w="100" w:type="dxa"/>
              <w:start w:w="110" w:type="dxa"/>
              <w:bottom w:w="100" w:type="dxa"/>
              <w:end w:w="110" w:type="dxa"/>
            </w:tcMar>
          </w:tcPr>
          <w:p>
            <w:pPr>
              <w:spacing w:after="0"/>
            </w:pPr>
            <w:r>
              <w:rPr>
                <w:sz w:val="17"/>
              </w:rPr>
              <w:t>POST /auth/login</w:t>
            </w:r>
          </w:p>
        </w:tc>
        <w:tc>
          <w:tcPr>
            <w:tcW w:type="dxa" w:w="5112"/>
            <w:vAlign w:val="center"/>
            <w:tcMar>
              <w:top w:w="100" w:type="dxa"/>
              <w:start w:w="110" w:type="dxa"/>
              <w:bottom w:w="100" w:type="dxa"/>
              <w:end w:w="110" w:type="dxa"/>
            </w:tcMar>
          </w:tcPr>
          <w:p>
            <w:pPr>
              <w:spacing w:after="0"/>
            </w:pPr>
            <w:r>
              <w:rPr>
                <w:sz w:val="17"/>
              </w:rPr>
              <w:t>Connexion et création de session sécurisée</w:t>
            </w:r>
          </w:p>
        </w:tc>
      </w:tr>
      <w:tr>
        <w:tc>
          <w:tcPr>
            <w:tcW w:type="dxa" w:w="4608"/>
            <w:vAlign w:val="center"/>
            <w:shd w:fill="F3F6FA"/>
            <w:tcMar>
              <w:top w:w="100" w:type="dxa"/>
              <w:start w:w="110" w:type="dxa"/>
              <w:bottom w:w="100" w:type="dxa"/>
              <w:end w:w="110" w:type="dxa"/>
            </w:tcMar>
          </w:tcPr>
          <w:p>
            <w:pPr>
              <w:spacing w:after="0"/>
            </w:pPr>
            <w:r>
              <w:rPr>
                <w:sz w:val="17"/>
              </w:rPr>
              <w:t>GET /students/search</w:t>
            </w:r>
          </w:p>
        </w:tc>
        <w:tc>
          <w:tcPr>
            <w:tcW w:type="dxa" w:w="5112"/>
            <w:vAlign w:val="center"/>
            <w:shd w:fill="F3F6FA"/>
            <w:tcMar>
              <w:top w:w="100" w:type="dxa"/>
              <w:start w:w="110" w:type="dxa"/>
              <w:bottom w:w="100" w:type="dxa"/>
              <w:end w:w="110" w:type="dxa"/>
            </w:tcMar>
          </w:tcPr>
          <w:p>
            <w:pPr>
              <w:spacing w:after="0"/>
            </w:pPr>
            <w:r>
              <w:rPr>
                <w:sz w:val="17"/>
              </w:rPr>
              <w:t>Recherche anti-doublon et accès rapide</w:t>
            </w:r>
          </w:p>
        </w:tc>
      </w:tr>
      <w:tr>
        <w:tc>
          <w:tcPr>
            <w:tcW w:type="dxa" w:w="4608"/>
            <w:vAlign w:val="center"/>
            <w:tcMar>
              <w:top w:w="100" w:type="dxa"/>
              <w:start w:w="110" w:type="dxa"/>
              <w:bottom w:w="100" w:type="dxa"/>
              <w:end w:w="110" w:type="dxa"/>
            </w:tcMar>
          </w:tcPr>
          <w:p>
            <w:pPr>
              <w:spacing w:after="0"/>
            </w:pPr>
            <w:r>
              <w:rPr>
                <w:sz w:val="17"/>
              </w:rPr>
              <w:t>POST /students</w:t>
            </w:r>
          </w:p>
        </w:tc>
        <w:tc>
          <w:tcPr>
            <w:tcW w:type="dxa" w:w="5112"/>
            <w:vAlign w:val="center"/>
            <w:tcMar>
              <w:top w:w="100" w:type="dxa"/>
              <w:start w:w="110" w:type="dxa"/>
              <w:bottom w:w="100" w:type="dxa"/>
              <w:end w:w="110" w:type="dxa"/>
            </w:tcMar>
          </w:tcPr>
          <w:p>
            <w:pPr>
              <w:spacing w:after="0"/>
            </w:pPr>
            <w:r>
              <w:rPr>
                <w:sz w:val="17"/>
              </w:rPr>
              <w:t>Création élève et responsables dans une transaction</w:t>
            </w:r>
          </w:p>
        </w:tc>
      </w:tr>
      <w:tr>
        <w:tc>
          <w:tcPr>
            <w:tcW w:type="dxa" w:w="4608"/>
            <w:vAlign w:val="center"/>
            <w:shd w:fill="F3F6FA"/>
            <w:tcMar>
              <w:top w:w="100" w:type="dxa"/>
              <w:start w:w="110" w:type="dxa"/>
              <w:bottom w:w="100" w:type="dxa"/>
              <w:end w:w="110" w:type="dxa"/>
            </w:tcMar>
          </w:tcPr>
          <w:p>
            <w:pPr>
              <w:spacing w:after="0"/>
            </w:pPr>
            <w:r>
              <w:rPr>
                <w:sz w:val="17"/>
              </w:rPr>
              <w:t>POST /enrollments</w:t>
            </w:r>
          </w:p>
        </w:tc>
        <w:tc>
          <w:tcPr>
            <w:tcW w:type="dxa" w:w="5112"/>
            <w:vAlign w:val="center"/>
            <w:shd w:fill="F3F6FA"/>
            <w:tcMar>
              <w:top w:w="100" w:type="dxa"/>
              <w:start w:w="110" w:type="dxa"/>
              <w:bottom w:w="100" w:type="dxa"/>
              <w:end w:w="110" w:type="dxa"/>
            </w:tcMar>
          </w:tcPr>
          <w:p>
            <w:pPr>
              <w:spacing w:after="0"/>
            </w:pPr>
            <w:r>
              <w:rPr>
                <w:sz w:val="17"/>
              </w:rPr>
              <w:t>Inscription ou réinscription et génération des dettes</w:t>
            </w:r>
          </w:p>
        </w:tc>
      </w:tr>
      <w:tr>
        <w:tc>
          <w:tcPr>
            <w:tcW w:type="dxa" w:w="4608"/>
            <w:vAlign w:val="center"/>
            <w:tcMar>
              <w:top w:w="100" w:type="dxa"/>
              <w:start w:w="110" w:type="dxa"/>
              <w:bottom w:w="100" w:type="dxa"/>
              <w:end w:w="110" w:type="dxa"/>
            </w:tcMar>
          </w:tcPr>
          <w:p>
            <w:pPr>
              <w:spacing w:after="0"/>
            </w:pPr>
            <w:r>
              <w:rPr>
                <w:sz w:val="17"/>
              </w:rPr>
              <w:t>GET /students/{id}/financial-status</w:t>
            </w:r>
          </w:p>
        </w:tc>
        <w:tc>
          <w:tcPr>
            <w:tcW w:type="dxa" w:w="5112"/>
            <w:vAlign w:val="center"/>
            <w:tcMar>
              <w:top w:w="100" w:type="dxa"/>
              <w:start w:w="110" w:type="dxa"/>
              <w:bottom w:w="100" w:type="dxa"/>
              <w:end w:w="110" w:type="dxa"/>
            </w:tcMar>
          </w:tcPr>
          <w:p>
            <w:pPr>
              <w:spacing w:after="0"/>
            </w:pPr>
            <w:r>
              <w:rPr>
                <w:sz w:val="17"/>
              </w:rPr>
              <w:t>Situation et statut explicable</w:t>
            </w:r>
          </w:p>
        </w:tc>
      </w:tr>
      <w:tr>
        <w:tc>
          <w:tcPr>
            <w:tcW w:type="dxa" w:w="4608"/>
            <w:vAlign w:val="center"/>
            <w:shd w:fill="F3F6FA"/>
            <w:tcMar>
              <w:top w:w="100" w:type="dxa"/>
              <w:start w:w="110" w:type="dxa"/>
              <w:bottom w:w="100" w:type="dxa"/>
              <w:end w:w="110" w:type="dxa"/>
            </w:tcMar>
          </w:tcPr>
          <w:p>
            <w:pPr>
              <w:spacing w:after="0"/>
            </w:pPr>
            <w:r>
              <w:rPr>
                <w:sz w:val="17"/>
              </w:rPr>
              <w:t>POST /cash-sessions/open</w:t>
            </w:r>
          </w:p>
        </w:tc>
        <w:tc>
          <w:tcPr>
            <w:tcW w:type="dxa" w:w="5112"/>
            <w:vAlign w:val="center"/>
            <w:shd w:fill="F3F6FA"/>
            <w:tcMar>
              <w:top w:w="100" w:type="dxa"/>
              <w:start w:w="110" w:type="dxa"/>
              <w:bottom w:w="100" w:type="dxa"/>
              <w:end w:w="110" w:type="dxa"/>
            </w:tcMar>
          </w:tcPr>
          <w:p>
            <w:pPr>
              <w:spacing w:after="0"/>
            </w:pPr>
            <w:r>
              <w:rPr>
                <w:sz w:val="17"/>
              </w:rPr>
              <w:t>Ouverture de caisse</w:t>
            </w:r>
          </w:p>
        </w:tc>
      </w:tr>
      <w:tr>
        <w:tc>
          <w:tcPr>
            <w:tcW w:type="dxa" w:w="4608"/>
            <w:vAlign w:val="center"/>
            <w:tcMar>
              <w:top w:w="100" w:type="dxa"/>
              <w:start w:w="110" w:type="dxa"/>
              <w:bottom w:w="100" w:type="dxa"/>
              <w:end w:w="110" w:type="dxa"/>
            </w:tcMar>
          </w:tcPr>
          <w:p>
            <w:pPr>
              <w:spacing w:after="0"/>
            </w:pPr>
            <w:r>
              <w:rPr>
                <w:sz w:val="17"/>
              </w:rPr>
              <w:t>POST /payments/preview</w:t>
            </w:r>
          </w:p>
        </w:tc>
        <w:tc>
          <w:tcPr>
            <w:tcW w:type="dxa" w:w="5112"/>
            <w:vAlign w:val="center"/>
            <w:tcMar>
              <w:top w:w="100" w:type="dxa"/>
              <w:start w:w="110" w:type="dxa"/>
              <w:bottom w:w="100" w:type="dxa"/>
              <w:end w:w="110" w:type="dxa"/>
            </w:tcMar>
          </w:tcPr>
          <w:p>
            <w:pPr>
              <w:spacing w:after="0"/>
            </w:pPr>
            <w:r>
              <w:rPr>
                <w:sz w:val="17"/>
              </w:rPr>
              <w:t>Simulation de ventilation et contrôles</w:t>
            </w:r>
          </w:p>
        </w:tc>
      </w:tr>
      <w:tr>
        <w:tc>
          <w:tcPr>
            <w:tcW w:type="dxa" w:w="4608"/>
            <w:vAlign w:val="center"/>
            <w:shd w:fill="F3F6FA"/>
            <w:tcMar>
              <w:top w:w="100" w:type="dxa"/>
              <w:start w:w="110" w:type="dxa"/>
              <w:bottom w:w="100" w:type="dxa"/>
              <w:end w:w="110" w:type="dxa"/>
            </w:tcMar>
          </w:tcPr>
          <w:p>
            <w:pPr>
              <w:spacing w:after="0"/>
            </w:pPr>
            <w:r>
              <w:rPr>
                <w:sz w:val="17"/>
              </w:rPr>
              <w:t>POST /payments</w:t>
            </w:r>
          </w:p>
        </w:tc>
        <w:tc>
          <w:tcPr>
            <w:tcW w:type="dxa" w:w="5112"/>
            <w:vAlign w:val="center"/>
            <w:shd w:fill="F3F6FA"/>
            <w:tcMar>
              <w:top w:w="100" w:type="dxa"/>
              <w:start w:w="110" w:type="dxa"/>
              <w:bottom w:w="100" w:type="dxa"/>
              <w:end w:w="110" w:type="dxa"/>
            </w:tcMar>
          </w:tcPr>
          <w:p>
            <w:pPr>
              <w:spacing w:after="0"/>
            </w:pPr>
            <w:r>
              <w:rPr>
                <w:sz w:val="17"/>
              </w:rPr>
              <w:t>Encaissement atomique et numéro de reçu</w:t>
            </w:r>
          </w:p>
        </w:tc>
      </w:tr>
      <w:tr>
        <w:tc>
          <w:tcPr>
            <w:tcW w:type="dxa" w:w="4608"/>
            <w:vAlign w:val="center"/>
            <w:tcMar>
              <w:top w:w="100" w:type="dxa"/>
              <w:start w:w="110" w:type="dxa"/>
              <w:bottom w:w="100" w:type="dxa"/>
              <w:end w:w="110" w:type="dxa"/>
            </w:tcMar>
          </w:tcPr>
          <w:p>
            <w:pPr>
              <w:spacing w:after="0"/>
            </w:pPr>
            <w:r>
              <w:rPr>
                <w:sz w:val="17"/>
              </w:rPr>
              <w:t>POST /payments/{id}/reversal-requests</w:t>
            </w:r>
          </w:p>
        </w:tc>
        <w:tc>
          <w:tcPr>
            <w:tcW w:type="dxa" w:w="5112"/>
            <w:vAlign w:val="center"/>
            <w:tcMar>
              <w:top w:w="100" w:type="dxa"/>
              <w:start w:w="110" w:type="dxa"/>
              <w:bottom w:w="100" w:type="dxa"/>
              <w:end w:w="110" w:type="dxa"/>
            </w:tcMar>
          </w:tcPr>
          <w:p>
            <w:pPr>
              <w:spacing w:after="0"/>
            </w:pPr>
            <w:r>
              <w:rPr>
                <w:sz w:val="17"/>
              </w:rPr>
              <w:t>Demande d’annulation</w:t>
            </w:r>
          </w:p>
        </w:tc>
      </w:tr>
      <w:tr>
        <w:tc>
          <w:tcPr>
            <w:tcW w:type="dxa" w:w="4608"/>
            <w:vAlign w:val="center"/>
            <w:shd w:fill="F3F6FA"/>
            <w:tcMar>
              <w:top w:w="100" w:type="dxa"/>
              <w:start w:w="110" w:type="dxa"/>
              <w:bottom w:w="100" w:type="dxa"/>
              <w:end w:w="110" w:type="dxa"/>
            </w:tcMar>
          </w:tcPr>
          <w:p>
            <w:pPr>
              <w:spacing w:after="0"/>
            </w:pPr>
            <w:r>
              <w:rPr>
                <w:sz w:val="17"/>
              </w:rPr>
              <w:t>POST /reversal-requests/{id}/approve</w:t>
            </w:r>
          </w:p>
        </w:tc>
        <w:tc>
          <w:tcPr>
            <w:tcW w:type="dxa" w:w="5112"/>
            <w:vAlign w:val="center"/>
            <w:shd w:fill="F3F6FA"/>
            <w:tcMar>
              <w:top w:w="100" w:type="dxa"/>
              <w:start w:w="110" w:type="dxa"/>
              <w:bottom w:w="100" w:type="dxa"/>
              <w:end w:w="110" w:type="dxa"/>
            </w:tcMar>
          </w:tcPr>
          <w:p>
            <w:pPr>
              <w:spacing w:after="0"/>
            </w:pPr>
            <w:r>
              <w:rPr>
                <w:sz w:val="17"/>
              </w:rPr>
              <w:t>Validation et écriture inverse</w:t>
            </w:r>
          </w:p>
        </w:tc>
      </w:tr>
      <w:tr>
        <w:tc>
          <w:tcPr>
            <w:tcW w:type="dxa" w:w="4608"/>
            <w:vAlign w:val="center"/>
            <w:tcMar>
              <w:top w:w="100" w:type="dxa"/>
              <w:start w:w="110" w:type="dxa"/>
              <w:bottom w:w="100" w:type="dxa"/>
              <w:end w:w="110" w:type="dxa"/>
            </w:tcMar>
          </w:tcPr>
          <w:p>
            <w:pPr>
              <w:spacing w:after="0"/>
            </w:pPr>
            <w:r>
              <w:rPr>
                <w:sz w:val="17"/>
              </w:rPr>
              <w:t>GET /payments/{id}/receipt.pdf</w:t>
            </w:r>
          </w:p>
        </w:tc>
        <w:tc>
          <w:tcPr>
            <w:tcW w:type="dxa" w:w="5112"/>
            <w:vAlign w:val="center"/>
            <w:tcMar>
              <w:top w:w="100" w:type="dxa"/>
              <w:start w:w="110" w:type="dxa"/>
              <w:bottom w:w="100" w:type="dxa"/>
              <w:end w:w="110" w:type="dxa"/>
            </w:tcMar>
          </w:tcPr>
          <w:p>
            <w:pPr>
              <w:spacing w:after="0"/>
            </w:pPr>
            <w:r>
              <w:rPr>
                <w:sz w:val="17"/>
              </w:rPr>
              <w:t>PDF original ou duplicata</w:t>
            </w:r>
          </w:p>
        </w:tc>
      </w:tr>
      <w:tr>
        <w:tc>
          <w:tcPr>
            <w:tcW w:type="dxa" w:w="4608"/>
            <w:vAlign w:val="center"/>
            <w:shd w:fill="F3F6FA"/>
            <w:tcMar>
              <w:top w:w="100" w:type="dxa"/>
              <w:start w:w="110" w:type="dxa"/>
              <w:bottom w:w="100" w:type="dxa"/>
              <w:end w:w="110" w:type="dxa"/>
            </w:tcMar>
          </w:tcPr>
          <w:p>
            <w:pPr>
              <w:spacing w:after="0"/>
            </w:pPr>
            <w:r>
              <w:rPr>
                <w:sz w:val="17"/>
              </w:rPr>
              <w:t>POST /expenses</w:t>
            </w:r>
          </w:p>
        </w:tc>
        <w:tc>
          <w:tcPr>
            <w:tcW w:type="dxa" w:w="5112"/>
            <w:vAlign w:val="center"/>
            <w:shd w:fill="F3F6FA"/>
            <w:tcMar>
              <w:top w:w="100" w:type="dxa"/>
              <w:start w:w="110" w:type="dxa"/>
              <w:bottom w:w="100" w:type="dxa"/>
              <w:end w:w="110" w:type="dxa"/>
            </w:tcMar>
          </w:tcPr>
          <w:p>
            <w:pPr>
              <w:spacing w:after="0"/>
            </w:pPr>
            <w:r>
              <w:rPr>
                <w:sz w:val="17"/>
              </w:rPr>
              <w:t>Création ou soumission d’une sortie</w:t>
            </w:r>
          </w:p>
        </w:tc>
      </w:tr>
      <w:tr>
        <w:tc>
          <w:tcPr>
            <w:tcW w:type="dxa" w:w="4608"/>
            <w:vAlign w:val="center"/>
            <w:tcMar>
              <w:top w:w="100" w:type="dxa"/>
              <w:start w:w="110" w:type="dxa"/>
              <w:bottom w:w="100" w:type="dxa"/>
              <w:end w:w="110" w:type="dxa"/>
            </w:tcMar>
          </w:tcPr>
          <w:p>
            <w:pPr>
              <w:spacing w:after="0"/>
            </w:pPr>
            <w:r>
              <w:rPr>
                <w:sz w:val="17"/>
              </w:rPr>
              <w:t>POST /cash-sessions/{id}/close</w:t>
            </w:r>
          </w:p>
        </w:tc>
        <w:tc>
          <w:tcPr>
            <w:tcW w:type="dxa" w:w="5112"/>
            <w:vAlign w:val="center"/>
            <w:tcMar>
              <w:top w:w="100" w:type="dxa"/>
              <w:start w:w="110" w:type="dxa"/>
              <w:bottom w:w="100" w:type="dxa"/>
              <w:end w:w="110" w:type="dxa"/>
            </w:tcMar>
          </w:tcPr>
          <w:p>
            <w:pPr>
              <w:spacing w:after="0"/>
            </w:pPr>
            <w:r>
              <w:rPr>
                <w:sz w:val="17"/>
              </w:rPr>
              <w:t>Clôture et calcul des écarts</w:t>
            </w:r>
          </w:p>
        </w:tc>
      </w:tr>
      <w:tr>
        <w:tc>
          <w:tcPr>
            <w:tcW w:type="dxa" w:w="4608"/>
            <w:vAlign w:val="center"/>
            <w:shd w:fill="F3F6FA"/>
            <w:tcMar>
              <w:top w:w="100" w:type="dxa"/>
              <w:start w:w="110" w:type="dxa"/>
              <w:bottom w:w="100" w:type="dxa"/>
              <w:end w:w="110" w:type="dxa"/>
            </w:tcMar>
          </w:tcPr>
          <w:p>
            <w:pPr>
              <w:spacing w:after="0"/>
            </w:pPr>
            <w:r>
              <w:rPr>
                <w:sz w:val="17"/>
              </w:rPr>
              <w:t>GET /reports/daily-cash</w:t>
            </w:r>
          </w:p>
        </w:tc>
        <w:tc>
          <w:tcPr>
            <w:tcW w:type="dxa" w:w="5112"/>
            <w:vAlign w:val="center"/>
            <w:shd w:fill="F3F6FA"/>
            <w:tcMar>
              <w:top w:w="100" w:type="dxa"/>
              <w:start w:w="110" w:type="dxa"/>
              <w:bottom w:w="100" w:type="dxa"/>
              <w:end w:w="110" w:type="dxa"/>
            </w:tcMar>
          </w:tcPr>
          <w:p>
            <w:pPr>
              <w:spacing w:after="0"/>
            </w:pPr>
            <w:r>
              <w:rPr>
                <w:sz w:val="17"/>
              </w:rPr>
              <w:t>Journal et synthèse de caisse</w:t>
            </w:r>
          </w:p>
        </w:tc>
      </w:tr>
      <w:tr>
        <w:tc>
          <w:tcPr>
            <w:tcW w:type="dxa" w:w="4608"/>
            <w:vAlign w:val="center"/>
            <w:tcMar>
              <w:top w:w="100" w:type="dxa"/>
              <w:start w:w="110" w:type="dxa"/>
              <w:bottom w:w="100" w:type="dxa"/>
              <w:end w:w="110" w:type="dxa"/>
            </w:tcMar>
          </w:tcPr>
          <w:p>
            <w:pPr>
              <w:spacing w:after="0"/>
            </w:pPr>
            <w:r>
              <w:rPr>
                <w:sz w:val="17"/>
              </w:rPr>
              <w:t>GET /reports/arrears</w:t>
            </w:r>
          </w:p>
        </w:tc>
        <w:tc>
          <w:tcPr>
            <w:tcW w:type="dxa" w:w="5112"/>
            <w:vAlign w:val="center"/>
            <w:tcMar>
              <w:top w:w="100" w:type="dxa"/>
              <w:start w:w="110" w:type="dxa"/>
              <w:bottom w:w="100" w:type="dxa"/>
              <w:end w:w="110" w:type="dxa"/>
            </w:tcMar>
          </w:tcPr>
          <w:p>
            <w:pPr>
              <w:spacing w:after="0"/>
            </w:pPr>
            <w:r>
              <w:rPr>
                <w:sz w:val="17"/>
              </w:rPr>
              <w:t>Liste et agrégats des impayés</w:t>
            </w:r>
          </w:p>
        </w:tc>
      </w:tr>
      <w:tr>
        <w:tc>
          <w:tcPr>
            <w:tcW w:type="dxa" w:w="4608"/>
            <w:vAlign w:val="center"/>
            <w:shd w:fill="F3F6FA"/>
            <w:tcMar>
              <w:top w:w="100" w:type="dxa"/>
              <w:start w:w="110" w:type="dxa"/>
              <w:bottom w:w="100" w:type="dxa"/>
              <w:end w:w="110" w:type="dxa"/>
            </w:tcMar>
          </w:tcPr>
          <w:p>
            <w:pPr>
              <w:spacing w:after="0"/>
            </w:pPr>
            <w:r>
              <w:rPr>
                <w:sz w:val="17"/>
              </w:rPr>
              <w:t>PUT /settings/fee-schedules/{id}</w:t>
            </w:r>
          </w:p>
        </w:tc>
        <w:tc>
          <w:tcPr>
            <w:tcW w:type="dxa" w:w="5112"/>
            <w:vAlign w:val="center"/>
            <w:shd w:fill="F3F6FA"/>
            <w:tcMar>
              <w:top w:w="100" w:type="dxa"/>
              <w:start w:w="110" w:type="dxa"/>
              <w:bottom w:w="100" w:type="dxa"/>
              <w:end w:w="110" w:type="dxa"/>
            </w:tcMar>
          </w:tcPr>
          <w:p>
            <w:pPr>
              <w:spacing w:after="0"/>
            </w:pPr>
            <w:r>
              <w:rPr>
                <w:sz w:val="17"/>
              </w:rPr>
              <w:t>Nouvelle version ou modification contrôlée du tarif</w:t>
            </w:r>
          </w:p>
        </w:tc>
      </w:tr>
    </w:tbl>
    <w:p>
      <w:pPr>
        <w:spacing w:after="20"/>
      </w:pPr>
    </w:p>
    <w:p>
      <w:r>
        <w:t>Chaque mutation doit utiliser une clé d’idempotence afin d’éviter les doubles paiements lors d’un double clic ou d’une reconnexion. Les endpoints financiers doivent exécuter leurs écritures dans une transaction de base de données avec verrouillage approprié.</w:t>
      </w:r>
    </w:p>
    <w:p>
      <w:pPr>
        <w:pStyle w:val="Heading1"/>
        <w:keepNext/>
      </w:pPr>
      <w:r>
        <w:t>13 Architecture technique proposée</w:t>
      </w:r>
    </w:p>
    <w:p>
      <w:r>
        <w:t>Architecture recommandée pour un MVP maintenable : monolithe modulaire web, plutôt que microservices. Elle réduit les coûts et la complexité tout en conservant des frontières fonctionnelles claires.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r>
              <w:rPr>
                <w:b/>
                <w:color w:val="FFFFFF"/>
                <w:sz w:val="18"/>
              </w:rPr>
              <w:t>Couche</w:t>
            </w:r>
          </w:p>
        </w:tc>
        <w:tc>
          <w:tcPr>
            <w:tcW w:type="dxa" w:w="4320"/>
            <w:shd w:fill="17365D"/>
            <w:vAlign w:val="center"/>
            <w:tcMar>
              <w:top w:w="100" w:type="dxa"/>
              <w:start w:w="110" w:type="dxa"/>
              <w:bottom w:w="100" w:type="dxa"/>
              <w:end w:w="110" w:type="dxa"/>
            </w:tcMar>
          </w:tcPr>
          <w:p>
            <w:r>
              <w:rPr>
                <w:b/>
                <w:color w:val="FFFFFF"/>
                <w:sz w:val="18"/>
              </w:rPr>
              <w:t>Choix recommandé</w:t>
            </w:r>
          </w:p>
        </w:tc>
        <w:tc>
          <w:tcPr>
            <w:tcW w:type="dxa" w:w="3600"/>
            <w:shd w:fill="17365D"/>
            <w:vAlign w:val="center"/>
            <w:tcMar>
              <w:top w:w="100" w:type="dxa"/>
              <w:start w:w="110" w:type="dxa"/>
              <w:bottom w:w="100" w:type="dxa"/>
              <w:end w:w="110" w:type="dxa"/>
            </w:tcMar>
          </w:tcPr>
          <w:p>
            <w:r>
              <w:rPr>
                <w:b/>
                <w:color w:val="FFFFFF"/>
                <w:sz w:val="18"/>
              </w:rPr>
              <w:t>Justification</w:t>
            </w:r>
          </w:p>
        </w:tc>
      </w:tr>
      <w:tr>
        <w:tc>
          <w:tcPr>
            <w:tcW w:type="dxa" w:w="1800"/>
            <w:vAlign w:val="center"/>
            <w:tcMar>
              <w:top w:w="100" w:type="dxa"/>
              <w:start w:w="110" w:type="dxa"/>
              <w:bottom w:w="100" w:type="dxa"/>
              <w:end w:w="110" w:type="dxa"/>
            </w:tcMar>
          </w:tcPr>
          <w:p>
            <w:pPr>
              <w:spacing w:after="0"/>
            </w:pPr>
            <w:r>
              <w:rPr>
                <w:sz w:val="17"/>
              </w:rPr>
              <w:t>Frontend</w:t>
            </w:r>
          </w:p>
        </w:tc>
        <w:tc>
          <w:tcPr>
            <w:tcW w:type="dxa" w:w="4320"/>
            <w:vAlign w:val="center"/>
            <w:tcMar>
              <w:top w:w="100" w:type="dxa"/>
              <w:start w:w="110" w:type="dxa"/>
              <w:bottom w:w="100" w:type="dxa"/>
              <w:end w:w="110" w:type="dxa"/>
            </w:tcMar>
          </w:tcPr>
          <w:p>
            <w:pPr>
              <w:spacing w:after="0"/>
            </w:pPr>
            <w:r>
              <w:rPr>
                <w:sz w:val="17"/>
              </w:rPr>
              <w:t>Next.js avec TypeScript, Tailwind CSS et composants accessibles</w:t>
            </w:r>
          </w:p>
        </w:tc>
        <w:tc>
          <w:tcPr>
            <w:tcW w:type="dxa" w:w="3600"/>
            <w:vAlign w:val="center"/>
            <w:tcMar>
              <w:top w:w="100" w:type="dxa"/>
              <w:start w:w="110" w:type="dxa"/>
              <w:bottom w:w="100" w:type="dxa"/>
              <w:end w:w="110" w:type="dxa"/>
            </w:tcMar>
          </w:tcPr>
          <w:p>
            <w:pPr>
              <w:spacing w:after="0"/>
            </w:pPr>
            <w:r>
              <w:rPr>
                <w:sz w:val="17"/>
              </w:rPr>
              <w:t>Interface rapide, responsive et facile à maintenir.</w:t>
            </w:r>
          </w:p>
        </w:tc>
      </w:tr>
      <w:tr>
        <w:tc>
          <w:tcPr>
            <w:tcW w:type="dxa" w:w="1800"/>
            <w:vAlign w:val="center"/>
            <w:shd w:fill="F3F6FA"/>
            <w:tcMar>
              <w:top w:w="100" w:type="dxa"/>
              <w:start w:w="110" w:type="dxa"/>
              <w:bottom w:w="100" w:type="dxa"/>
              <w:end w:w="110" w:type="dxa"/>
            </w:tcMar>
          </w:tcPr>
          <w:p>
            <w:pPr>
              <w:spacing w:after="0"/>
            </w:pPr>
            <w:r>
              <w:rPr>
                <w:sz w:val="17"/>
              </w:rPr>
              <w:t>Backend</w:t>
            </w:r>
          </w:p>
        </w:tc>
        <w:tc>
          <w:tcPr>
            <w:tcW w:type="dxa" w:w="4320"/>
            <w:vAlign w:val="center"/>
            <w:shd w:fill="F3F6FA"/>
            <w:tcMar>
              <w:top w:w="100" w:type="dxa"/>
              <w:start w:w="110" w:type="dxa"/>
              <w:bottom w:w="100" w:type="dxa"/>
              <w:end w:w="110" w:type="dxa"/>
            </w:tcMar>
          </w:tcPr>
          <w:p>
            <w:pPr>
              <w:spacing w:after="0"/>
            </w:pPr>
            <w:r>
              <w:rPr>
                <w:sz w:val="17"/>
              </w:rPr>
              <w:t>NestJS avec modules Auth, Students, Enrollment, Billing, Cash, Reports, Settings</w:t>
            </w:r>
          </w:p>
        </w:tc>
        <w:tc>
          <w:tcPr>
            <w:tcW w:type="dxa" w:w="3600"/>
            <w:vAlign w:val="center"/>
            <w:shd w:fill="F3F6FA"/>
            <w:tcMar>
              <w:top w:w="100" w:type="dxa"/>
              <w:start w:w="110" w:type="dxa"/>
              <w:bottom w:w="100" w:type="dxa"/>
              <w:end w:w="110" w:type="dxa"/>
            </w:tcMar>
          </w:tcPr>
          <w:p>
            <w:pPr>
              <w:spacing w:after="0"/>
            </w:pPr>
            <w:r>
              <w:rPr>
                <w:sz w:val="17"/>
              </w:rPr>
              <w:t>Règles métier centralisées et API structurée.</w:t>
            </w:r>
          </w:p>
        </w:tc>
      </w:tr>
      <w:tr>
        <w:tc>
          <w:tcPr>
            <w:tcW w:type="dxa" w:w="1800"/>
            <w:vAlign w:val="center"/>
            <w:tcMar>
              <w:top w:w="100" w:type="dxa"/>
              <w:start w:w="110" w:type="dxa"/>
              <w:bottom w:w="100" w:type="dxa"/>
              <w:end w:w="110" w:type="dxa"/>
            </w:tcMar>
          </w:tcPr>
          <w:p>
            <w:pPr>
              <w:spacing w:after="0"/>
            </w:pPr>
            <w:r>
              <w:rPr>
                <w:sz w:val="17"/>
              </w:rPr>
              <w:t>Base de données</w:t>
            </w:r>
          </w:p>
        </w:tc>
        <w:tc>
          <w:tcPr>
            <w:tcW w:type="dxa" w:w="4320"/>
            <w:vAlign w:val="center"/>
            <w:tcMar>
              <w:top w:w="100" w:type="dxa"/>
              <w:start w:w="110" w:type="dxa"/>
              <w:bottom w:w="100" w:type="dxa"/>
              <w:end w:w="110" w:type="dxa"/>
            </w:tcMar>
          </w:tcPr>
          <w:p>
            <w:pPr>
              <w:spacing w:after="0"/>
            </w:pPr>
            <w:r>
              <w:rPr>
                <w:sz w:val="17"/>
              </w:rPr>
              <w:t>PostgreSQL avec Prisma ORM</w:t>
            </w:r>
          </w:p>
        </w:tc>
        <w:tc>
          <w:tcPr>
            <w:tcW w:type="dxa" w:w="3600"/>
            <w:vAlign w:val="center"/>
            <w:tcMar>
              <w:top w:w="100" w:type="dxa"/>
              <w:start w:w="110" w:type="dxa"/>
              <w:bottom w:w="100" w:type="dxa"/>
              <w:end w:w="110" w:type="dxa"/>
            </w:tcMar>
          </w:tcPr>
          <w:p>
            <w:pPr>
              <w:spacing w:after="0"/>
            </w:pPr>
            <w:r>
              <w:rPr>
                <w:sz w:val="17"/>
              </w:rPr>
              <w:t>Transactions fiables, contraintes et reporting.</w:t>
            </w:r>
          </w:p>
        </w:tc>
      </w:tr>
      <w:tr>
        <w:tc>
          <w:tcPr>
            <w:tcW w:type="dxa" w:w="1800"/>
            <w:vAlign w:val="center"/>
            <w:shd w:fill="F3F6FA"/>
            <w:tcMar>
              <w:top w:w="100" w:type="dxa"/>
              <w:start w:w="110" w:type="dxa"/>
              <w:bottom w:w="100" w:type="dxa"/>
              <w:end w:w="110" w:type="dxa"/>
            </w:tcMar>
          </w:tcPr>
          <w:p>
            <w:pPr>
              <w:spacing w:after="0"/>
            </w:pPr>
            <w:r>
              <w:rPr>
                <w:sz w:val="17"/>
              </w:rPr>
              <w:t>Authentification</w:t>
            </w:r>
          </w:p>
        </w:tc>
        <w:tc>
          <w:tcPr>
            <w:tcW w:type="dxa" w:w="4320"/>
            <w:vAlign w:val="center"/>
            <w:shd w:fill="F3F6FA"/>
            <w:tcMar>
              <w:top w:w="100" w:type="dxa"/>
              <w:start w:w="110" w:type="dxa"/>
              <w:bottom w:w="100" w:type="dxa"/>
              <w:end w:w="110" w:type="dxa"/>
            </w:tcMar>
          </w:tcPr>
          <w:p>
            <w:pPr>
              <w:spacing w:after="0"/>
            </w:pPr>
            <w:r>
              <w:rPr>
                <w:sz w:val="17"/>
              </w:rPr>
              <w:t>Sessions sécurisées ou JWT court + refresh en cookie HttpOnly</w:t>
            </w:r>
          </w:p>
        </w:tc>
        <w:tc>
          <w:tcPr>
            <w:tcW w:type="dxa" w:w="3600"/>
            <w:vAlign w:val="center"/>
            <w:shd w:fill="F3F6FA"/>
            <w:tcMar>
              <w:top w:w="100" w:type="dxa"/>
              <w:start w:w="110" w:type="dxa"/>
              <w:bottom w:w="100" w:type="dxa"/>
              <w:end w:w="110" w:type="dxa"/>
            </w:tcMar>
          </w:tcPr>
          <w:p>
            <w:pPr>
              <w:spacing w:after="0"/>
            </w:pPr>
            <w:r>
              <w:rPr>
                <w:sz w:val="17"/>
              </w:rPr>
              <w:t>Réduction du risque de vol de jeton.</w:t>
            </w:r>
          </w:p>
        </w:tc>
      </w:tr>
      <w:tr>
        <w:tc>
          <w:tcPr>
            <w:tcW w:type="dxa" w:w="1800"/>
            <w:vAlign w:val="center"/>
            <w:tcMar>
              <w:top w:w="100" w:type="dxa"/>
              <w:start w:w="110" w:type="dxa"/>
              <w:bottom w:w="100" w:type="dxa"/>
              <w:end w:w="110" w:type="dxa"/>
            </w:tcMar>
          </w:tcPr>
          <w:p>
            <w:pPr>
              <w:spacing w:after="0"/>
            </w:pPr>
            <w:r>
              <w:rPr>
                <w:sz w:val="17"/>
              </w:rPr>
              <w:t>Documents</w:t>
            </w:r>
          </w:p>
        </w:tc>
        <w:tc>
          <w:tcPr>
            <w:tcW w:type="dxa" w:w="4320"/>
            <w:vAlign w:val="center"/>
            <w:tcMar>
              <w:top w:w="100" w:type="dxa"/>
              <w:start w:w="110" w:type="dxa"/>
              <w:bottom w:w="100" w:type="dxa"/>
              <w:end w:w="110" w:type="dxa"/>
            </w:tcMar>
          </w:tcPr>
          <w:p>
            <w:pPr>
              <w:spacing w:after="0"/>
            </w:pPr>
            <w:r>
              <w:rPr>
                <w:sz w:val="17"/>
              </w:rPr>
              <w:t>PDF serveur et stockage objet compatible S3</w:t>
            </w:r>
          </w:p>
        </w:tc>
        <w:tc>
          <w:tcPr>
            <w:tcW w:type="dxa" w:w="3600"/>
            <w:vAlign w:val="center"/>
            <w:tcMar>
              <w:top w:w="100" w:type="dxa"/>
              <w:start w:w="110" w:type="dxa"/>
              <w:bottom w:w="100" w:type="dxa"/>
              <w:end w:w="110" w:type="dxa"/>
            </w:tcMar>
          </w:tcPr>
          <w:p>
            <w:pPr>
              <w:spacing w:after="0"/>
            </w:pPr>
            <w:r>
              <w:rPr>
                <w:sz w:val="17"/>
              </w:rPr>
              <w:t>Reçus cohérents et pièces séparées de la base.</w:t>
            </w:r>
          </w:p>
        </w:tc>
      </w:tr>
      <w:tr>
        <w:tc>
          <w:tcPr>
            <w:tcW w:type="dxa" w:w="1800"/>
            <w:vAlign w:val="center"/>
            <w:shd w:fill="F3F6FA"/>
            <w:tcMar>
              <w:top w:w="100" w:type="dxa"/>
              <w:start w:w="110" w:type="dxa"/>
              <w:bottom w:w="100" w:type="dxa"/>
              <w:end w:w="110" w:type="dxa"/>
            </w:tcMar>
          </w:tcPr>
          <w:p>
            <w:pPr>
              <w:spacing w:after="0"/>
            </w:pPr>
            <w:r>
              <w:rPr>
                <w:sz w:val="17"/>
              </w:rPr>
              <w:t>Déploiement</w:t>
            </w:r>
          </w:p>
        </w:tc>
        <w:tc>
          <w:tcPr>
            <w:tcW w:type="dxa" w:w="4320"/>
            <w:vAlign w:val="center"/>
            <w:shd w:fill="F3F6FA"/>
            <w:tcMar>
              <w:top w:w="100" w:type="dxa"/>
              <w:start w:w="110" w:type="dxa"/>
              <w:bottom w:w="100" w:type="dxa"/>
              <w:end w:w="110" w:type="dxa"/>
            </w:tcMar>
          </w:tcPr>
          <w:p>
            <w:pPr>
              <w:spacing w:after="0"/>
            </w:pPr>
            <w:r>
              <w:rPr>
                <w:sz w:val="17"/>
              </w:rPr>
              <w:t>Docker, sauvegardes automatisées, environnement test et production</w:t>
            </w:r>
          </w:p>
        </w:tc>
        <w:tc>
          <w:tcPr>
            <w:tcW w:type="dxa" w:w="3600"/>
            <w:vAlign w:val="center"/>
            <w:shd w:fill="F3F6FA"/>
            <w:tcMar>
              <w:top w:w="100" w:type="dxa"/>
              <w:start w:w="110" w:type="dxa"/>
              <w:bottom w:w="100" w:type="dxa"/>
              <w:end w:w="110" w:type="dxa"/>
            </w:tcMar>
          </w:tcPr>
          <w:p>
            <w:pPr>
              <w:spacing w:after="0"/>
            </w:pPr>
            <w:r>
              <w:rPr>
                <w:sz w:val="17"/>
              </w:rPr>
              <w:t>Reproductibilité et reprise.</w:t>
            </w:r>
          </w:p>
        </w:tc>
      </w:tr>
      <w:tr>
        <w:tc>
          <w:tcPr>
            <w:tcW w:type="dxa" w:w="1800"/>
            <w:vAlign w:val="center"/>
            <w:tcMar>
              <w:top w:w="100" w:type="dxa"/>
              <w:start w:w="110" w:type="dxa"/>
              <w:bottom w:w="100" w:type="dxa"/>
              <w:end w:w="110" w:type="dxa"/>
            </w:tcMar>
          </w:tcPr>
          <w:p>
            <w:pPr>
              <w:spacing w:after="0"/>
            </w:pPr>
            <w:r>
              <w:rPr>
                <w:sz w:val="17"/>
              </w:rPr>
              <w:t>Observabilité</w:t>
            </w:r>
          </w:p>
        </w:tc>
        <w:tc>
          <w:tcPr>
            <w:tcW w:type="dxa" w:w="4320"/>
            <w:vAlign w:val="center"/>
            <w:tcMar>
              <w:top w:w="100" w:type="dxa"/>
              <w:start w:w="110" w:type="dxa"/>
              <w:bottom w:w="100" w:type="dxa"/>
              <w:end w:w="110" w:type="dxa"/>
            </w:tcMar>
          </w:tcPr>
          <w:p>
            <w:pPr>
              <w:spacing w:after="0"/>
            </w:pPr>
            <w:r>
              <w:rPr>
                <w:sz w:val="17"/>
              </w:rPr>
              <w:t>Logs structurés, suivi erreurs, métriques et alertes sauvegarde</w:t>
            </w:r>
          </w:p>
        </w:tc>
        <w:tc>
          <w:tcPr>
            <w:tcW w:type="dxa" w:w="3600"/>
            <w:vAlign w:val="center"/>
            <w:tcMar>
              <w:top w:w="100" w:type="dxa"/>
              <w:start w:w="110" w:type="dxa"/>
              <w:bottom w:w="100" w:type="dxa"/>
              <w:end w:w="110" w:type="dxa"/>
            </w:tcMar>
          </w:tcPr>
          <w:p>
            <w:pPr>
              <w:spacing w:after="0"/>
            </w:pPr>
            <w:r>
              <w:rPr>
                <w:sz w:val="17"/>
              </w:rPr>
              <w:t>Diagnostic et exploitation.</w:t>
            </w:r>
          </w:p>
        </w:tc>
      </w:tr>
    </w:tbl>
    <w:p>
      <w:pPr>
        <w:spacing w:after="20"/>
      </w:pPr>
    </w:p>
    <w:p>
      <w:pPr>
        <w:pStyle w:val="Heading2"/>
        <w:keepNext/>
      </w:pPr>
      <w:r>
        <w:t>13.1 Modules du code</w:t>
      </w:r>
    </w:p>
    <w:p>
      <w:r>
        <w:t>auth • users • academics • students • guardians • enrollments • fees • billing • payments • cash • expenses • receipts • reports • audit • settings. Les modules billing, payments et cash ne doivent jamais dépendre de calculs réalisés uniquement dans le navigateur.</w:t>
      </w:r>
    </w:p>
    <w:p>
      <w:pPr>
        <w:pStyle w:val="Heading1"/>
        <w:keepNext/>
      </w:pPr>
      <w:r>
        <w:t>14 Sécurité et contrôle interne</w:t>
      </w:r>
    </w:p>
    <w:p>
      <w:pPr>
        <w:pStyle w:val="ListBullet"/>
      </w:pPr>
      <w:r>
        <w:t>Contrôle d’accès côté serveur sur chaque action ; masquer un bouton ne constitue pas une sécurité.</w:t>
      </w:r>
    </w:p>
    <w:p>
      <w:pPr>
        <w:pStyle w:val="ListBullet"/>
      </w:pPr>
      <w:r>
        <w:t>Mots de passe hachés avec Argon2id, politique de verrouillage et sessions révocables.</w:t>
      </w:r>
    </w:p>
    <w:p>
      <w:pPr>
        <w:pStyle w:val="ListBullet"/>
      </w:pPr>
      <w:r>
        <w:t>Double validation des annulations, remises importantes, réouvertures et écarts de caisse.</w:t>
      </w:r>
    </w:p>
    <w:p>
      <w:pPr>
        <w:pStyle w:val="ListBullet"/>
      </w:pPr>
      <w:r>
        <w:t>Journal d’audit append-only et exportable ; horodatage serveur.</w:t>
      </w:r>
    </w:p>
    <w:p>
      <w:pPr>
        <w:pStyle w:val="ListBullet"/>
      </w:pPr>
      <w:r>
        <w:t>Chiffrement TLS, secrets hors du dépôt Git et limitation de débit sur la connexion.</w:t>
      </w:r>
    </w:p>
    <w:p>
      <w:pPr>
        <w:pStyle w:val="ListBullet"/>
      </w:pPr>
      <w:r>
        <w:t>Sauvegarde quotidienne chiffrée, test mensuel de restauration et rétention définie.</w:t>
      </w:r>
    </w:p>
    <w:p>
      <w:pPr>
        <w:pStyle w:val="ListBullet"/>
      </w:pPr>
      <w:r>
        <w:t>Minimisation des données personnelles et accès limité aux dossiers élèves.</w:t>
      </w:r>
    </w:p>
    <w:p>
      <w:pPr>
        <w:pStyle w:val="ListBullet"/>
      </w:pPr>
      <w:r>
        <w:t>Protection contre les doublons par contraintes uniques et transactions, pas seulement par l’interface.</w:t>
      </w:r>
    </w:p>
    <w:p>
      <w:pPr>
        <w:pStyle w:val="ListBullet"/>
      </w:pPr>
      <w:r>
        <w:t>Aucune donnée financière réelle dans les environnements de développement ou de démonstration.</w:t>
      </w:r>
    </w:p>
    <w:p>
      <w:pPr>
        <w:pStyle w:val="Heading1"/>
        <w:keepNext/>
      </w:pPr>
      <w:r>
        <w:t>15 Exigences non fonctionnelles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944"/>
            <w:shd w:fill="17365D"/>
            <w:vAlign w:val="center"/>
            <w:tcMar>
              <w:top w:w="100" w:type="dxa"/>
              <w:start w:w="110" w:type="dxa"/>
              <w:bottom w:w="100" w:type="dxa"/>
              <w:end w:w="110" w:type="dxa"/>
            </w:tcMar>
          </w:tcPr>
          <w:p>
            <w:r>
              <w:rPr>
                <w:b/>
                <w:color w:val="FFFFFF"/>
                <w:sz w:val="18"/>
              </w:rPr>
              <w:t>Critère</w:t>
            </w:r>
          </w:p>
        </w:tc>
        <w:tc>
          <w:tcPr>
            <w:tcW w:type="dxa" w:w="7776"/>
            <w:shd w:fill="17365D"/>
            <w:vAlign w:val="center"/>
            <w:tcMar>
              <w:top w:w="100" w:type="dxa"/>
              <w:start w:w="110" w:type="dxa"/>
              <w:bottom w:w="100" w:type="dxa"/>
              <w:end w:w="110" w:type="dxa"/>
            </w:tcMar>
          </w:tcPr>
          <w:p>
            <w:r>
              <w:rPr>
                <w:b/>
                <w:color w:val="FFFFFF"/>
                <w:sz w:val="18"/>
              </w:rPr>
              <w:t>Cible MVP</w:t>
            </w:r>
          </w:p>
        </w:tc>
      </w:tr>
      <w:tr>
        <w:tc>
          <w:tcPr>
            <w:tcW w:type="dxa" w:w="1944"/>
            <w:vAlign w:val="center"/>
            <w:tcMar>
              <w:top w:w="100" w:type="dxa"/>
              <w:start w:w="110" w:type="dxa"/>
              <w:bottom w:w="100" w:type="dxa"/>
              <w:end w:w="110" w:type="dxa"/>
            </w:tcMar>
          </w:tcPr>
          <w:p>
            <w:pPr>
              <w:spacing w:after="0"/>
            </w:pPr>
            <w:r>
              <w:rPr>
                <w:sz w:val="17"/>
              </w:rPr>
              <w:t>Simplicité</w:t>
            </w:r>
          </w:p>
        </w:tc>
        <w:tc>
          <w:tcPr>
            <w:tcW w:type="dxa" w:w="7776"/>
            <w:vAlign w:val="center"/>
            <w:tcMar>
              <w:top w:w="100" w:type="dxa"/>
              <w:start w:w="110" w:type="dxa"/>
              <w:bottom w:w="100" w:type="dxa"/>
              <w:end w:w="110" w:type="dxa"/>
            </w:tcMar>
          </w:tcPr>
          <w:p>
            <w:pPr>
              <w:spacing w:after="0"/>
            </w:pPr>
            <w:r>
              <w:rPr>
                <w:sz w:val="17"/>
              </w:rPr>
              <w:t>Une inscription standard en moins de 3 minutes ; un paiement en moins de 60 secondes après identification.</w:t>
            </w:r>
          </w:p>
        </w:tc>
      </w:tr>
      <w:tr>
        <w:tc>
          <w:tcPr>
            <w:tcW w:type="dxa" w:w="1944"/>
            <w:vAlign w:val="center"/>
            <w:shd w:fill="F3F6FA"/>
            <w:tcMar>
              <w:top w:w="100" w:type="dxa"/>
              <w:start w:w="110" w:type="dxa"/>
              <w:bottom w:w="100" w:type="dxa"/>
              <w:end w:w="110" w:type="dxa"/>
            </w:tcMar>
          </w:tcPr>
          <w:p>
            <w:pPr>
              <w:spacing w:after="0"/>
            </w:pPr>
            <w:r>
              <w:rPr>
                <w:sz w:val="17"/>
              </w:rPr>
              <w:t>Performance</w:t>
            </w:r>
          </w:p>
        </w:tc>
        <w:tc>
          <w:tcPr>
            <w:tcW w:type="dxa" w:w="7776"/>
            <w:vAlign w:val="center"/>
            <w:shd w:fill="F3F6FA"/>
            <w:tcMar>
              <w:top w:w="100" w:type="dxa"/>
              <w:start w:w="110" w:type="dxa"/>
              <w:bottom w:w="100" w:type="dxa"/>
              <w:end w:w="110" w:type="dxa"/>
            </w:tcMar>
          </w:tcPr>
          <w:p>
            <w:pPr>
              <w:spacing w:after="0"/>
            </w:pPr>
            <w:r>
              <w:rPr>
                <w:sz w:val="17"/>
              </w:rPr>
              <w:t>95 % des écrans courants en moins de 2 secondes sur connexion correcte.</w:t>
            </w:r>
          </w:p>
        </w:tc>
      </w:tr>
      <w:tr>
        <w:tc>
          <w:tcPr>
            <w:tcW w:type="dxa" w:w="1944"/>
            <w:vAlign w:val="center"/>
            <w:tcMar>
              <w:top w:w="100" w:type="dxa"/>
              <w:start w:w="110" w:type="dxa"/>
              <w:bottom w:w="100" w:type="dxa"/>
              <w:end w:w="110" w:type="dxa"/>
            </w:tcMar>
          </w:tcPr>
          <w:p>
            <w:pPr>
              <w:spacing w:after="0"/>
            </w:pPr>
            <w:r>
              <w:rPr>
                <w:sz w:val="17"/>
              </w:rPr>
              <w:t>Disponibilité</w:t>
            </w:r>
          </w:p>
        </w:tc>
        <w:tc>
          <w:tcPr>
            <w:tcW w:type="dxa" w:w="7776"/>
            <w:vAlign w:val="center"/>
            <w:tcMar>
              <w:top w:w="100" w:type="dxa"/>
              <w:start w:w="110" w:type="dxa"/>
              <w:bottom w:w="100" w:type="dxa"/>
              <w:end w:w="110" w:type="dxa"/>
            </w:tcMar>
          </w:tcPr>
          <w:p>
            <w:pPr>
              <w:spacing w:after="0"/>
            </w:pPr>
            <w:r>
              <w:rPr>
                <w:sz w:val="17"/>
              </w:rPr>
              <w:t>Objectif initial 99,5 % mensuel, hors maintenance planifiée.</w:t>
            </w:r>
          </w:p>
        </w:tc>
      </w:tr>
      <w:tr>
        <w:tc>
          <w:tcPr>
            <w:tcW w:type="dxa" w:w="1944"/>
            <w:vAlign w:val="center"/>
            <w:shd w:fill="F3F6FA"/>
            <w:tcMar>
              <w:top w:w="100" w:type="dxa"/>
              <w:start w:w="110" w:type="dxa"/>
              <w:bottom w:w="100" w:type="dxa"/>
              <w:end w:w="110" w:type="dxa"/>
            </w:tcMar>
          </w:tcPr>
          <w:p>
            <w:pPr>
              <w:spacing w:after="0"/>
            </w:pPr>
            <w:r>
              <w:rPr>
                <w:sz w:val="17"/>
              </w:rPr>
              <w:t>Compatibilité</w:t>
            </w:r>
          </w:p>
        </w:tc>
        <w:tc>
          <w:tcPr>
            <w:tcW w:type="dxa" w:w="7776"/>
            <w:vAlign w:val="center"/>
            <w:shd w:fill="F3F6FA"/>
            <w:tcMar>
              <w:top w:w="100" w:type="dxa"/>
              <w:start w:w="110" w:type="dxa"/>
              <w:bottom w:w="100" w:type="dxa"/>
              <w:end w:w="110" w:type="dxa"/>
            </w:tcMar>
          </w:tcPr>
          <w:p>
            <w:pPr>
              <w:spacing w:after="0"/>
            </w:pPr>
            <w:r>
              <w:rPr>
                <w:sz w:val="17"/>
              </w:rPr>
              <w:t>Chrome et Edge récents ; ordinateur et tablette ; mobile pour consultation.</w:t>
            </w:r>
          </w:p>
        </w:tc>
      </w:tr>
      <w:tr>
        <w:tc>
          <w:tcPr>
            <w:tcW w:type="dxa" w:w="1944"/>
            <w:vAlign w:val="center"/>
            <w:tcMar>
              <w:top w:w="100" w:type="dxa"/>
              <w:start w:w="110" w:type="dxa"/>
              <w:bottom w:w="100" w:type="dxa"/>
              <w:end w:w="110" w:type="dxa"/>
            </w:tcMar>
          </w:tcPr>
          <w:p>
            <w:pPr>
              <w:spacing w:after="0"/>
            </w:pPr>
            <w:r>
              <w:rPr>
                <w:sz w:val="17"/>
              </w:rPr>
              <w:t>Accessibilité</w:t>
            </w:r>
          </w:p>
        </w:tc>
        <w:tc>
          <w:tcPr>
            <w:tcW w:type="dxa" w:w="7776"/>
            <w:vAlign w:val="center"/>
            <w:tcMar>
              <w:top w:w="100" w:type="dxa"/>
              <w:start w:w="110" w:type="dxa"/>
              <w:bottom w:w="100" w:type="dxa"/>
              <w:end w:w="110" w:type="dxa"/>
            </w:tcMar>
          </w:tcPr>
          <w:p>
            <w:pPr>
              <w:spacing w:after="0"/>
            </w:pPr>
            <w:r>
              <w:rPr>
                <w:sz w:val="17"/>
              </w:rPr>
              <w:t>Navigation clavier, contrastes suffisants, libellés explicites, tailles lisibles.</w:t>
            </w:r>
          </w:p>
        </w:tc>
      </w:tr>
      <w:tr>
        <w:tc>
          <w:tcPr>
            <w:tcW w:type="dxa" w:w="1944"/>
            <w:vAlign w:val="center"/>
            <w:shd w:fill="F3F6FA"/>
            <w:tcMar>
              <w:top w:w="100" w:type="dxa"/>
              <w:start w:w="110" w:type="dxa"/>
              <w:bottom w:w="100" w:type="dxa"/>
              <w:end w:w="110" w:type="dxa"/>
            </w:tcMar>
          </w:tcPr>
          <w:p>
            <w:pPr>
              <w:spacing w:after="0"/>
            </w:pPr>
            <w:r>
              <w:rPr>
                <w:sz w:val="17"/>
              </w:rPr>
              <w:t>Traçabilité</w:t>
            </w:r>
          </w:p>
        </w:tc>
        <w:tc>
          <w:tcPr>
            <w:tcW w:type="dxa" w:w="7776"/>
            <w:vAlign w:val="center"/>
            <w:shd w:fill="F3F6FA"/>
            <w:tcMar>
              <w:top w:w="100" w:type="dxa"/>
              <w:start w:w="110" w:type="dxa"/>
              <w:bottom w:w="100" w:type="dxa"/>
              <w:end w:w="110" w:type="dxa"/>
            </w:tcMar>
          </w:tcPr>
          <w:p>
            <w:pPr>
              <w:spacing w:after="0"/>
            </w:pPr>
            <w:r>
              <w:rPr>
                <w:sz w:val="17"/>
              </w:rPr>
              <w:t>100 % des opérations financières et administratives sensibles journalisées.</w:t>
            </w:r>
          </w:p>
        </w:tc>
      </w:tr>
      <w:tr>
        <w:tc>
          <w:tcPr>
            <w:tcW w:type="dxa" w:w="1944"/>
            <w:vAlign w:val="center"/>
            <w:tcMar>
              <w:top w:w="100" w:type="dxa"/>
              <w:start w:w="110" w:type="dxa"/>
              <w:bottom w:w="100" w:type="dxa"/>
              <w:end w:w="110" w:type="dxa"/>
            </w:tcMar>
          </w:tcPr>
          <w:p>
            <w:pPr>
              <w:spacing w:after="0"/>
            </w:pPr>
            <w:r>
              <w:rPr>
                <w:sz w:val="17"/>
              </w:rPr>
              <w:t>Restauration</w:t>
            </w:r>
          </w:p>
        </w:tc>
        <w:tc>
          <w:tcPr>
            <w:tcW w:type="dxa" w:w="7776"/>
            <w:vAlign w:val="center"/>
            <w:tcMar>
              <w:top w:w="100" w:type="dxa"/>
              <w:start w:w="110" w:type="dxa"/>
              <w:bottom w:w="100" w:type="dxa"/>
              <w:end w:w="110" w:type="dxa"/>
            </w:tcMar>
          </w:tcPr>
          <w:p>
            <w:pPr>
              <w:spacing w:after="0"/>
            </w:pPr>
            <w:r>
              <w:rPr>
                <w:sz w:val="17"/>
              </w:rPr>
              <w:t>RPO 24 h maximum au lancement ; RTO cible 4 h, à améliorer selon hébergement.</w:t>
            </w:r>
          </w:p>
        </w:tc>
      </w:tr>
      <w:tr>
        <w:tc>
          <w:tcPr>
            <w:tcW w:type="dxa" w:w="1944"/>
            <w:vAlign w:val="center"/>
            <w:shd w:fill="F3F6FA"/>
            <w:tcMar>
              <w:top w:w="100" w:type="dxa"/>
              <w:start w:w="110" w:type="dxa"/>
              <w:bottom w:w="100" w:type="dxa"/>
              <w:end w:w="110" w:type="dxa"/>
            </w:tcMar>
          </w:tcPr>
          <w:p>
            <w:pPr>
              <w:spacing w:after="0"/>
            </w:pPr>
            <w:r>
              <w:rPr>
                <w:sz w:val="17"/>
              </w:rPr>
              <w:t>Export</w:t>
            </w:r>
          </w:p>
        </w:tc>
        <w:tc>
          <w:tcPr>
            <w:tcW w:type="dxa" w:w="7776"/>
            <w:vAlign w:val="center"/>
            <w:shd w:fill="F3F6FA"/>
            <w:tcMar>
              <w:top w:w="100" w:type="dxa"/>
              <w:start w:w="110" w:type="dxa"/>
              <w:bottom w:w="100" w:type="dxa"/>
              <w:end w:w="110" w:type="dxa"/>
            </w:tcMar>
          </w:tcPr>
          <w:p>
            <w:pPr>
              <w:spacing w:after="0"/>
            </w:pPr>
            <w:r>
              <w:rPr>
                <w:sz w:val="17"/>
              </w:rPr>
              <w:t>PDF pour impression ; XLSX ou CSV pour exploitation contrôlée.</w:t>
            </w:r>
          </w:p>
        </w:tc>
      </w:tr>
      <w:tr>
        <w:tc>
          <w:tcPr>
            <w:tcW w:type="dxa" w:w="1944"/>
            <w:vAlign w:val="center"/>
            <w:tcMar>
              <w:top w:w="100" w:type="dxa"/>
              <w:start w:w="110" w:type="dxa"/>
              <w:bottom w:w="100" w:type="dxa"/>
              <w:end w:w="110" w:type="dxa"/>
            </w:tcMar>
          </w:tcPr>
          <w:p>
            <w:pPr>
              <w:spacing w:after="0"/>
            </w:pPr>
            <w:r>
              <w:rPr>
                <w:sz w:val="17"/>
              </w:rPr>
              <w:t>Localisation</w:t>
            </w:r>
          </w:p>
        </w:tc>
        <w:tc>
          <w:tcPr>
            <w:tcW w:type="dxa" w:w="7776"/>
            <w:vAlign w:val="center"/>
            <w:tcMar>
              <w:top w:w="100" w:type="dxa"/>
              <w:start w:w="110" w:type="dxa"/>
              <w:bottom w:w="100" w:type="dxa"/>
              <w:end w:w="110" w:type="dxa"/>
            </w:tcMar>
          </w:tcPr>
          <w:p>
            <w:pPr>
              <w:spacing w:after="0"/>
            </w:pPr>
            <w:r>
              <w:rPr>
                <w:sz w:val="17"/>
              </w:rPr>
              <w:t>XAF, format de date JJ/MM/AAAA, fuseau Africa/Brazzaville.</w:t>
            </w:r>
          </w:p>
        </w:tc>
      </w:tr>
    </w:tbl>
    <w:p>
      <w:pPr>
        <w:spacing w:after="20"/>
      </w:pPr>
    </w:p>
    <w:p>
      <w:pPr>
        <w:pStyle w:val="Heading1"/>
        <w:keepNext/>
      </w:pPr>
      <w:r>
        <w:t>16 Critères d’acceptation prioritaires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008"/>
            <w:shd w:fill="17365D"/>
            <w:vAlign w:val="center"/>
            <w:tcMar>
              <w:top w:w="100" w:type="dxa"/>
              <w:start w:w="110" w:type="dxa"/>
              <w:bottom w:w="100" w:type="dxa"/>
              <w:end w:w="110" w:type="dxa"/>
            </w:tcMar>
          </w:tcPr>
          <w:p>
            <w:r>
              <w:rPr>
                <w:b/>
                <w:color w:val="FFFFFF"/>
                <w:sz w:val="18"/>
              </w:rPr>
              <w:t>ID</w:t>
            </w:r>
          </w:p>
        </w:tc>
        <w:tc>
          <w:tcPr>
            <w:tcW w:type="dxa" w:w="8712"/>
            <w:shd w:fill="17365D"/>
            <w:vAlign w:val="center"/>
            <w:tcMar>
              <w:top w:w="100" w:type="dxa"/>
              <w:start w:w="110" w:type="dxa"/>
              <w:bottom w:w="100" w:type="dxa"/>
              <w:end w:w="110" w:type="dxa"/>
            </w:tcMar>
          </w:tcPr>
          <w:p>
            <w:r>
              <w:rPr>
                <w:b/>
                <w:color w:val="FFFFFF"/>
                <w:sz w:val="18"/>
              </w:rPr>
              <w:t>Scénario accepté</w:t>
            </w:r>
          </w:p>
        </w:tc>
      </w:tr>
      <w:tr>
        <w:tc>
          <w:tcPr>
            <w:tcW w:type="dxa" w:w="1008"/>
            <w:vAlign w:val="center"/>
            <w:tcMar>
              <w:top w:w="100" w:type="dxa"/>
              <w:start w:w="110" w:type="dxa"/>
              <w:bottom w:w="100" w:type="dxa"/>
              <w:end w:w="110" w:type="dxa"/>
            </w:tcMar>
          </w:tcPr>
          <w:p>
            <w:pPr>
              <w:spacing w:after="0"/>
            </w:pPr>
            <w:r>
              <w:rPr>
                <w:sz w:val="17"/>
              </w:rPr>
              <w:t>CA01</w:t>
            </w:r>
          </w:p>
        </w:tc>
        <w:tc>
          <w:tcPr>
            <w:tcW w:type="dxa" w:w="8712"/>
            <w:vAlign w:val="center"/>
            <w:tcMar>
              <w:top w:w="100" w:type="dxa"/>
              <w:start w:w="110" w:type="dxa"/>
              <w:bottom w:w="100" w:type="dxa"/>
              <w:end w:w="110" w:type="dxa"/>
            </w:tcMar>
          </w:tcPr>
          <w:p>
            <w:pPr>
              <w:spacing w:after="0"/>
            </w:pPr>
            <w:r>
              <w:rPr>
                <w:sz w:val="17"/>
              </w:rPr>
              <w:t>Un secrétariat crée un élève, un responsable et une inscription sans doublon.</w:t>
            </w:r>
          </w:p>
        </w:tc>
      </w:tr>
      <w:tr>
        <w:tc>
          <w:tcPr>
            <w:tcW w:type="dxa" w:w="1008"/>
            <w:vAlign w:val="center"/>
            <w:shd w:fill="F3F6FA"/>
            <w:tcMar>
              <w:top w:w="100" w:type="dxa"/>
              <w:start w:w="110" w:type="dxa"/>
              <w:bottom w:w="100" w:type="dxa"/>
              <w:end w:w="110" w:type="dxa"/>
            </w:tcMar>
          </w:tcPr>
          <w:p>
            <w:pPr>
              <w:spacing w:after="0"/>
            </w:pPr>
            <w:r>
              <w:rPr>
                <w:sz w:val="17"/>
              </w:rPr>
              <w:t>CA02</w:t>
            </w:r>
          </w:p>
        </w:tc>
        <w:tc>
          <w:tcPr>
            <w:tcW w:type="dxa" w:w="8712"/>
            <w:vAlign w:val="center"/>
            <w:shd w:fill="F3F6FA"/>
            <w:tcMar>
              <w:top w:w="100" w:type="dxa"/>
              <w:start w:w="110" w:type="dxa"/>
              <w:bottom w:w="100" w:type="dxa"/>
              <w:end w:w="110" w:type="dxa"/>
            </w:tcMar>
          </w:tcPr>
          <w:p>
            <w:pPr>
              <w:spacing w:after="0"/>
            </w:pPr>
            <w:r>
              <w:rPr>
                <w:sz w:val="17"/>
              </w:rPr>
              <w:t>La création d’inscription génère exactement les frais applicables selon la grille active.</w:t>
            </w:r>
          </w:p>
        </w:tc>
      </w:tr>
      <w:tr>
        <w:tc>
          <w:tcPr>
            <w:tcW w:type="dxa" w:w="1008"/>
            <w:vAlign w:val="center"/>
            <w:tcMar>
              <w:top w:w="100" w:type="dxa"/>
              <w:start w:w="110" w:type="dxa"/>
              <w:bottom w:w="100" w:type="dxa"/>
              <w:end w:w="110" w:type="dxa"/>
            </w:tcMar>
          </w:tcPr>
          <w:p>
            <w:pPr>
              <w:spacing w:after="0"/>
            </w:pPr>
            <w:r>
              <w:rPr>
                <w:sz w:val="17"/>
              </w:rPr>
              <w:t>CA03</w:t>
            </w:r>
          </w:p>
        </w:tc>
        <w:tc>
          <w:tcPr>
            <w:tcW w:type="dxa" w:w="8712"/>
            <w:vAlign w:val="center"/>
            <w:tcMar>
              <w:top w:w="100" w:type="dxa"/>
              <w:start w:w="110" w:type="dxa"/>
              <w:bottom w:w="100" w:type="dxa"/>
              <w:end w:w="110" w:type="dxa"/>
            </w:tcMar>
          </w:tcPr>
          <w:p>
            <w:pPr>
              <w:spacing w:after="0"/>
            </w:pPr>
            <w:r>
              <w:rPr>
                <w:sz w:val="17"/>
              </w:rPr>
              <w:t>Les trois tranches et leurs échéances sont visibles et leur somme est contrôlée.</w:t>
            </w:r>
          </w:p>
        </w:tc>
      </w:tr>
      <w:tr>
        <w:tc>
          <w:tcPr>
            <w:tcW w:type="dxa" w:w="1008"/>
            <w:vAlign w:val="center"/>
            <w:shd w:fill="F3F6FA"/>
            <w:tcMar>
              <w:top w:w="100" w:type="dxa"/>
              <w:start w:w="110" w:type="dxa"/>
              <w:bottom w:w="100" w:type="dxa"/>
              <w:end w:w="110" w:type="dxa"/>
            </w:tcMar>
          </w:tcPr>
          <w:p>
            <w:pPr>
              <w:spacing w:after="0"/>
            </w:pPr>
            <w:r>
              <w:rPr>
                <w:sz w:val="17"/>
              </w:rPr>
              <w:t>CA04</w:t>
            </w:r>
          </w:p>
        </w:tc>
        <w:tc>
          <w:tcPr>
            <w:tcW w:type="dxa" w:w="8712"/>
            <w:vAlign w:val="center"/>
            <w:shd w:fill="F3F6FA"/>
            <w:tcMar>
              <w:top w:w="100" w:type="dxa"/>
              <w:start w:w="110" w:type="dxa"/>
              <w:bottom w:w="100" w:type="dxa"/>
              <w:end w:w="110" w:type="dxa"/>
            </w:tcMar>
          </w:tcPr>
          <w:p>
            <w:pPr>
              <w:spacing w:after="0"/>
            </w:pPr>
            <w:r>
              <w:rPr>
                <w:sz w:val="17"/>
              </w:rPr>
              <w:t>Un paiement partiel actualise correctement la tranche, le solde et la solvabilité.</w:t>
            </w:r>
          </w:p>
        </w:tc>
      </w:tr>
      <w:tr>
        <w:tc>
          <w:tcPr>
            <w:tcW w:type="dxa" w:w="1008"/>
            <w:vAlign w:val="center"/>
            <w:tcMar>
              <w:top w:w="100" w:type="dxa"/>
              <w:start w:w="110" w:type="dxa"/>
              <w:bottom w:w="100" w:type="dxa"/>
              <w:end w:w="110" w:type="dxa"/>
            </w:tcMar>
          </w:tcPr>
          <w:p>
            <w:pPr>
              <w:spacing w:after="0"/>
            </w:pPr>
            <w:r>
              <w:rPr>
                <w:sz w:val="17"/>
              </w:rPr>
              <w:t>CA05</w:t>
            </w:r>
          </w:p>
        </w:tc>
        <w:tc>
          <w:tcPr>
            <w:tcW w:type="dxa" w:w="8712"/>
            <w:vAlign w:val="center"/>
            <w:tcMar>
              <w:top w:w="100" w:type="dxa"/>
              <w:start w:w="110" w:type="dxa"/>
              <w:bottom w:w="100" w:type="dxa"/>
              <w:end w:w="110" w:type="dxa"/>
            </w:tcMar>
          </w:tcPr>
          <w:p>
            <w:pPr>
              <w:spacing w:after="0"/>
            </w:pPr>
            <w:r>
              <w:rPr>
                <w:sz w:val="17"/>
              </w:rPr>
              <w:t>Un paiement multi-rubriques produit une ventilation dont la somme égale le paiement.</w:t>
            </w:r>
          </w:p>
        </w:tc>
      </w:tr>
      <w:tr>
        <w:tc>
          <w:tcPr>
            <w:tcW w:type="dxa" w:w="1008"/>
            <w:vAlign w:val="center"/>
            <w:shd w:fill="F3F6FA"/>
            <w:tcMar>
              <w:top w:w="100" w:type="dxa"/>
              <w:start w:w="110" w:type="dxa"/>
              <w:bottom w:w="100" w:type="dxa"/>
              <w:end w:w="110" w:type="dxa"/>
            </w:tcMar>
          </w:tcPr>
          <w:p>
            <w:pPr>
              <w:spacing w:after="0"/>
            </w:pPr>
            <w:r>
              <w:rPr>
                <w:sz w:val="17"/>
              </w:rPr>
              <w:t>CA06</w:t>
            </w:r>
          </w:p>
        </w:tc>
        <w:tc>
          <w:tcPr>
            <w:tcW w:type="dxa" w:w="8712"/>
            <w:vAlign w:val="center"/>
            <w:shd w:fill="F3F6FA"/>
            <w:tcMar>
              <w:top w:w="100" w:type="dxa"/>
              <w:start w:w="110" w:type="dxa"/>
              <w:bottom w:w="100" w:type="dxa"/>
              <w:end w:w="110" w:type="dxa"/>
            </w:tcMar>
          </w:tcPr>
          <w:p>
            <w:pPr>
              <w:spacing w:after="0"/>
            </w:pPr>
            <w:r>
              <w:rPr>
                <w:sz w:val="17"/>
              </w:rPr>
              <w:t>Deux requêtes identiques avec la même clé d’idempotence ne créent qu’un paiement.</w:t>
            </w:r>
          </w:p>
        </w:tc>
      </w:tr>
      <w:tr>
        <w:tc>
          <w:tcPr>
            <w:tcW w:type="dxa" w:w="1008"/>
            <w:vAlign w:val="center"/>
            <w:tcMar>
              <w:top w:w="100" w:type="dxa"/>
              <w:start w:w="110" w:type="dxa"/>
              <w:bottom w:w="100" w:type="dxa"/>
              <w:end w:w="110" w:type="dxa"/>
            </w:tcMar>
          </w:tcPr>
          <w:p>
            <w:pPr>
              <w:spacing w:after="0"/>
            </w:pPr>
            <w:r>
              <w:rPr>
                <w:sz w:val="17"/>
              </w:rPr>
              <w:t>CA07</w:t>
            </w:r>
          </w:p>
        </w:tc>
        <w:tc>
          <w:tcPr>
            <w:tcW w:type="dxa" w:w="8712"/>
            <w:vAlign w:val="center"/>
            <w:tcMar>
              <w:top w:w="100" w:type="dxa"/>
              <w:start w:w="110" w:type="dxa"/>
              <w:bottom w:w="100" w:type="dxa"/>
              <w:end w:w="110" w:type="dxa"/>
            </w:tcMar>
          </w:tcPr>
          <w:p>
            <w:pPr>
              <w:spacing w:after="0"/>
            </w:pPr>
            <w:r>
              <w:rPr>
                <w:sz w:val="17"/>
              </w:rPr>
              <w:t>Le reçu PDF porte un numéro unique et peut être réimprimé en DUPLICATA.</w:t>
            </w:r>
          </w:p>
        </w:tc>
      </w:tr>
      <w:tr>
        <w:tc>
          <w:tcPr>
            <w:tcW w:type="dxa" w:w="1008"/>
            <w:vAlign w:val="center"/>
            <w:shd w:fill="F3F6FA"/>
            <w:tcMar>
              <w:top w:w="100" w:type="dxa"/>
              <w:start w:w="110" w:type="dxa"/>
              <w:bottom w:w="100" w:type="dxa"/>
              <w:end w:w="110" w:type="dxa"/>
            </w:tcMar>
          </w:tcPr>
          <w:p>
            <w:pPr>
              <w:spacing w:after="0"/>
            </w:pPr>
            <w:r>
              <w:rPr>
                <w:sz w:val="17"/>
              </w:rPr>
              <w:t>CA08</w:t>
            </w:r>
          </w:p>
        </w:tc>
        <w:tc>
          <w:tcPr>
            <w:tcW w:type="dxa" w:w="8712"/>
            <w:vAlign w:val="center"/>
            <w:shd w:fill="F3F6FA"/>
            <w:tcMar>
              <w:top w:w="100" w:type="dxa"/>
              <w:start w:w="110" w:type="dxa"/>
              <w:bottom w:w="100" w:type="dxa"/>
              <w:end w:w="110" w:type="dxa"/>
            </w:tcMar>
          </w:tcPr>
          <w:p>
            <w:pPr>
              <w:spacing w:after="0"/>
            </w:pPr>
            <w:r>
              <w:rPr>
                <w:sz w:val="17"/>
              </w:rPr>
              <w:t>Un caissier ne peut ni modifier ni supprimer un paiement validé.</w:t>
            </w:r>
          </w:p>
        </w:tc>
      </w:tr>
      <w:tr>
        <w:tc>
          <w:tcPr>
            <w:tcW w:type="dxa" w:w="1008"/>
            <w:vAlign w:val="center"/>
            <w:tcMar>
              <w:top w:w="100" w:type="dxa"/>
              <w:start w:w="110" w:type="dxa"/>
              <w:bottom w:w="100" w:type="dxa"/>
              <w:end w:w="110" w:type="dxa"/>
            </w:tcMar>
          </w:tcPr>
          <w:p>
            <w:pPr>
              <w:spacing w:after="0"/>
            </w:pPr>
            <w:r>
              <w:rPr>
                <w:sz w:val="17"/>
              </w:rPr>
              <w:t>CA09</w:t>
            </w:r>
          </w:p>
        </w:tc>
        <w:tc>
          <w:tcPr>
            <w:tcW w:type="dxa" w:w="8712"/>
            <w:vAlign w:val="center"/>
            <w:tcMar>
              <w:top w:w="100" w:type="dxa"/>
              <w:start w:w="110" w:type="dxa"/>
              <w:bottom w:w="100" w:type="dxa"/>
              <w:end w:w="110" w:type="dxa"/>
            </w:tcMar>
          </w:tcPr>
          <w:p>
            <w:pPr>
              <w:spacing w:after="0"/>
            </w:pPr>
            <w:r>
              <w:rPr>
                <w:sz w:val="17"/>
              </w:rPr>
              <w:t>Une annulation approuvée crée une écriture inverse et conserve le lien avec l’original.</w:t>
            </w:r>
          </w:p>
        </w:tc>
      </w:tr>
      <w:tr>
        <w:tc>
          <w:tcPr>
            <w:tcW w:type="dxa" w:w="1008"/>
            <w:vAlign w:val="center"/>
            <w:shd w:fill="F3F6FA"/>
            <w:tcMar>
              <w:top w:w="100" w:type="dxa"/>
              <w:start w:w="110" w:type="dxa"/>
              <w:bottom w:w="100" w:type="dxa"/>
              <w:end w:w="110" w:type="dxa"/>
            </w:tcMar>
          </w:tcPr>
          <w:p>
            <w:pPr>
              <w:spacing w:after="0"/>
            </w:pPr>
            <w:r>
              <w:rPr>
                <w:sz w:val="17"/>
              </w:rPr>
              <w:t>CA10</w:t>
            </w:r>
          </w:p>
        </w:tc>
        <w:tc>
          <w:tcPr>
            <w:tcW w:type="dxa" w:w="8712"/>
            <w:vAlign w:val="center"/>
            <w:shd w:fill="F3F6FA"/>
            <w:tcMar>
              <w:top w:w="100" w:type="dxa"/>
              <w:start w:w="110" w:type="dxa"/>
              <w:bottom w:w="100" w:type="dxa"/>
              <w:end w:w="110" w:type="dxa"/>
            </w:tcMar>
          </w:tcPr>
          <w:p>
            <w:pPr>
              <w:spacing w:after="0"/>
            </w:pPr>
            <w:r>
              <w:rPr>
                <w:sz w:val="17"/>
              </w:rPr>
              <w:t>La clôture compare montant théorique et compté par mode et calcule l’écart.</w:t>
            </w:r>
          </w:p>
        </w:tc>
      </w:tr>
      <w:tr>
        <w:tc>
          <w:tcPr>
            <w:tcW w:type="dxa" w:w="1008"/>
            <w:vAlign w:val="center"/>
            <w:tcMar>
              <w:top w:w="100" w:type="dxa"/>
              <w:start w:w="110" w:type="dxa"/>
              <w:bottom w:w="100" w:type="dxa"/>
              <w:end w:w="110" w:type="dxa"/>
            </w:tcMar>
          </w:tcPr>
          <w:p>
            <w:pPr>
              <w:spacing w:after="0"/>
            </w:pPr>
            <w:r>
              <w:rPr>
                <w:sz w:val="17"/>
              </w:rPr>
              <w:t>CA11</w:t>
            </w:r>
          </w:p>
        </w:tc>
        <w:tc>
          <w:tcPr>
            <w:tcW w:type="dxa" w:w="8712"/>
            <w:vAlign w:val="center"/>
            <w:tcMar>
              <w:top w:w="100" w:type="dxa"/>
              <w:start w:w="110" w:type="dxa"/>
              <w:bottom w:w="100" w:type="dxa"/>
              <w:end w:w="110" w:type="dxa"/>
            </w:tcMar>
          </w:tcPr>
          <w:p>
            <w:pPr>
              <w:spacing w:after="0"/>
            </w:pPr>
            <w:r>
              <w:rPr>
                <w:sz w:val="17"/>
              </w:rPr>
              <w:t>Une caisse clôturée bloque les opérations rétroactives non autorisées.</w:t>
            </w:r>
          </w:p>
        </w:tc>
      </w:tr>
      <w:tr>
        <w:tc>
          <w:tcPr>
            <w:tcW w:type="dxa" w:w="1008"/>
            <w:vAlign w:val="center"/>
            <w:shd w:fill="F3F6FA"/>
            <w:tcMar>
              <w:top w:w="100" w:type="dxa"/>
              <w:start w:w="110" w:type="dxa"/>
              <w:bottom w:w="100" w:type="dxa"/>
              <w:end w:w="110" w:type="dxa"/>
            </w:tcMar>
          </w:tcPr>
          <w:p>
            <w:pPr>
              <w:spacing w:after="0"/>
            </w:pPr>
            <w:r>
              <w:rPr>
                <w:sz w:val="17"/>
              </w:rPr>
              <w:t>CA12</w:t>
            </w:r>
          </w:p>
        </w:tc>
        <w:tc>
          <w:tcPr>
            <w:tcW w:type="dxa" w:w="8712"/>
            <w:vAlign w:val="center"/>
            <w:shd w:fill="F3F6FA"/>
            <w:tcMar>
              <w:top w:w="100" w:type="dxa"/>
              <w:start w:w="110" w:type="dxa"/>
              <w:bottom w:w="100" w:type="dxa"/>
              <w:end w:w="110" w:type="dxa"/>
            </w:tcMar>
          </w:tcPr>
          <w:p>
            <w:pPr>
              <w:spacing w:after="0"/>
            </w:pPr>
            <w:r>
              <w:rPr>
                <w:sz w:val="17"/>
              </w:rPr>
              <w:t>La situation élève explique le statut avec facturé, payé, restant et retard.</w:t>
            </w:r>
          </w:p>
        </w:tc>
      </w:tr>
      <w:tr>
        <w:tc>
          <w:tcPr>
            <w:tcW w:type="dxa" w:w="1008"/>
            <w:vAlign w:val="center"/>
            <w:tcMar>
              <w:top w:w="100" w:type="dxa"/>
              <w:start w:w="110" w:type="dxa"/>
              <w:bottom w:w="100" w:type="dxa"/>
              <w:end w:w="110" w:type="dxa"/>
            </w:tcMar>
          </w:tcPr>
          <w:p>
            <w:pPr>
              <w:spacing w:after="0"/>
            </w:pPr>
            <w:r>
              <w:rPr>
                <w:sz w:val="17"/>
              </w:rPr>
              <w:t>CA13</w:t>
            </w:r>
          </w:p>
        </w:tc>
        <w:tc>
          <w:tcPr>
            <w:tcW w:type="dxa" w:w="8712"/>
            <w:vAlign w:val="center"/>
            <w:tcMar>
              <w:top w:w="100" w:type="dxa"/>
              <w:start w:w="110" w:type="dxa"/>
              <w:bottom w:w="100" w:type="dxa"/>
              <w:end w:w="110" w:type="dxa"/>
            </w:tcMar>
          </w:tcPr>
          <w:p>
            <w:pPr>
              <w:spacing w:after="0"/>
            </w:pPr>
            <w:r>
              <w:rPr>
                <w:sz w:val="17"/>
              </w:rPr>
              <w:t>Les rapports donnent les mêmes totaux que le journal détaillé pour la même période.</w:t>
            </w:r>
          </w:p>
        </w:tc>
      </w:tr>
      <w:tr>
        <w:tc>
          <w:tcPr>
            <w:tcW w:type="dxa" w:w="1008"/>
            <w:vAlign w:val="center"/>
            <w:shd w:fill="F3F6FA"/>
            <w:tcMar>
              <w:top w:w="100" w:type="dxa"/>
              <w:start w:w="110" w:type="dxa"/>
              <w:bottom w:w="100" w:type="dxa"/>
              <w:end w:w="110" w:type="dxa"/>
            </w:tcMar>
          </w:tcPr>
          <w:p>
            <w:pPr>
              <w:spacing w:after="0"/>
            </w:pPr>
            <w:r>
              <w:rPr>
                <w:sz w:val="17"/>
              </w:rPr>
              <w:t>CA14</w:t>
            </w:r>
          </w:p>
        </w:tc>
        <w:tc>
          <w:tcPr>
            <w:tcW w:type="dxa" w:w="8712"/>
            <w:vAlign w:val="center"/>
            <w:shd w:fill="F3F6FA"/>
            <w:tcMar>
              <w:top w:w="100" w:type="dxa"/>
              <w:start w:w="110" w:type="dxa"/>
              <w:bottom w:w="100" w:type="dxa"/>
              <w:end w:w="110" w:type="dxa"/>
            </w:tcMar>
          </w:tcPr>
          <w:p>
            <w:pPr>
              <w:spacing w:after="0"/>
            </w:pPr>
            <w:r>
              <w:rPr>
                <w:sz w:val="17"/>
              </w:rPr>
              <w:t>Un utilisateur sans permission reçoit un refus serveur même s’il appelle directement l’API.</w:t>
            </w:r>
          </w:p>
        </w:tc>
      </w:tr>
      <w:tr>
        <w:tc>
          <w:tcPr>
            <w:tcW w:type="dxa" w:w="1008"/>
            <w:vAlign w:val="center"/>
            <w:tcMar>
              <w:top w:w="100" w:type="dxa"/>
              <w:start w:w="110" w:type="dxa"/>
              <w:bottom w:w="100" w:type="dxa"/>
              <w:end w:w="110" w:type="dxa"/>
            </w:tcMar>
          </w:tcPr>
          <w:p>
            <w:pPr>
              <w:spacing w:after="0"/>
            </w:pPr>
            <w:r>
              <w:rPr>
                <w:sz w:val="17"/>
              </w:rPr>
              <w:t>CA15</w:t>
            </w:r>
          </w:p>
        </w:tc>
        <w:tc>
          <w:tcPr>
            <w:tcW w:type="dxa" w:w="8712"/>
            <w:vAlign w:val="center"/>
            <w:tcMar>
              <w:top w:w="100" w:type="dxa"/>
              <w:start w:w="110" w:type="dxa"/>
              <w:bottom w:w="100" w:type="dxa"/>
              <w:end w:w="110" w:type="dxa"/>
            </w:tcMar>
          </w:tcPr>
          <w:p>
            <w:pPr>
              <w:spacing w:after="0"/>
            </w:pPr>
            <w:r>
              <w:rPr>
                <w:sz w:val="17"/>
              </w:rPr>
              <w:t>Une restauration de sauvegarde est documentée et testée avant la mise en production.</w:t>
            </w:r>
          </w:p>
        </w:tc>
      </w:tr>
    </w:tbl>
    <w:p>
      <w:pPr>
        <w:spacing w:after="20"/>
      </w:pPr>
    </w:p>
    <w:p>
      <w:pPr>
        <w:pStyle w:val="Heading1"/>
        <w:keepNext/>
      </w:pPr>
      <w:r>
        <w:t>17 Plan de réalisation conseillé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152"/>
            <w:shd w:fill="17365D"/>
            <w:vAlign w:val="center"/>
            <w:tcMar>
              <w:top w:w="100" w:type="dxa"/>
              <w:start w:w="110" w:type="dxa"/>
              <w:bottom w:w="100" w:type="dxa"/>
              <w:end w:w="110" w:type="dxa"/>
            </w:tcMar>
          </w:tcPr>
          <w:p>
            <w:r>
              <w:rPr>
                <w:b/>
                <w:color w:val="FFFFFF"/>
                <w:sz w:val="18"/>
              </w:rPr>
              <w:t>Lot</w:t>
            </w:r>
          </w:p>
        </w:tc>
        <w:tc>
          <w:tcPr>
            <w:tcW w:type="dxa" w:w="4608"/>
            <w:shd w:fill="17365D"/>
            <w:vAlign w:val="center"/>
            <w:tcMar>
              <w:top w:w="100" w:type="dxa"/>
              <w:start w:w="110" w:type="dxa"/>
              <w:bottom w:w="100" w:type="dxa"/>
              <w:end w:w="110" w:type="dxa"/>
            </w:tcMar>
          </w:tcPr>
          <w:p>
            <w:r>
              <w:rPr>
                <w:b/>
                <w:color w:val="FFFFFF"/>
                <w:sz w:val="18"/>
              </w:rPr>
              <w:t>Contenu</w:t>
            </w:r>
          </w:p>
        </w:tc>
        <w:tc>
          <w:tcPr>
            <w:tcW w:type="dxa" w:w="3960"/>
            <w:shd w:fill="17365D"/>
            <w:vAlign w:val="center"/>
            <w:tcMar>
              <w:top w:w="100" w:type="dxa"/>
              <w:start w:w="110" w:type="dxa"/>
              <w:bottom w:w="100" w:type="dxa"/>
              <w:end w:w="110" w:type="dxa"/>
            </w:tcMar>
          </w:tcPr>
          <w:p>
            <w:r>
              <w:rPr>
                <w:b/>
                <w:color w:val="FFFFFF"/>
                <w:sz w:val="18"/>
              </w:rPr>
              <w:t>Condition de sortie</w:t>
            </w:r>
          </w:p>
        </w:tc>
      </w:tr>
      <w:tr>
        <w:tc>
          <w:tcPr>
            <w:tcW w:type="dxa" w:w="1152"/>
            <w:vAlign w:val="center"/>
            <w:tcMar>
              <w:top w:w="100" w:type="dxa"/>
              <w:start w:w="110" w:type="dxa"/>
              <w:bottom w:w="100" w:type="dxa"/>
              <w:end w:w="110" w:type="dxa"/>
            </w:tcMar>
          </w:tcPr>
          <w:p>
            <w:pPr>
              <w:spacing w:after="0"/>
            </w:pPr>
            <w:r>
              <w:rPr>
                <w:sz w:val="17"/>
              </w:rPr>
              <w:t>Lot 0</w:t>
            </w:r>
          </w:p>
        </w:tc>
        <w:tc>
          <w:tcPr>
            <w:tcW w:type="dxa" w:w="4608"/>
            <w:vAlign w:val="center"/>
            <w:tcMar>
              <w:top w:w="100" w:type="dxa"/>
              <w:start w:w="110" w:type="dxa"/>
              <w:bottom w:w="100" w:type="dxa"/>
              <w:end w:w="110" w:type="dxa"/>
            </w:tcMar>
          </w:tcPr>
          <w:p>
            <w:pPr>
              <w:spacing w:after="0"/>
            </w:pPr>
            <w:r>
              <w:rPr>
                <w:sz w:val="17"/>
              </w:rPr>
              <w:t>Validation métier, nomenclatures, tarifs, prototypes d’écrans et formats de reçus</w:t>
            </w:r>
          </w:p>
        </w:tc>
        <w:tc>
          <w:tcPr>
            <w:tcW w:type="dxa" w:w="3960"/>
            <w:vAlign w:val="center"/>
            <w:tcMar>
              <w:top w:w="100" w:type="dxa"/>
              <w:start w:w="110" w:type="dxa"/>
              <w:bottom w:w="100" w:type="dxa"/>
              <w:end w:w="110" w:type="dxa"/>
            </w:tcMar>
          </w:tcPr>
          <w:p>
            <w:pPr>
              <w:spacing w:after="0"/>
            </w:pPr>
            <w:r>
              <w:rPr>
                <w:sz w:val="17"/>
              </w:rPr>
              <w:t>Décisions ouvertes signées et jeu de données de test.</w:t>
            </w:r>
          </w:p>
        </w:tc>
      </w:tr>
      <w:tr>
        <w:tc>
          <w:tcPr>
            <w:tcW w:type="dxa" w:w="1152"/>
            <w:vAlign w:val="center"/>
            <w:shd w:fill="F3F6FA"/>
            <w:tcMar>
              <w:top w:w="100" w:type="dxa"/>
              <w:start w:w="110" w:type="dxa"/>
              <w:bottom w:w="100" w:type="dxa"/>
              <w:end w:w="110" w:type="dxa"/>
            </w:tcMar>
          </w:tcPr>
          <w:p>
            <w:pPr>
              <w:spacing w:after="0"/>
            </w:pPr>
            <w:r>
              <w:rPr>
                <w:sz w:val="17"/>
              </w:rPr>
              <w:t>Lot 1</w:t>
            </w:r>
          </w:p>
        </w:tc>
        <w:tc>
          <w:tcPr>
            <w:tcW w:type="dxa" w:w="4608"/>
            <w:vAlign w:val="center"/>
            <w:shd w:fill="F3F6FA"/>
            <w:tcMar>
              <w:top w:w="100" w:type="dxa"/>
              <w:start w:w="110" w:type="dxa"/>
              <w:bottom w:w="100" w:type="dxa"/>
              <w:end w:w="110" w:type="dxa"/>
            </w:tcMar>
          </w:tcPr>
          <w:p>
            <w:pPr>
              <w:spacing w:after="0"/>
            </w:pPr>
            <w:r>
              <w:rPr>
                <w:sz w:val="17"/>
              </w:rPr>
              <w:t>Socle, authentification, utilisateurs, années, structure académique</w:t>
            </w:r>
          </w:p>
        </w:tc>
        <w:tc>
          <w:tcPr>
            <w:tcW w:type="dxa" w:w="3960"/>
            <w:vAlign w:val="center"/>
            <w:shd w:fill="F3F6FA"/>
            <w:tcMar>
              <w:top w:w="100" w:type="dxa"/>
              <w:start w:w="110" w:type="dxa"/>
              <w:bottom w:w="100" w:type="dxa"/>
              <w:end w:w="110" w:type="dxa"/>
            </w:tcMar>
          </w:tcPr>
          <w:p>
            <w:pPr>
              <w:spacing w:after="0"/>
            </w:pPr>
            <w:r>
              <w:rPr>
                <w:sz w:val="17"/>
              </w:rPr>
              <w:t>Permissions et paramétrage testés.</w:t>
            </w:r>
          </w:p>
        </w:tc>
      </w:tr>
      <w:tr>
        <w:tc>
          <w:tcPr>
            <w:tcW w:type="dxa" w:w="1152"/>
            <w:vAlign w:val="center"/>
            <w:tcMar>
              <w:top w:w="100" w:type="dxa"/>
              <w:start w:w="110" w:type="dxa"/>
              <w:bottom w:w="100" w:type="dxa"/>
              <w:end w:w="110" w:type="dxa"/>
            </w:tcMar>
          </w:tcPr>
          <w:p>
            <w:pPr>
              <w:spacing w:after="0"/>
            </w:pPr>
            <w:r>
              <w:rPr>
                <w:sz w:val="17"/>
              </w:rPr>
              <w:t>Lot 2</w:t>
            </w:r>
          </w:p>
        </w:tc>
        <w:tc>
          <w:tcPr>
            <w:tcW w:type="dxa" w:w="4608"/>
            <w:vAlign w:val="center"/>
            <w:tcMar>
              <w:top w:w="100" w:type="dxa"/>
              <w:start w:w="110" w:type="dxa"/>
              <w:bottom w:w="100" w:type="dxa"/>
              <w:end w:w="110" w:type="dxa"/>
            </w:tcMar>
          </w:tcPr>
          <w:p>
            <w:pPr>
              <w:spacing w:after="0"/>
            </w:pPr>
            <w:r>
              <w:rPr>
                <w:sz w:val="17"/>
              </w:rPr>
              <w:t>Élèves, responsables, inscriptions et réinscriptions</w:t>
            </w:r>
          </w:p>
        </w:tc>
        <w:tc>
          <w:tcPr>
            <w:tcW w:type="dxa" w:w="3960"/>
            <w:vAlign w:val="center"/>
            <w:tcMar>
              <w:top w:w="100" w:type="dxa"/>
              <w:start w:w="110" w:type="dxa"/>
              <w:bottom w:w="100" w:type="dxa"/>
              <w:end w:w="110" w:type="dxa"/>
            </w:tcMar>
          </w:tcPr>
          <w:p>
            <w:pPr>
              <w:spacing w:after="0"/>
            </w:pPr>
            <w:r>
              <w:rPr>
                <w:sz w:val="17"/>
              </w:rPr>
              <w:t>Parcours complet sans paiement.</w:t>
            </w:r>
          </w:p>
        </w:tc>
      </w:tr>
      <w:tr>
        <w:tc>
          <w:tcPr>
            <w:tcW w:type="dxa" w:w="1152"/>
            <w:vAlign w:val="center"/>
            <w:shd w:fill="F3F6FA"/>
            <w:tcMar>
              <w:top w:w="100" w:type="dxa"/>
              <w:start w:w="110" w:type="dxa"/>
              <w:bottom w:w="100" w:type="dxa"/>
              <w:end w:w="110" w:type="dxa"/>
            </w:tcMar>
          </w:tcPr>
          <w:p>
            <w:pPr>
              <w:spacing w:after="0"/>
            </w:pPr>
            <w:r>
              <w:rPr>
                <w:sz w:val="17"/>
              </w:rPr>
              <w:t>Lot 3</w:t>
            </w:r>
          </w:p>
        </w:tc>
        <w:tc>
          <w:tcPr>
            <w:tcW w:type="dxa" w:w="4608"/>
            <w:vAlign w:val="center"/>
            <w:shd w:fill="F3F6FA"/>
            <w:tcMar>
              <w:top w:w="100" w:type="dxa"/>
              <w:start w:w="110" w:type="dxa"/>
              <w:bottom w:w="100" w:type="dxa"/>
              <w:end w:w="110" w:type="dxa"/>
            </w:tcMar>
          </w:tcPr>
          <w:p>
            <w:pPr>
              <w:spacing w:after="0"/>
            </w:pPr>
            <w:r>
              <w:rPr>
                <w:sz w:val="17"/>
              </w:rPr>
              <w:t>Tarifs, factures, trois tranches, remises et solvabilité</w:t>
            </w:r>
          </w:p>
        </w:tc>
        <w:tc>
          <w:tcPr>
            <w:tcW w:type="dxa" w:w="3960"/>
            <w:vAlign w:val="center"/>
            <w:shd w:fill="F3F6FA"/>
            <w:tcMar>
              <w:top w:w="100" w:type="dxa"/>
              <w:start w:w="110" w:type="dxa"/>
              <w:bottom w:w="100" w:type="dxa"/>
              <w:end w:w="110" w:type="dxa"/>
            </w:tcMar>
          </w:tcPr>
          <w:p>
            <w:pPr>
              <w:spacing w:after="0"/>
            </w:pPr>
            <w:r>
              <w:rPr>
                <w:sz w:val="17"/>
              </w:rPr>
              <w:t>Calculs unitaires et cas limites validés.</w:t>
            </w:r>
          </w:p>
        </w:tc>
      </w:tr>
      <w:tr>
        <w:tc>
          <w:tcPr>
            <w:tcW w:type="dxa" w:w="1152"/>
            <w:vAlign w:val="center"/>
            <w:tcMar>
              <w:top w:w="100" w:type="dxa"/>
              <w:start w:w="110" w:type="dxa"/>
              <w:bottom w:w="100" w:type="dxa"/>
              <w:end w:w="110" w:type="dxa"/>
            </w:tcMar>
          </w:tcPr>
          <w:p>
            <w:pPr>
              <w:spacing w:after="0"/>
            </w:pPr>
            <w:r>
              <w:rPr>
                <w:sz w:val="17"/>
              </w:rPr>
              <w:t>Lot 4</w:t>
            </w:r>
          </w:p>
        </w:tc>
        <w:tc>
          <w:tcPr>
            <w:tcW w:type="dxa" w:w="4608"/>
            <w:vAlign w:val="center"/>
            <w:tcMar>
              <w:top w:w="100" w:type="dxa"/>
              <w:start w:w="110" w:type="dxa"/>
              <w:bottom w:w="100" w:type="dxa"/>
              <w:end w:w="110" w:type="dxa"/>
            </w:tcMar>
          </w:tcPr>
          <w:p>
            <w:pPr>
              <w:spacing w:after="0"/>
            </w:pPr>
            <w:r>
              <w:rPr>
                <w:sz w:val="17"/>
              </w:rPr>
              <w:t>Caisse, paiements, reçus, annulations et autres recettes</w:t>
            </w:r>
          </w:p>
        </w:tc>
        <w:tc>
          <w:tcPr>
            <w:tcW w:type="dxa" w:w="3960"/>
            <w:vAlign w:val="center"/>
            <w:tcMar>
              <w:top w:w="100" w:type="dxa"/>
              <w:start w:w="110" w:type="dxa"/>
              <w:bottom w:w="100" w:type="dxa"/>
              <w:end w:w="110" w:type="dxa"/>
            </w:tcMar>
          </w:tcPr>
          <w:p>
            <w:pPr>
              <w:spacing w:after="0"/>
            </w:pPr>
            <w:r>
              <w:rPr>
                <w:sz w:val="17"/>
              </w:rPr>
              <w:t>Tests d’idempotence et contrôle interne validés.</w:t>
            </w:r>
          </w:p>
        </w:tc>
      </w:tr>
      <w:tr>
        <w:tc>
          <w:tcPr>
            <w:tcW w:type="dxa" w:w="1152"/>
            <w:vAlign w:val="center"/>
            <w:shd w:fill="F3F6FA"/>
            <w:tcMar>
              <w:top w:w="100" w:type="dxa"/>
              <w:start w:w="110" w:type="dxa"/>
              <w:bottom w:w="100" w:type="dxa"/>
              <w:end w:w="110" w:type="dxa"/>
            </w:tcMar>
          </w:tcPr>
          <w:p>
            <w:pPr>
              <w:spacing w:after="0"/>
            </w:pPr>
            <w:r>
              <w:rPr>
                <w:sz w:val="17"/>
              </w:rPr>
              <w:t>Lot 5</w:t>
            </w:r>
          </w:p>
        </w:tc>
        <w:tc>
          <w:tcPr>
            <w:tcW w:type="dxa" w:w="4608"/>
            <w:vAlign w:val="center"/>
            <w:shd w:fill="F3F6FA"/>
            <w:tcMar>
              <w:top w:w="100" w:type="dxa"/>
              <w:start w:w="110" w:type="dxa"/>
              <w:bottom w:w="100" w:type="dxa"/>
              <w:end w:w="110" w:type="dxa"/>
            </w:tcMar>
          </w:tcPr>
          <w:p>
            <w:pPr>
              <w:spacing w:after="0"/>
            </w:pPr>
            <w:r>
              <w:rPr>
                <w:sz w:val="17"/>
              </w:rPr>
              <w:t>Sorties, clôture, rapports et exports</w:t>
            </w:r>
          </w:p>
        </w:tc>
        <w:tc>
          <w:tcPr>
            <w:tcW w:type="dxa" w:w="3960"/>
            <w:vAlign w:val="center"/>
            <w:shd w:fill="F3F6FA"/>
            <w:tcMar>
              <w:top w:w="100" w:type="dxa"/>
              <w:start w:w="110" w:type="dxa"/>
              <w:bottom w:w="100" w:type="dxa"/>
              <w:end w:w="110" w:type="dxa"/>
            </w:tcMar>
          </w:tcPr>
          <w:p>
            <w:pPr>
              <w:spacing w:after="0"/>
            </w:pPr>
            <w:r>
              <w:rPr>
                <w:sz w:val="17"/>
              </w:rPr>
              <w:t>Rapprochement des totaux validé.</w:t>
            </w:r>
          </w:p>
        </w:tc>
      </w:tr>
      <w:tr>
        <w:tc>
          <w:tcPr>
            <w:tcW w:type="dxa" w:w="1152"/>
            <w:vAlign w:val="center"/>
            <w:tcMar>
              <w:top w:w="100" w:type="dxa"/>
              <w:start w:w="110" w:type="dxa"/>
              <w:bottom w:w="100" w:type="dxa"/>
              <w:end w:w="110" w:type="dxa"/>
            </w:tcMar>
          </w:tcPr>
          <w:p>
            <w:pPr>
              <w:spacing w:after="0"/>
            </w:pPr>
            <w:r>
              <w:rPr>
                <w:sz w:val="17"/>
              </w:rPr>
              <w:t>Lot 6</w:t>
            </w:r>
          </w:p>
        </w:tc>
        <w:tc>
          <w:tcPr>
            <w:tcW w:type="dxa" w:w="4608"/>
            <w:vAlign w:val="center"/>
            <w:tcMar>
              <w:top w:w="100" w:type="dxa"/>
              <w:start w:w="110" w:type="dxa"/>
              <w:bottom w:w="100" w:type="dxa"/>
              <w:end w:w="110" w:type="dxa"/>
            </w:tcMar>
          </w:tcPr>
          <w:p>
            <w:pPr>
              <w:spacing w:after="0"/>
            </w:pPr>
            <w:r>
              <w:rPr>
                <w:sz w:val="17"/>
              </w:rPr>
              <w:t>Import initial, formation, pilote, sauvegarde et mise en production</w:t>
            </w:r>
          </w:p>
        </w:tc>
        <w:tc>
          <w:tcPr>
            <w:tcW w:type="dxa" w:w="3960"/>
            <w:vAlign w:val="center"/>
            <w:tcMar>
              <w:top w:w="100" w:type="dxa"/>
              <w:start w:w="110" w:type="dxa"/>
              <w:bottom w:w="100" w:type="dxa"/>
              <w:end w:w="110" w:type="dxa"/>
            </w:tcMar>
          </w:tcPr>
          <w:p>
            <w:pPr>
              <w:spacing w:after="0"/>
            </w:pPr>
            <w:r>
              <w:rPr>
                <w:sz w:val="17"/>
              </w:rPr>
              <w:t>Recette utilisateur et restauration testée.</w:t>
            </w:r>
          </w:p>
        </w:tc>
      </w:tr>
    </w:tbl>
    <w:p>
      <w:pPr>
        <w:spacing w:after="20"/>
      </w:pPr>
    </w:p>
    <w:p>
      <w:r>
        <w:t>Il est déconseillé de lancer le développement avant d’avoir collecté les classes exactes, tarifs, dates d’échéance, règles de remise, catégories de sorties et modèle de reçu. Ces données déterminent les règles et les tests.</w:t>
      </w:r>
    </w:p>
    <w:p>
      <w:pPr>
        <w:pStyle w:val="Heading1"/>
        <w:keepNext/>
      </w:pPr>
      <w:r>
        <w:t>18 Décisions métier à obtenir de Shakespeare Academy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800"/>
            <w:shd w:fill="17365D"/>
            <w:vAlign w:val="center"/>
            <w:tcMar>
              <w:top w:w="100" w:type="dxa"/>
              <w:start w:w="110" w:type="dxa"/>
              <w:bottom w:w="100" w:type="dxa"/>
              <w:end w:w="110" w:type="dxa"/>
            </w:tcMar>
          </w:tcPr>
          <w:p>
            <w:r>
              <w:rPr>
                <w:b/>
                <w:color w:val="FFFFFF"/>
                <w:sz w:val="18"/>
              </w:rPr>
              <w:t>Sujet</w:t>
            </w:r>
          </w:p>
        </w:tc>
        <w:tc>
          <w:tcPr>
            <w:tcW w:type="dxa" w:w="7920"/>
            <w:shd w:fill="17365D"/>
            <w:vAlign w:val="center"/>
            <w:tcMar>
              <w:top w:w="100" w:type="dxa"/>
              <w:start w:w="110" w:type="dxa"/>
              <w:bottom w:w="100" w:type="dxa"/>
              <w:end w:w="110" w:type="dxa"/>
            </w:tcMar>
          </w:tcPr>
          <w:p>
            <w:r>
              <w:rPr>
                <w:b/>
                <w:color w:val="FFFFFF"/>
                <w:sz w:val="18"/>
              </w:rPr>
              <w:t>Question à trancher</w:t>
            </w:r>
          </w:p>
        </w:tc>
      </w:tr>
      <w:tr>
        <w:tc>
          <w:tcPr>
            <w:tcW w:type="dxa" w:w="1800"/>
            <w:vAlign w:val="center"/>
            <w:tcMar>
              <w:top w:w="100" w:type="dxa"/>
              <w:start w:w="110" w:type="dxa"/>
              <w:bottom w:w="100" w:type="dxa"/>
              <w:end w:w="110" w:type="dxa"/>
            </w:tcMar>
          </w:tcPr>
          <w:p>
            <w:pPr>
              <w:spacing w:after="0"/>
            </w:pPr>
            <w:r>
              <w:rPr>
                <w:sz w:val="17"/>
              </w:rPr>
              <w:t>Données académiques</w:t>
            </w:r>
          </w:p>
        </w:tc>
        <w:tc>
          <w:tcPr>
            <w:tcW w:type="dxa" w:w="7920"/>
            <w:vAlign w:val="center"/>
            <w:tcMar>
              <w:top w:w="100" w:type="dxa"/>
              <w:start w:w="110" w:type="dxa"/>
              <w:bottom w:w="100" w:type="dxa"/>
              <w:end w:w="110" w:type="dxa"/>
            </w:tcMar>
          </w:tcPr>
          <w:p>
            <w:pPr>
              <w:spacing w:after="0"/>
            </w:pPr>
            <w:r>
              <w:rPr>
                <w:sz w:val="17"/>
              </w:rPr>
              <w:t>Liste officielle des niveaux et classes des deux sections ; séries du lycée ; capacités.</w:t>
            </w:r>
          </w:p>
        </w:tc>
      </w:tr>
      <w:tr>
        <w:tc>
          <w:tcPr>
            <w:tcW w:type="dxa" w:w="1800"/>
            <w:vAlign w:val="center"/>
            <w:shd w:fill="F3F6FA"/>
            <w:tcMar>
              <w:top w:w="100" w:type="dxa"/>
              <w:start w:w="110" w:type="dxa"/>
              <w:bottom w:w="100" w:type="dxa"/>
              <w:end w:w="110" w:type="dxa"/>
            </w:tcMar>
          </w:tcPr>
          <w:p>
            <w:pPr>
              <w:spacing w:after="0"/>
            </w:pPr>
            <w:r>
              <w:rPr>
                <w:sz w:val="17"/>
              </w:rPr>
              <w:t>Frais</w:t>
            </w:r>
          </w:p>
        </w:tc>
        <w:tc>
          <w:tcPr>
            <w:tcW w:type="dxa" w:w="7920"/>
            <w:vAlign w:val="center"/>
            <w:shd w:fill="F3F6FA"/>
            <w:tcMar>
              <w:top w:w="100" w:type="dxa"/>
              <w:start w:w="110" w:type="dxa"/>
              <w:bottom w:w="100" w:type="dxa"/>
              <w:end w:w="110" w:type="dxa"/>
            </w:tcMar>
          </w:tcPr>
          <w:p>
            <w:pPr>
              <w:spacing w:after="0"/>
            </w:pPr>
            <w:r>
              <w:rPr>
                <w:sz w:val="17"/>
              </w:rPr>
              <w:t>Montants d’inscription, préinscription et écolage par cycle ou niveau ; autres frais.</w:t>
            </w:r>
          </w:p>
        </w:tc>
      </w:tr>
      <w:tr>
        <w:tc>
          <w:tcPr>
            <w:tcW w:type="dxa" w:w="1800"/>
            <w:vAlign w:val="center"/>
            <w:tcMar>
              <w:top w:w="100" w:type="dxa"/>
              <w:start w:w="110" w:type="dxa"/>
              <w:bottom w:w="100" w:type="dxa"/>
              <w:end w:w="110" w:type="dxa"/>
            </w:tcMar>
          </w:tcPr>
          <w:p>
            <w:pPr>
              <w:spacing w:after="0"/>
            </w:pPr>
            <w:r>
              <w:rPr>
                <w:sz w:val="17"/>
              </w:rPr>
              <w:t>Tranches</w:t>
            </w:r>
          </w:p>
        </w:tc>
        <w:tc>
          <w:tcPr>
            <w:tcW w:type="dxa" w:w="7920"/>
            <w:vAlign w:val="center"/>
            <w:tcMar>
              <w:top w:w="100" w:type="dxa"/>
              <w:start w:w="110" w:type="dxa"/>
              <w:bottom w:w="100" w:type="dxa"/>
              <w:end w:w="110" w:type="dxa"/>
            </w:tcMar>
          </w:tcPr>
          <w:p>
            <w:pPr>
              <w:spacing w:after="0"/>
            </w:pPr>
            <w:r>
              <w:rPr>
                <w:sz w:val="17"/>
              </w:rPr>
              <w:t>Montant exact et date limite de chacune des trois tranches ; délai de grâce.</w:t>
            </w:r>
          </w:p>
        </w:tc>
      </w:tr>
      <w:tr>
        <w:tc>
          <w:tcPr>
            <w:tcW w:type="dxa" w:w="1800"/>
            <w:vAlign w:val="center"/>
            <w:shd w:fill="F3F6FA"/>
            <w:tcMar>
              <w:top w:w="100" w:type="dxa"/>
              <w:start w:w="110" w:type="dxa"/>
              <w:bottom w:w="100" w:type="dxa"/>
              <w:end w:w="110" w:type="dxa"/>
            </w:tcMar>
          </w:tcPr>
          <w:p>
            <w:pPr>
              <w:spacing w:after="0"/>
            </w:pPr>
            <w:r>
              <w:rPr>
                <w:sz w:val="17"/>
              </w:rPr>
              <w:t>Paiements</w:t>
            </w:r>
          </w:p>
        </w:tc>
        <w:tc>
          <w:tcPr>
            <w:tcW w:type="dxa" w:w="7920"/>
            <w:vAlign w:val="center"/>
            <w:shd w:fill="F3F6FA"/>
            <w:tcMar>
              <w:top w:w="100" w:type="dxa"/>
              <w:start w:w="110" w:type="dxa"/>
              <w:bottom w:w="100" w:type="dxa"/>
              <w:end w:w="110" w:type="dxa"/>
            </w:tcMar>
          </w:tcPr>
          <w:p>
            <w:pPr>
              <w:spacing w:after="0"/>
            </w:pPr>
            <w:r>
              <w:rPr>
                <w:sz w:val="17"/>
              </w:rPr>
              <w:t>Paiement partiel autorisé ? avance autorisée ? ordre obligatoire des dettes ?</w:t>
            </w:r>
          </w:p>
        </w:tc>
      </w:tr>
      <w:tr>
        <w:tc>
          <w:tcPr>
            <w:tcW w:type="dxa" w:w="1800"/>
            <w:vAlign w:val="center"/>
            <w:tcMar>
              <w:top w:w="100" w:type="dxa"/>
              <w:start w:w="110" w:type="dxa"/>
              <w:bottom w:w="100" w:type="dxa"/>
              <w:end w:w="110" w:type="dxa"/>
            </w:tcMar>
          </w:tcPr>
          <w:p>
            <w:pPr>
              <w:spacing w:after="0"/>
            </w:pPr>
            <w:r>
              <w:rPr>
                <w:sz w:val="17"/>
              </w:rPr>
              <w:t>Réinscription</w:t>
            </w:r>
          </w:p>
        </w:tc>
        <w:tc>
          <w:tcPr>
            <w:tcW w:type="dxa" w:w="7920"/>
            <w:vAlign w:val="center"/>
            <w:tcMar>
              <w:top w:w="100" w:type="dxa"/>
              <w:start w:w="110" w:type="dxa"/>
              <w:bottom w:w="100" w:type="dxa"/>
              <w:end w:w="110" w:type="dxa"/>
            </w:tcMar>
          </w:tcPr>
          <w:p>
            <w:pPr>
              <w:spacing w:after="0"/>
            </w:pPr>
            <w:r>
              <w:rPr>
                <w:sz w:val="17"/>
              </w:rPr>
              <w:t>Les arriérés bloquent-ils la réinscription ? qui peut déroger ?</w:t>
            </w:r>
          </w:p>
        </w:tc>
      </w:tr>
      <w:tr>
        <w:tc>
          <w:tcPr>
            <w:tcW w:type="dxa" w:w="1800"/>
            <w:vAlign w:val="center"/>
            <w:shd w:fill="F3F6FA"/>
            <w:tcMar>
              <w:top w:w="100" w:type="dxa"/>
              <w:start w:w="110" w:type="dxa"/>
              <w:bottom w:w="100" w:type="dxa"/>
              <w:end w:w="110" w:type="dxa"/>
            </w:tcMar>
          </w:tcPr>
          <w:p>
            <w:pPr>
              <w:spacing w:after="0"/>
            </w:pPr>
            <w:r>
              <w:rPr>
                <w:sz w:val="17"/>
              </w:rPr>
              <w:t>Remises</w:t>
            </w:r>
          </w:p>
        </w:tc>
        <w:tc>
          <w:tcPr>
            <w:tcW w:type="dxa" w:w="7920"/>
            <w:vAlign w:val="center"/>
            <w:shd w:fill="F3F6FA"/>
            <w:tcMar>
              <w:top w:w="100" w:type="dxa"/>
              <w:start w:w="110" w:type="dxa"/>
              <w:bottom w:w="100" w:type="dxa"/>
              <w:end w:w="110" w:type="dxa"/>
            </w:tcMar>
          </w:tcPr>
          <w:p>
            <w:pPr>
              <w:spacing w:after="0"/>
            </w:pPr>
            <w:r>
              <w:rPr>
                <w:sz w:val="17"/>
              </w:rPr>
              <w:t>Types, plafonds et personnes habilitées à approuver.</w:t>
            </w:r>
          </w:p>
        </w:tc>
      </w:tr>
      <w:tr>
        <w:tc>
          <w:tcPr>
            <w:tcW w:type="dxa" w:w="1800"/>
            <w:vAlign w:val="center"/>
            <w:tcMar>
              <w:top w:w="100" w:type="dxa"/>
              <w:start w:w="110" w:type="dxa"/>
              <w:bottom w:w="100" w:type="dxa"/>
              <w:end w:w="110" w:type="dxa"/>
            </w:tcMar>
          </w:tcPr>
          <w:p>
            <w:pPr>
              <w:spacing w:after="0"/>
            </w:pPr>
            <w:r>
              <w:rPr>
                <w:sz w:val="17"/>
              </w:rPr>
              <w:t>Caisse</w:t>
            </w:r>
          </w:p>
        </w:tc>
        <w:tc>
          <w:tcPr>
            <w:tcW w:type="dxa" w:w="7920"/>
            <w:vAlign w:val="center"/>
            <w:tcMar>
              <w:top w:w="100" w:type="dxa"/>
              <w:start w:w="110" w:type="dxa"/>
              <w:bottom w:w="100" w:type="dxa"/>
              <w:end w:w="110" w:type="dxa"/>
            </w:tcMar>
          </w:tcPr>
          <w:p>
            <w:pPr>
              <w:spacing w:after="0"/>
            </w:pPr>
            <w:r>
              <w:rPr>
                <w:sz w:val="17"/>
              </w:rPr>
              <w:t>Nombre de caisses, fonds initial, modes de paiement et règle de réouverture.</w:t>
            </w:r>
          </w:p>
        </w:tc>
      </w:tr>
      <w:tr>
        <w:tc>
          <w:tcPr>
            <w:tcW w:type="dxa" w:w="1800"/>
            <w:vAlign w:val="center"/>
            <w:shd w:fill="F3F6FA"/>
            <w:tcMar>
              <w:top w:w="100" w:type="dxa"/>
              <w:start w:w="110" w:type="dxa"/>
              <w:bottom w:w="100" w:type="dxa"/>
              <w:end w:w="110" w:type="dxa"/>
            </w:tcMar>
          </w:tcPr>
          <w:p>
            <w:pPr>
              <w:spacing w:after="0"/>
            </w:pPr>
            <w:r>
              <w:rPr>
                <w:sz w:val="17"/>
              </w:rPr>
              <w:t>Sorties</w:t>
            </w:r>
          </w:p>
        </w:tc>
        <w:tc>
          <w:tcPr>
            <w:tcW w:type="dxa" w:w="7920"/>
            <w:vAlign w:val="center"/>
            <w:shd w:fill="F3F6FA"/>
            <w:tcMar>
              <w:top w:w="100" w:type="dxa"/>
              <w:start w:w="110" w:type="dxa"/>
              <w:bottom w:w="100" w:type="dxa"/>
              <w:end w:w="110" w:type="dxa"/>
            </w:tcMar>
          </w:tcPr>
          <w:p>
            <w:pPr>
              <w:spacing w:after="0"/>
            </w:pPr>
            <w:r>
              <w:rPr>
                <w:sz w:val="17"/>
              </w:rPr>
              <w:t>Catégories, seuil de double validation et pièces obligatoires.</w:t>
            </w:r>
          </w:p>
        </w:tc>
      </w:tr>
      <w:tr>
        <w:tc>
          <w:tcPr>
            <w:tcW w:type="dxa" w:w="1800"/>
            <w:vAlign w:val="center"/>
            <w:tcMar>
              <w:top w:w="100" w:type="dxa"/>
              <w:start w:w="110" w:type="dxa"/>
              <w:bottom w:w="100" w:type="dxa"/>
              <w:end w:w="110" w:type="dxa"/>
            </w:tcMar>
          </w:tcPr>
          <w:p>
            <w:pPr>
              <w:spacing w:after="0"/>
            </w:pPr>
            <w:r>
              <w:rPr>
                <w:sz w:val="17"/>
              </w:rPr>
              <w:t>Reçus</w:t>
            </w:r>
          </w:p>
        </w:tc>
        <w:tc>
          <w:tcPr>
            <w:tcW w:type="dxa" w:w="7920"/>
            <w:vAlign w:val="center"/>
            <w:tcMar>
              <w:top w:w="100" w:type="dxa"/>
              <w:start w:w="110" w:type="dxa"/>
              <w:bottom w:w="100" w:type="dxa"/>
              <w:end w:w="110" w:type="dxa"/>
            </w:tcMar>
          </w:tcPr>
          <w:p>
            <w:pPr>
              <w:spacing w:after="0"/>
            </w:pPr>
            <w:r>
              <w:rPr>
                <w:sz w:val="17"/>
              </w:rPr>
              <w:t>Format papier, nombre de copies, logo, mentions, signatures et numérotation existante.</w:t>
            </w:r>
          </w:p>
        </w:tc>
      </w:tr>
      <w:tr>
        <w:tc>
          <w:tcPr>
            <w:tcW w:type="dxa" w:w="1800"/>
            <w:vAlign w:val="center"/>
            <w:shd w:fill="F3F6FA"/>
            <w:tcMar>
              <w:top w:w="100" w:type="dxa"/>
              <w:start w:w="110" w:type="dxa"/>
              <w:bottom w:w="100" w:type="dxa"/>
              <w:end w:w="110" w:type="dxa"/>
            </w:tcMar>
          </w:tcPr>
          <w:p>
            <w:pPr>
              <w:spacing w:after="0"/>
            </w:pPr>
            <w:r>
              <w:rPr>
                <w:sz w:val="17"/>
              </w:rPr>
              <w:t>Données élèves</w:t>
            </w:r>
          </w:p>
        </w:tc>
        <w:tc>
          <w:tcPr>
            <w:tcW w:type="dxa" w:w="7920"/>
            <w:vAlign w:val="center"/>
            <w:shd w:fill="F3F6FA"/>
            <w:tcMar>
              <w:top w:w="100" w:type="dxa"/>
              <w:start w:w="110" w:type="dxa"/>
              <w:bottom w:w="100" w:type="dxa"/>
              <w:end w:w="110" w:type="dxa"/>
            </w:tcMar>
          </w:tcPr>
          <w:p>
            <w:pPr>
              <w:spacing w:after="0"/>
            </w:pPr>
            <w:r>
              <w:rPr>
                <w:sz w:val="17"/>
              </w:rPr>
              <w:t>Champs obligatoires, documents demandés et règles de matricule.</w:t>
            </w:r>
          </w:p>
        </w:tc>
      </w:tr>
      <w:tr>
        <w:tc>
          <w:tcPr>
            <w:tcW w:type="dxa" w:w="1800"/>
            <w:vAlign w:val="center"/>
            <w:tcMar>
              <w:top w:w="100" w:type="dxa"/>
              <w:start w:w="110" w:type="dxa"/>
              <w:bottom w:w="100" w:type="dxa"/>
              <w:end w:w="110" w:type="dxa"/>
            </w:tcMar>
          </w:tcPr>
          <w:p>
            <w:pPr>
              <w:spacing w:after="0"/>
            </w:pPr>
            <w:r>
              <w:rPr>
                <w:sz w:val="17"/>
              </w:rPr>
              <w:t>Historique</w:t>
            </w:r>
          </w:p>
        </w:tc>
        <w:tc>
          <w:tcPr>
            <w:tcW w:type="dxa" w:w="7920"/>
            <w:vAlign w:val="center"/>
            <w:tcMar>
              <w:top w:w="100" w:type="dxa"/>
              <w:start w:w="110" w:type="dxa"/>
              <w:bottom w:w="100" w:type="dxa"/>
              <w:end w:w="110" w:type="dxa"/>
            </w:tcMar>
          </w:tcPr>
          <w:p>
            <w:pPr>
              <w:spacing w:after="0"/>
            </w:pPr>
            <w:r>
              <w:rPr>
                <w:sz w:val="17"/>
              </w:rPr>
              <w:t>Années et soldes antérieurs à importer ; qualité des fichiers existants.</w:t>
            </w:r>
          </w:p>
        </w:tc>
      </w:tr>
      <w:tr>
        <w:tc>
          <w:tcPr>
            <w:tcW w:type="dxa" w:w="1800"/>
            <w:vAlign w:val="center"/>
            <w:shd w:fill="F3F6FA"/>
            <w:tcMar>
              <w:top w:w="100" w:type="dxa"/>
              <w:start w:w="110" w:type="dxa"/>
              <w:bottom w:w="100" w:type="dxa"/>
              <w:end w:w="110" w:type="dxa"/>
            </w:tcMar>
          </w:tcPr>
          <w:p>
            <w:pPr>
              <w:spacing w:after="0"/>
            </w:pPr>
            <w:r>
              <w:rPr>
                <w:sz w:val="17"/>
              </w:rPr>
              <w:t>Infrastructure</w:t>
            </w:r>
          </w:p>
        </w:tc>
        <w:tc>
          <w:tcPr>
            <w:tcW w:type="dxa" w:w="7920"/>
            <w:vAlign w:val="center"/>
            <w:shd w:fill="F3F6FA"/>
            <w:tcMar>
              <w:top w:w="100" w:type="dxa"/>
              <w:start w:w="110" w:type="dxa"/>
              <w:bottom w:w="100" w:type="dxa"/>
              <w:end w:w="110" w:type="dxa"/>
            </w:tcMar>
          </w:tcPr>
          <w:p>
            <w:pPr>
              <w:spacing w:after="0"/>
            </w:pPr>
            <w:r>
              <w:rPr>
                <w:sz w:val="17"/>
              </w:rPr>
              <w:t>Nombre d’utilisateurs simultanés, qualité Internet, imprimantes et politique d’hébergement.</w:t>
            </w:r>
          </w:p>
        </w:tc>
      </w:tr>
    </w:tbl>
    <w:p>
      <w:pPr>
        <w:spacing w:after="20"/>
      </w:pPr>
    </w:p>
    <w:p>
      <w:pPr>
        <w:pStyle w:val="Heading1"/>
        <w:keepNext/>
      </w:pPr>
      <w:r>
        <w:t>19 Risques et mesures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880"/>
            <w:shd w:fill="17365D"/>
            <w:vAlign w:val="center"/>
            <w:tcMar>
              <w:top w:w="100" w:type="dxa"/>
              <w:start w:w="110" w:type="dxa"/>
              <w:bottom w:w="100" w:type="dxa"/>
              <w:end w:w="110" w:type="dxa"/>
            </w:tcMar>
          </w:tcPr>
          <w:p>
            <w:r>
              <w:rPr>
                <w:b/>
                <w:color w:val="FFFFFF"/>
                <w:sz w:val="18"/>
              </w:rPr>
              <w:t>Risque</w:t>
            </w:r>
          </w:p>
        </w:tc>
        <w:tc>
          <w:tcPr>
            <w:tcW w:type="dxa" w:w="2448"/>
            <w:shd w:fill="17365D"/>
            <w:vAlign w:val="center"/>
            <w:tcMar>
              <w:top w:w="100" w:type="dxa"/>
              <w:start w:w="110" w:type="dxa"/>
              <w:bottom w:w="100" w:type="dxa"/>
              <w:end w:w="110" w:type="dxa"/>
            </w:tcMar>
          </w:tcPr>
          <w:p>
            <w:r>
              <w:rPr>
                <w:b/>
                <w:color w:val="FFFFFF"/>
                <w:sz w:val="18"/>
              </w:rPr>
              <w:t>Impact</w:t>
            </w:r>
          </w:p>
        </w:tc>
        <w:tc>
          <w:tcPr>
            <w:tcW w:type="dxa" w:w="4392"/>
            <w:shd w:fill="17365D"/>
            <w:vAlign w:val="center"/>
            <w:tcMar>
              <w:top w:w="100" w:type="dxa"/>
              <w:start w:w="110" w:type="dxa"/>
              <w:bottom w:w="100" w:type="dxa"/>
              <w:end w:w="110" w:type="dxa"/>
            </w:tcMar>
          </w:tcPr>
          <w:p>
            <w:r>
              <w:rPr>
                <w:b/>
                <w:color w:val="FFFFFF"/>
                <w:sz w:val="18"/>
              </w:rPr>
              <w:t>Mesure</w:t>
            </w:r>
          </w:p>
        </w:tc>
      </w:tr>
      <w:tr>
        <w:tc>
          <w:tcPr>
            <w:tcW w:type="dxa" w:w="2880"/>
            <w:vAlign w:val="center"/>
            <w:tcMar>
              <w:top w:w="100" w:type="dxa"/>
              <w:start w:w="110" w:type="dxa"/>
              <w:bottom w:w="100" w:type="dxa"/>
              <w:end w:w="110" w:type="dxa"/>
            </w:tcMar>
          </w:tcPr>
          <w:p>
            <w:pPr>
              <w:spacing w:after="0"/>
            </w:pPr>
            <w:r>
              <w:rPr>
                <w:sz w:val="17"/>
              </w:rPr>
              <w:t>Tarifs mal définis</w:t>
            </w:r>
          </w:p>
        </w:tc>
        <w:tc>
          <w:tcPr>
            <w:tcW w:type="dxa" w:w="2448"/>
            <w:vAlign w:val="center"/>
            <w:tcMar>
              <w:top w:w="100" w:type="dxa"/>
              <w:start w:w="110" w:type="dxa"/>
              <w:bottom w:w="100" w:type="dxa"/>
              <w:end w:w="110" w:type="dxa"/>
            </w:tcMar>
          </w:tcPr>
          <w:p>
            <w:pPr>
              <w:spacing w:after="0"/>
            </w:pPr>
            <w:r>
              <w:rPr>
                <w:sz w:val="17"/>
              </w:rPr>
              <w:t>Soldes et reçus erronés</w:t>
            </w:r>
          </w:p>
        </w:tc>
        <w:tc>
          <w:tcPr>
            <w:tcW w:type="dxa" w:w="4392"/>
            <w:vAlign w:val="center"/>
            <w:tcMar>
              <w:top w:w="100" w:type="dxa"/>
              <w:start w:w="110" w:type="dxa"/>
              <w:bottom w:w="100" w:type="dxa"/>
              <w:end w:w="110" w:type="dxa"/>
            </w:tcMar>
          </w:tcPr>
          <w:p>
            <w:pPr>
              <w:spacing w:after="0"/>
            </w:pPr>
            <w:r>
              <w:rPr>
                <w:sz w:val="17"/>
              </w:rPr>
              <w:t>Valider une grille officielle avant configuration.</w:t>
            </w:r>
          </w:p>
        </w:tc>
      </w:tr>
      <w:tr>
        <w:tc>
          <w:tcPr>
            <w:tcW w:type="dxa" w:w="2880"/>
            <w:vAlign w:val="center"/>
            <w:shd w:fill="F3F6FA"/>
            <w:tcMar>
              <w:top w:w="100" w:type="dxa"/>
              <w:start w:w="110" w:type="dxa"/>
              <w:bottom w:w="100" w:type="dxa"/>
              <w:end w:w="110" w:type="dxa"/>
            </w:tcMar>
          </w:tcPr>
          <w:p>
            <w:pPr>
              <w:spacing w:after="0"/>
            </w:pPr>
            <w:r>
              <w:rPr>
                <w:sz w:val="17"/>
              </w:rPr>
              <w:t>Doublons élèves</w:t>
            </w:r>
          </w:p>
        </w:tc>
        <w:tc>
          <w:tcPr>
            <w:tcW w:type="dxa" w:w="2448"/>
            <w:vAlign w:val="center"/>
            <w:shd w:fill="F3F6FA"/>
            <w:tcMar>
              <w:top w:w="100" w:type="dxa"/>
              <w:start w:w="110" w:type="dxa"/>
              <w:bottom w:w="100" w:type="dxa"/>
              <w:end w:w="110" w:type="dxa"/>
            </w:tcMar>
          </w:tcPr>
          <w:p>
            <w:pPr>
              <w:spacing w:after="0"/>
            </w:pPr>
            <w:r>
              <w:rPr>
                <w:sz w:val="17"/>
              </w:rPr>
              <w:t>Historique fragmenté</w:t>
            </w:r>
          </w:p>
        </w:tc>
        <w:tc>
          <w:tcPr>
            <w:tcW w:type="dxa" w:w="4392"/>
            <w:vAlign w:val="center"/>
            <w:shd w:fill="F3F6FA"/>
            <w:tcMar>
              <w:top w:w="100" w:type="dxa"/>
              <w:start w:w="110" w:type="dxa"/>
              <w:bottom w:w="100" w:type="dxa"/>
              <w:end w:w="110" w:type="dxa"/>
            </w:tcMar>
          </w:tcPr>
          <w:p>
            <w:pPr>
              <w:spacing w:after="0"/>
            </w:pPr>
            <w:r>
              <w:rPr>
                <w:sz w:val="17"/>
              </w:rPr>
              <w:t>Recherche préalable, contraintes et procédure de fusion administrée.</w:t>
            </w:r>
          </w:p>
        </w:tc>
      </w:tr>
      <w:tr>
        <w:tc>
          <w:tcPr>
            <w:tcW w:type="dxa" w:w="2880"/>
            <w:vAlign w:val="center"/>
            <w:tcMar>
              <w:top w:w="100" w:type="dxa"/>
              <w:start w:w="110" w:type="dxa"/>
              <w:bottom w:w="100" w:type="dxa"/>
              <w:end w:w="110" w:type="dxa"/>
            </w:tcMar>
          </w:tcPr>
          <w:p>
            <w:pPr>
              <w:spacing w:after="0"/>
            </w:pPr>
            <w:r>
              <w:rPr>
                <w:sz w:val="17"/>
              </w:rPr>
              <w:t>Modification d’encaissement</w:t>
            </w:r>
          </w:p>
        </w:tc>
        <w:tc>
          <w:tcPr>
            <w:tcW w:type="dxa" w:w="2448"/>
            <w:vAlign w:val="center"/>
            <w:tcMar>
              <w:top w:w="100" w:type="dxa"/>
              <w:start w:w="110" w:type="dxa"/>
              <w:bottom w:w="100" w:type="dxa"/>
              <w:end w:w="110" w:type="dxa"/>
            </w:tcMar>
          </w:tcPr>
          <w:p>
            <w:pPr>
              <w:spacing w:after="0"/>
            </w:pPr>
            <w:r>
              <w:rPr>
                <w:sz w:val="17"/>
              </w:rPr>
              <w:t>Fraude ou incohérence</w:t>
            </w:r>
          </w:p>
        </w:tc>
        <w:tc>
          <w:tcPr>
            <w:tcW w:type="dxa" w:w="4392"/>
            <w:vAlign w:val="center"/>
            <w:tcMar>
              <w:top w:w="100" w:type="dxa"/>
              <w:start w:w="110" w:type="dxa"/>
              <w:bottom w:w="100" w:type="dxa"/>
              <w:end w:w="110" w:type="dxa"/>
            </w:tcMar>
          </w:tcPr>
          <w:p>
            <w:pPr>
              <w:spacing w:after="0"/>
            </w:pPr>
            <w:r>
              <w:rPr>
                <w:sz w:val="17"/>
              </w:rPr>
              <w:t>Immutabilité et annulation avec approbation.</w:t>
            </w:r>
          </w:p>
        </w:tc>
      </w:tr>
      <w:tr>
        <w:tc>
          <w:tcPr>
            <w:tcW w:type="dxa" w:w="2880"/>
            <w:vAlign w:val="center"/>
            <w:shd w:fill="F3F6FA"/>
            <w:tcMar>
              <w:top w:w="100" w:type="dxa"/>
              <w:start w:w="110" w:type="dxa"/>
              <w:bottom w:w="100" w:type="dxa"/>
              <w:end w:w="110" w:type="dxa"/>
            </w:tcMar>
          </w:tcPr>
          <w:p>
            <w:pPr>
              <w:spacing w:after="0"/>
            </w:pPr>
            <w:r>
              <w:rPr>
                <w:sz w:val="17"/>
              </w:rPr>
              <w:t>Écart de caisse non traité</w:t>
            </w:r>
          </w:p>
        </w:tc>
        <w:tc>
          <w:tcPr>
            <w:tcW w:type="dxa" w:w="2448"/>
            <w:vAlign w:val="center"/>
            <w:shd w:fill="F3F6FA"/>
            <w:tcMar>
              <w:top w:w="100" w:type="dxa"/>
              <w:start w:w="110" w:type="dxa"/>
              <w:bottom w:w="100" w:type="dxa"/>
              <w:end w:w="110" w:type="dxa"/>
            </w:tcMar>
          </w:tcPr>
          <w:p>
            <w:pPr>
              <w:spacing w:after="0"/>
            </w:pPr>
            <w:r>
              <w:rPr>
                <w:sz w:val="17"/>
              </w:rPr>
              <w:t>Perte financière</w:t>
            </w:r>
          </w:p>
        </w:tc>
        <w:tc>
          <w:tcPr>
            <w:tcW w:type="dxa" w:w="4392"/>
            <w:vAlign w:val="center"/>
            <w:shd w:fill="F3F6FA"/>
            <w:tcMar>
              <w:top w:w="100" w:type="dxa"/>
              <w:start w:w="110" w:type="dxa"/>
              <w:bottom w:w="100" w:type="dxa"/>
              <w:end w:w="110" w:type="dxa"/>
            </w:tcMar>
          </w:tcPr>
          <w:p>
            <w:pPr>
              <w:spacing w:after="0"/>
            </w:pPr>
            <w:r>
              <w:rPr>
                <w:sz w:val="17"/>
              </w:rPr>
              <w:t>Comptage par mode, commentaire et validation direction.</w:t>
            </w:r>
          </w:p>
        </w:tc>
      </w:tr>
      <w:tr>
        <w:tc>
          <w:tcPr>
            <w:tcW w:type="dxa" w:w="2880"/>
            <w:vAlign w:val="center"/>
            <w:tcMar>
              <w:top w:w="100" w:type="dxa"/>
              <w:start w:w="110" w:type="dxa"/>
              <w:bottom w:w="100" w:type="dxa"/>
              <w:end w:w="110" w:type="dxa"/>
            </w:tcMar>
          </w:tcPr>
          <w:p>
            <w:pPr>
              <w:spacing w:after="0"/>
            </w:pPr>
            <w:r>
              <w:rPr>
                <w:sz w:val="17"/>
              </w:rPr>
              <w:t>Connexion instable</w:t>
            </w:r>
          </w:p>
        </w:tc>
        <w:tc>
          <w:tcPr>
            <w:tcW w:type="dxa" w:w="2448"/>
            <w:vAlign w:val="center"/>
            <w:tcMar>
              <w:top w:w="100" w:type="dxa"/>
              <w:start w:w="110" w:type="dxa"/>
              <w:bottom w:w="100" w:type="dxa"/>
              <w:end w:w="110" w:type="dxa"/>
            </w:tcMar>
          </w:tcPr>
          <w:p>
            <w:pPr>
              <w:spacing w:after="0"/>
            </w:pPr>
            <w:r>
              <w:rPr>
                <w:sz w:val="17"/>
              </w:rPr>
              <w:t>Double clic ou transaction incertaine</w:t>
            </w:r>
          </w:p>
        </w:tc>
        <w:tc>
          <w:tcPr>
            <w:tcW w:type="dxa" w:w="4392"/>
            <w:vAlign w:val="center"/>
            <w:tcMar>
              <w:top w:w="100" w:type="dxa"/>
              <w:start w:w="110" w:type="dxa"/>
              <w:bottom w:w="100" w:type="dxa"/>
              <w:end w:w="110" w:type="dxa"/>
            </w:tcMar>
          </w:tcPr>
          <w:p>
            <w:pPr>
              <w:spacing w:after="0"/>
            </w:pPr>
            <w:r>
              <w:rPr>
                <w:sz w:val="17"/>
              </w:rPr>
              <w:t>Idempotence, reprise claire et accusé serveur.</w:t>
            </w:r>
          </w:p>
        </w:tc>
      </w:tr>
      <w:tr>
        <w:tc>
          <w:tcPr>
            <w:tcW w:type="dxa" w:w="2880"/>
            <w:vAlign w:val="center"/>
            <w:shd w:fill="F3F6FA"/>
            <w:tcMar>
              <w:top w:w="100" w:type="dxa"/>
              <w:start w:w="110" w:type="dxa"/>
              <w:bottom w:w="100" w:type="dxa"/>
              <w:end w:w="110" w:type="dxa"/>
            </w:tcMar>
          </w:tcPr>
          <w:p>
            <w:pPr>
              <w:spacing w:after="0"/>
            </w:pPr>
            <w:r>
              <w:rPr>
                <w:sz w:val="17"/>
              </w:rPr>
              <w:t>Import de mauvaise qualité</w:t>
            </w:r>
          </w:p>
        </w:tc>
        <w:tc>
          <w:tcPr>
            <w:tcW w:type="dxa" w:w="2448"/>
            <w:vAlign w:val="center"/>
            <w:shd w:fill="F3F6FA"/>
            <w:tcMar>
              <w:top w:w="100" w:type="dxa"/>
              <w:start w:w="110" w:type="dxa"/>
              <w:bottom w:w="100" w:type="dxa"/>
              <w:end w:w="110" w:type="dxa"/>
            </w:tcMar>
          </w:tcPr>
          <w:p>
            <w:pPr>
              <w:spacing w:after="0"/>
            </w:pPr>
            <w:r>
              <w:rPr>
                <w:sz w:val="17"/>
              </w:rPr>
              <w:t>Erreurs dès le lancement</w:t>
            </w:r>
          </w:p>
        </w:tc>
        <w:tc>
          <w:tcPr>
            <w:tcW w:type="dxa" w:w="4392"/>
            <w:vAlign w:val="center"/>
            <w:shd w:fill="F3F6FA"/>
            <w:tcMar>
              <w:top w:w="100" w:type="dxa"/>
              <w:start w:w="110" w:type="dxa"/>
              <w:bottom w:w="100" w:type="dxa"/>
              <w:end w:w="110" w:type="dxa"/>
            </w:tcMar>
          </w:tcPr>
          <w:p>
            <w:pPr>
              <w:spacing w:after="0"/>
            </w:pPr>
            <w:r>
              <w:rPr>
                <w:sz w:val="17"/>
              </w:rPr>
              <w:t>Nettoyage, import test, rapport d’anomalies et validation.</w:t>
            </w:r>
          </w:p>
        </w:tc>
      </w:tr>
      <w:tr>
        <w:tc>
          <w:tcPr>
            <w:tcW w:type="dxa" w:w="2880"/>
            <w:vAlign w:val="center"/>
            <w:tcMar>
              <w:top w:w="100" w:type="dxa"/>
              <w:start w:w="110" w:type="dxa"/>
              <w:bottom w:w="100" w:type="dxa"/>
              <w:end w:w="110" w:type="dxa"/>
            </w:tcMar>
          </w:tcPr>
          <w:p>
            <w:pPr>
              <w:spacing w:after="0"/>
            </w:pPr>
            <w:r>
              <w:rPr>
                <w:sz w:val="17"/>
              </w:rPr>
              <w:t>Complexité excessive</w:t>
            </w:r>
          </w:p>
        </w:tc>
        <w:tc>
          <w:tcPr>
            <w:tcW w:type="dxa" w:w="2448"/>
            <w:vAlign w:val="center"/>
            <w:tcMar>
              <w:top w:w="100" w:type="dxa"/>
              <w:start w:w="110" w:type="dxa"/>
              <w:bottom w:w="100" w:type="dxa"/>
              <w:end w:w="110" w:type="dxa"/>
            </w:tcMar>
          </w:tcPr>
          <w:p>
            <w:pPr>
              <w:spacing w:after="0"/>
            </w:pPr>
            <w:r>
              <w:rPr>
                <w:sz w:val="17"/>
              </w:rPr>
              <w:t>Faible adoption</w:t>
            </w:r>
          </w:p>
        </w:tc>
        <w:tc>
          <w:tcPr>
            <w:tcW w:type="dxa" w:w="4392"/>
            <w:vAlign w:val="center"/>
            <w:tcMar>
              <w:top w:w="100" w:type="dxa"/>
              <w:start w:w="110" w:type="dxa"/>
              <w:bottom w:w="100" w:type="dxa"/>
              <w:end w:w="110" w:type="dxa"/>
            </w:tcMar>
          </w:tcPr>
          <w:p>
            <w:pPr>
              <w:spacing w:after="0"/>
            </w:pPr>
            <w:r>
              <w:rPr>
                <w:sz w:val="17"/>
              </w:rPr>
              <w:t>Monolithe modulaire, écrans orientés tâches et pilote utilisateurs.</w:t>
            </w:r>
          </w:p>
        </w:tc>
      </w:tr>
      <w:tr>
        <w:tc>
          <w:tcPr>
            <w:tcW w:type="dxa" w:w="2880"/>
            <w:vAlign w:val="center"/>
            <w:shd w:fill="F3F6FA"/>
            <w:tcMar>
              <w:top w:w="100" w:type="dxa"/>
              <w:start w:w="110" w:type="dxa"/>
              <w:bottom w:w="100" w:type="dxa"/>
              <w:end w:w="110" w:type="dxa"/>
            </w:tcMar>
          </w:tcPr>
          <w:p>
            <w:pPr>
              <w:spacing w:after="0"/>
            </w:pPr>
            <w:r>
              <w:rPr>
                <w:sz w:val="17"/>
              </w:rPr>
              <w:t>Sauvegarde jamais testée</w:t>
            </w:r>
          </w:p>
        </w:tc>
        <w:tc>
          <w:tcPr>
            <w:tcW w:type="dxa" w:w="2448"/>
            <w:vAlign w:val="center"/>
            <w:shd w:fill="F3F6FA"/>
            <w:tcMar>
              <w:top w:w="100" w:type="dxa"/>
              <w:start w:w="110" w:type="dxa"/>
              <w:bottom w:w="100" w:type="dxa"/>
              <w:end w:w="110" w:type="dxa"/>
            </w:tcMar>
          </w:tcPr>
          <w:p>
            <w:pPr>
              <w:spacing w:after="0"/>
            </w:pPr>
            <w:r>
              <w:rPr>
                <w:sz w:val="17"/>
              </w:rPr>
              <w:t>Perte définitive</w:t>
            </w:r>
          </w:p>
        </w:tc>
        <w:tc>
          <w:tcPr>
            <w:tcW w:type="dxa" w:w="4392"/>
            <w:vAlign w:val="center"/>
            <w:shd w:fill="F3F6FA"/>
            <w:tcMar>
              <w:top w:w="100" w:type="dxa"/>
              <w:start w:w="110" w:type="dxa"/>
              <w:bottom w:w="100" w:type="dxa"/>
              <w:end w:w="110" w:type="dxa"/>
            </w:tcMar>
          </w:tcPr>
          <w:p>
            <w:pPr>
              <w:spacing w:after="0"/>
            </w:pPr>
            <w:r>
              <w:rPr>
                <w:sz w:val="17"/>
              </w:rPr>
              <w:t>Tests de restauration planifiés et tracés.</w:t>
            </w:r>
          </w:p>
        </w:tc>
      </w:tr>
    </w:tbl>
    <w:p>
      <w:pPr>
        <w:spacing w:after="20"/>
      </w:pPr>
    </w:p>
    <w:p>
      <w:pPr>
        <w:pStyle w:val="Heading1"/>
        <w:keepNext/>
      </w:pPr>
      <w:r>
        <w:t>20 Brief initial à remettre à Claude Code</w:t>
      </w:r>
    </w:p>
    <w:p>
      <w:r>
        <w:t>Le texte ci-dessous peut servir d’instruction de démarrage. Il ne remplace pas les décisions métier de la section 18.</w:t>
      </w:r>
    </w:p>
    <w:p>
      <w:pPr/>
      <w:r>
        <w:rPr>
          <w:rFonts w:ascii="Aptos" w:hAnsi="Aptos"/>
          <w:sz w:val="20"/>
        </w:rPr>
        <w:t>Construis le MVP web de gestion de Shakespeare Academy à Pointe-Noire selon ce document. Utilise un monolithe modulaire TypeScript avec Next.js pour l’interface, NestJS pour l’API, PostgreSQL et Prisma. Commence par produire les ADR, le schéma Prisma, les migrations, le jeu de données de démonstration et les contrats API avant les écrans. Implémente des modules séparés auth, users, academics, students, guardians, enrollments, fees, billing, payments, cash, expenses, receipts, reports, audit et settings. Les montants XAF sont des entiers. Les écritures financières sont immuables ; une correction crée une écriture inverse approuvée. Utilise des transactions de base de données, des contraintes uniques, des clés d’idempotence et des numéros de reçu générés côté serveur. Ajoute des tests unitaires pour les calculs, des tests d’intégration pour inscriptions et paiements, puis des tests end-to-end pour paiement, annulation et clôture. Ne simule aucune règle métier manquante : centralise les hypothèses dans un fichier DECISIONS_PENDING.md. Fournis Docker Compose, données de démonstration anonymes, scripts de sauvegarde et documentation d’installation. Développe lot par lot et exige la validation des critères d’acceptation avant de passer au lot suivant.</w:t>
      </w:r>
    </w:p>
    <w:p>
      <w:pPr>
        <w:pStyle w:val="Heading1"/>
        <w:keepNext/>
      </w:pPr>
      <w:r>
        <w:t>21 Définition de terminé pour le MVP</w:t>
      </w:r>
    </w:p>
    <w:p>
      <w:pPr>
        <w:pStyle w:val="ListBullet"/>
      </w:pPr>
      <w:r>
        <w:t>Tous les critères d’acceptation prioritaires passent dans l’environnement de recette.</w:t>
      </w:r>
    </w:p>
    <w:p>
      <w:pPr>
        <w:pStyle w:val="ListBullet"/>
      </w:pPr>
      <w:r>
        <w:t>Les rôles et permissions ont été testés avec des comptes distincts.</w:t>
      </w:r>
    </w:p>
    <w:p>
      <w:pPr>
        <w:pStyle w:val="ListBullet"/>
      </w:pPr>
      <w:r>
        <w:t>Les totaux de paiement, caisse, clôture et rapports sont rapprochés sur un jeu de test signé.</w:t>
      </w:r>
    </w:p>
    <w:p>
      <w:pPr>
        <w:pStyle w:val="ListBullet"/>
      </w:pPr>
      <w:r>
        <w:t>Les reçus A5 ou 80 mm sont validés sur les imprimantes réellement utilisées.</w:t>
      </w:r>
    </w:p>
    <w:p>
      <w:pPr>
        <w:pStyle w:val="ListBullet"/>
      </w:pPr>
      <w:r>
        <w:t>La sauvegarde et la restauration ont été exécutées avec succès.</w:t>
      </w:r>
    </w:p>
    <w:p>
      <w:pPr>
        <w:pStyle w:val="ListBullet"/>
      </w:pPr>
      <w:r>
        <w:t>Les utilisateurs clés ont suivi une formation et réalisé une journée pilote.</w:t>
      </w:r>
    </w:p>
    <w:p>
      <w:pPr>
        <w:pStyle w:val="ListBullet"/>
      </w:pPr>
      <w:r>
        <w:t>Les décisions métier, procédures d’annulation et clôture sont documentées.</w:t>
      </w:r>
    </w:p>
    <w:p>
      <w:pPr>
        <w:pStyle w:val="ListBullet"/>
      </w:pPr>
      <w:r>
        <w:t>Aucun secret, compte par défaut ou donnée personnelle de test ne subsiste en production.</w:t>
      </w:r>
    </w:p>
    <w:p/>
    <w:p>
      <w:pPr>
        <w:pStyle w:val="Heading2"/>
        <w:keepNext/>
      </w:pPr>
      <w:r>
        <w:t>Conclusion</w:t>
      </w:r>
    </w:p>
    <w:p>
      <w:r>
        <w:t>Ce périmètre est suffisamment simple pour un premier déploiement, mais il protège les points les plus sensibles : dette élève, encaissement, décaissement, reçus et clôture. La priorité avant développement est de valider les décisions métier et les données de référence ; la priorité pendant le développement est de rendre les écritures financières traçables et irréversibles.</w:t>
      </w:r>
    </w:p>
    <w:sectPr w:rsidR="00FC693F" w:rsidRPr="0006063C" w:rsidSect="00034616">
      <w:headerReference w:type="default" r:id="rId9"/>
      <w:footerReference w:type="default" r:id="rId10"/>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Document de préparation au développement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SHAKESPEARE ACADEMY  |  CONCEPTION FONCTIONNELLE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