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Statement of Work: AI Delivery Assurance Copilot</w:t>
      </w:r>
    </w:p>
    <w:p>
      <w:pPr/>
      <w:r>
        <w:t xml:space="preserve">Oct 27, 2026</w:t>
      </w:r>
      <w:r>
        <w:t xml:space="preserve"> · </w:t>
      </w:r>
      <w:r>
        <w:t xml:space="preserve">@Steve</w:t>
      </w:r>
    </w:p>
    <w:p>
      <w:pPr/>
      <w:r>
        <w:t xml:space="preserve">This SOW commits to delivering a working, evaluated AI delivery-assurance copilot over 8 weeks (Oct 19 to Dec 13, 2026), built from the weekly plan in </w:t>
      </w:r>
      <w:r>
        <w:rPr>
          <w:rStyle w:val="CodeChar"/>
        </w:rPr>
        <w:t xml:space="preserve">docs/plan/ROADMAP.md</w:t>
      </w:r>
      <w:r>
        <w:t xml:space="preserve">.</w:t>
      </w:r>
    </w:p>
    <w:p>
      <w:pPr>
        <w:pStyle w:val="Heading2"/>
      </w:pPr>
      <w:r>
        <w:t xml:space="preserve">How to read this SOW</w:t>
      </w:r>
    </w:p>
    <w:p>
      <w:pPr/>
      <w:r>
        <w:t xml:space="preserve">A statement of work is the agreement on </w:t>
      </w:r>
      <w:r>
        <w:rPr>
          <w:i/>
        </w:rPr>
        <w:t xml:space="preserve">what</w:t>
      </w:r>
      <w:r>
        <w:t xml:space="preserve"> will be delivered, </w:t>
      </w:r>
      <w:r>
        <w:rPr>
          <w:i/>
        </w:rPr>
        <w:t xml:space="preserve">when</w:t>
      </w:r>
      <w:r>
        <w:t xml:space="preserve">, and </w:t>
      </w:r>
      <w:r>
        <w:rPr>
          <w:i/>
        </w:rPr>
        <w:t xml:space="preserve">how we will know it is done</w:t>
      </w:r>
      <w:r>
        <w:t xml:space="preserve">. Each section answers one question: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34"/>
        <w:gridCol w:w="5425"/>
      </w:tblGrid>
      <w:tr>
        <w:trPr>
          <w:tblHeader/>
        </w:trPr>
        <w:tc>
          <w:tcPr>
            <w:tcW w:w="3934" w:type="dxa"/>
            <w:shd w:val="clear" w:color="auto" w:fill="F2F2F2"/>
          </w:tcPr>
          <w:p>
            <w:pPr/>
            <w:r>
              <w:t xml:space="preserve">Section</w:t>
            </w:r>
          </w:p>
        </w:tc>
        <w:tc>
          <w:tcPr>
            <w:tcW w:w="5425" w:type="dxa"/>
            <w:shd w:val="clear" w:color="auto" w:fill="F2F2F2"/>
          </w:tcPr>
          <w:p>
            <w:pPr/>
            <w:r>
              <w:t xml:space="preserve">The question it answers</w:t>
            </w:r>
          </w:p>
        </w:tc>
      </w:tr>
      <w:tr>
        <w:tc>
          <w:tcPr>
            <w:tcW w:w="3934" w:type="dxa"/>
          </w:tcPr>
          <w:p>
            <w:pPr/>
            <w:r>
              <w:t xml:space="preserve">Background</w:t>
            </w:r>
          </w:p>
        </w:tc>
        <w:tc>
          <w:tcPr>
            <w:tcW w:w="5425" w:type="dxa"/>
          </w:tcPr>
          <w:p>
            <w:pPr/>
            <w:r>
              <w:t xml:space="preserve">Why does this work exist?</w:t>
            </w:r>
          </w:p>
        </w:tc>
      </w:tr>
      <w:tr>
        <w:tc>
          <w:tcPr>
            <w:tcW w:w="3934" w:type="dxa"/>
          </w:tcPr>
          <w:p>
            <w:pPr/>
            <w:r>
              <w:t xml:space="preserve">Objectives</w:t>
            </w:r>
          </w:p>
        </w:tc>
        <w:tc>
          <w:tcPr>
            <w:tcW w:w="5425" w:type="dxa"/>
          </w:tcPr>
          <w:p>
            <w:pPr/>
            <w:r>
              <w:t xml:space="preserve">What outcomes count as success?</w:t>
            </w:r>
          </w:p>
        </w:tc>
      </w:tr>
      <w:tr>
        <w:tc>
          <w:tcPr>
            <w:tcW w:w="3934" w:type="dxa"/>
          </w:tcPr>
          <w:p>
            <w:pPr/>
            <w:r>
              <w:t xml:space="preserve">Scope</w:t>
            </w:r>
          </w:p>
        </w:tc>
        <w:tc>
          <w:tcPr>
            <w:tcW w:w="5425" w:type="dxa"/>
          </w:tcPr>
          <w:p>
            <w:pPr/>
            <w:r>
              <w:t xml:space="preserve">What is included, and just as important, what is not?</w:t>
            </w:r>
          </w:p>
        </w:tc>
      </w:tr>
      <w:tr>
        <w:tc>
          <w:tcPr>
            <w:tcW w:w="3934" w:type="dxa"/>
          </w:tcPr>
          <w:p>
            <w:pPr/>
            <w:r>
              <w:t xml:space="preserve">Deliverables</w:t>
            </w:r>
          </w:p>
        </w:tc>
        <w:tc>
          <w:tcPr>
            <w:tcW w:w="5425" w:type="dxa"/>
          </w:tcPr>
          <w:p>
            <w:pPr/>
            <w:r>
              <w:t xml:space="preserve">What concrete things will be handed over?</w:t>
            </w:r>
          </w:p>
        </w:tc>
      </w:tr>
      <w:tr>
        <w:tc>
          <w:tcPr>
            <w:tcW w:w="3934" w:type="dxa"/>
          </w:tcPr>
          <w:p>
            <w:pPr/>
            <w:r>
              <w:t xml:space="preserve">Schedule</w:t>
            </w:r>
          </w:p>
        </w:tc>
        <w:tc>
          <w:tcPr>
            <w:tcW w:w="5425" w:type="dxa"/>
          </w:tcPr>
          <w:p>
            <w:pPr/>
            <w:r>
              <w:t xml:space="preserve">When does each piece land?</w:t>
            </w:r>
          </w:p>
        </w:tc>
      </w:tr>
      <w:tr>
        <w:tc>
          <w:tcPr>
            <w:tcW w:w="3934" w:type="dxa"/>
          </w:tcPr>
          <w:p>
            <w:pPr/>
            <w:r>
              <w:t xml:space="preserve">Approach</w:t>
            </w:r>
          </w:p>
        </w:tc>
        <w:tc>
          <w:tcPr>
            <w:tcW w:w="5425" w:type="dxa"/>
          </w:tcPr>
          <w:p>
            <w:pPr/>
            <w:r>
              <w:t xml:space="preserve">How will the work be done, and under what rules?</w:t>
            </w:r>
          </w:p>
        </w:tc>
      </w:tr>
      <w:tr>
        <w:tc>
          <w:tcPr>
            <w:tcW w:w="3934" w:type="dxa"/>
          </w:tcPr>
          <w:p>
            <w:pPr/>
            <w:r>
              <w:t xml:space="preserve">Assumptions, constraints, risks</w:t>
            </w:r>
          </w:p>
        </w:tc>
        <w:tc>
          <w:tcPr>
            <w:tcW w:w="5425" w:type="dxa"/>
          </w:tcPr>
          <w:p>
            <w:pPr/>
            <w:r>
              <w:t xml:space="preserve">What must hold true, and what could go wrong?</w:t>
            </w:r>
          </w:p>
        </w:tc>
      </w:tr>
      <w:tr>
        <w:tc>
          <w:tcPr>
            <w:tcW w:w="3934" w:type="dxa"/>
          </w:tcPr>
          <w:p>
            <w:pPr/>
            <w:r>
              <w:t xml:space="preserve">Acceptance</w:t>
            </w:r>
          </w:p>
        </w:tc>
        <w:tc>
          <w:tcPr>
            <w:tcW w:w="5425" w:type="dxa"/>
          </w:tcPr>
          <w:p>
            <w:pPr/>
            <w:r>
              <w:t xml:space="preserve">Who signs off, and against what criteria?</w:t>
            </w:r>
          </w:p>
        </w:tc>
      </w:tr>
    </w:tbl>
    <w:p>
      <w:pPr/>
      <w:r>
        <w:t xml:space="preserve">In a client engagement, Scope and Acceptance are where most disputes start, so they are the sections worth the most care.</w:t>
      </w:r>
    </w:p>
    <w:p>
      <w:pPr>
        <w:pStyle w:val="Heading2"/>
      </w:pPr>
      <w:r>
        <w:t xml:space="preserve">Background</w:t>
      </w:r>
    </w:p>
    <w:p>
      <w:pPr/>
      <w:r>
        <w:t xml:space="preserve">Delivery teams lose business intent between requirements, implementation and testing, and often cannot answer: "Are we ready to release, and what evidence supports that?" Capstone 4 asks for a governed AI copilot that keeps the Requirement → Acceptance Criterion → Test → Result chain intact and explains release readiness with evidence.</w:t>
      </w:r>
    </w:p>
    <w:p>
      <w:pPr/>
      <w:r>
        <w:t xml:space="preserve">This is a learning project for Steve's cohort. The goal is to understand every part well enough to explain and defend it, so understanding takes priority over speed. Sources: </w:t>
      </w:r>
      <w:r>
        <w:rPr>
          <w:rStyle w:val="CodeChar"/>
        </w:rPr>
        <w:t xml:space="preserve">PROJECT_BRIEF.md</w:t>
      </w:r>
      <w:r>
        <w:t xml:space="preserve">, </w:t>
      </w:r>
      <w:r>
        <w:rPr>
          <w:rStyle w:val="CodeChar"/>
        </w:rPr>
        <w:t xml:space="preserve">Capstone4_usecase_definition.md</w:t>
      </w:r>
      <w:r>
        <w:t xml:space="preserve"> and the supplied dataset.</w:t>
      </w:r>
    </w:p>
    <w:p>
      <w:pPr>
        <w:pStyle w:val="Heading2"/>
      </w:pPr>
      <w:r>
        <w:t xml:space="preserve">Objectives and success criteria</w:t>
      </w:r>
    </w:p>
    <w:p>
      <w:pPr/>
      <w:r>
        <w:t xml:space="preserve">The project succeeds when the copilot answers the golden scenarios with cited evidence, and Steve can explain every design decision behind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Objective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Measured by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Answer coverage and readiness questions without AI</w:t>
            </w:r>
          </w:p>
        </w:tc>
        <w:tc>
          <w:tcPr>
            <w:tcW w:w="4920" w:type="dxa"/>
          </w:tcPr>
          <w:p>
            <w:pPr/>
            <w:r>
              <w:t xml:space="preserve">Deterministic gap report and readiness decision for release R26.10, every reason traceable to row IDs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Ground every AI output in sources</w:t>
            </w:r>
          </w:p>
        </w:tc>
        <w:tc>
          <w:tcPr>
            <w:tcW w:w="4920" w:type="dxa"/>
          </w:tcPr>
          <w:p>
            <w:pPr/>
            <w:r>
              <w:t xml:space="preserve">Each statement cites a document, section or row ID, or is blocked as unsupported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Measure quality from the first AI feature</w:t>
            </w:r>
          </w:p>
        </w:tc>
        <w:tc>
          <w:tcPr>
            <w:tcW w:w="4920" w:type="dxa"/>
          </w:tcPr>
          <w:p>
            <w:pPr/>
            <w:r>
              <w:t xml:space="preserve">Golden-scenario scorecard: Week 1 manual baseline as the human reference, Week 3 automated baseline, Week 8 rerun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Keep humans in control</w:t>
            </w:r>
          </w:p>
        </w:tc>
        <w:tc>
          <w:tcPr>
            <w:tcW w:w="4920" w:type="dxa"/>
          </w:tcPr>
          <w:p>
            <w:pPr/>
            <w:r>
              <w:t xml:space="preserve">No generated AC or test becomes </w:t>
            </w:r>
            <w:r>
              <w:rPr>
                <w:rStyle w:val="CodeChar"/>
              </w:rPr>
              <w:t xml:space="preserve">ACTIVE</w:t>
            </w:r>
            <w:r>
              <w:t xml:space="preserve"> without an approval record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Know the cost of every call</w:t>
            </w:r>
          </w:p>
        </w:tc>
        <w:tc>
          <w:tcPr>
            <w:tcW w:w="4920" w:type="dxa"/>
          </w:tcPr>
          <w:p>
            <w:pPr/>
            <w:r>
              <w:t xml:space="preserve">Model, tokens, latency and cost logged per call; at least two models compared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Generalize beyond the reference data</w:t>
            </w:r>
          </w:p>
        </w:tc>
        <w:tc>
          <w:tcPr>
            <w:tcW w:w="4920" w:type="dxa"/>
          </w:tcPr>
          <w:p>
            <w:pPr/>
            <w:r>
              <w:t xml:space="preserve">Set A (Jira) runs through adapters and config without editing core logic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Understand it all</w:t>
            </w:r>
          </w:p>
        </w:tc>
        <w:tc>
          <w:tcPr>
            <w:tcW w:w="4920" w:type="dxa"/>
          </w:tcPr>
          <w:p>
            <w:pPr/>
            <w:r>
              <w:t xml:space="preserve">ADRs for each major choice, a weekly journal, and a final walkthrough</w:t>
            </w:r>
          </w:p>
        </w:tc>
      </w:tr>
    </w:tbl>
    <w:p>
      <w:pPr>
        <w:pStyle w:val="Heading2"/>
      </w:pPr>
      <w:r>
        <w:t xml:space="preserve">Scope</w:t>
      </w:r>
    </w:p>
    <w:p>
      <w:pPr/>
      <w:r>
        <w:rPr>
          <w:b/>
        </w:rPr>
        <w:t xml:space="preserve">In scope</w:t>
      </w:r>
    </w:p>
    <w:p>
      <w:pPr>
        <w:pStyle w:val="ListParagraph"/>
        <w:numPr>
          <w:ilvl w:val="0"/>
          <w:numId w:val="2"/>
        </w:numPr>
      </w:pPr>
      <w:r>
        <w:t xml:space="preserve">A normalized delivery model with provenance and origin (</w:t>
      </w:r>
      <w:r>
        <w:rPr>
          <w:rStyle w:val="CodeChar"/>
        </w:rPr>
        <w:t xml:space="preserve">HUMAN</w:t>
      </w:r>
      <w:r>
        <w:t xml:space="preserve">, </w:t>
      </w:r>
      <w:r>
        <w:rPr>
          <w:rStyle w:val="CodeChar"/>
        </w:rPr>
        <w:t xml:space="preserve">AI_SUGGESTED</w:t>
      </w:r>
      <w:r>
        <w:t xml:space="preserve">, </w:t>
      </w:r>
      <w:r>
        <w:rPr>
          <w:rStyle w:val="CodeChar"/>
        </w:rPr>
        <w:t xml:space="preserve">AI_APPROVED</w:t>
      </w:r>
      <w:r>
        <w:t xml:space="preserve">) on every artifact and link</w:t>
      </w:r>
    </w:p>
    <w:p>
      <w:pPr>
        <w:pStyle w:val="ListParagraph"/>
        <w:numPr>
          <w:ilvl w:val="0"/>
          <w:numId w:val="2"/>
        </w:numPr>
      </w:pPr>
      <w:r>
        <w:t xml:space="preserve">Loading and validating the 11 reference CSVs</w:t>
      </w:r>
    </w:p>
    <w:p>
      <w:pPr>
        <w:pStyle w:val="ListParagraph"/>
        <w:numPr>
          <w:ilvl w:val="0"/>
          <w:numId w:val="2"/>
        </w:numPr>
      </w:pPr>
      <w:r>
        <w:t xml:space="preserve">Deterministic traceability queries, coverage gap reports and readiness rules</w:t>
      </w:r>
    </w:p>
    <w:p>
      <w:pPr>
        <w:pStyle w:val="ListParagraph"/>
        <w:numPr>
          <w:ilvl w:val="0"/>
          <w:numId w:val="2"/>
        </w:numPr>
      </w:pPr>
      <w:r>
        <w:t xml:space="preserve">An LLM client with TokenOps logging, and an acceptance-criteria quality classifier</w:t>
      </w:r>
    </w:p>
    <w:p>
      <w:pPr>
        <w:pStyle w:val="ListParagraph"/>
        <w:numPr>
          <w:ilvl w:val="0"/>
          <w:numId w:val="2"/>
        </w:numPr>
      </w:pPr>
      <w:r>
        <w:t xml:space="preserve">A golden-scenario evaluation harness with saved baselines</w:t>
      </w:r>
    </w:p>
    <w:p>
      <w:pPr>
        <w:pStyle w:val="ListParagraph"/>
        <w:numPr>
          <w:ilvl w:val="0"/>
          <w:numId w:val="2"/>
        </w:numPr>
      </w:pPr>
      <w:r>
        <w:t xml:space="preserve">Ingestion of the 8 PDFs, chunking with metadata, hybrid and version-aware retrieval</w:t>
      </w:r>
    </w:p>
    <w:p>
      <w:pPr>
        <w:pStyle w:val="ListParagraph"/>
        <w:numPr>
          <w:ilvl w:val="0"/>
          <w:numId w:val="2"/>
        </w:numPr>
      </w:pPr>
      <w:r>
        <w:t xml:space="preserve">Grounded generation of ACs and test cases with citations and unsupported-claim checks</w:t>
      </w:r>
    </w:p>
    <w:p>
      <w:pPr>
        <w:pStyle w:val="ListParagraph"/>
        <w:numPr>
          <w:ilvl w:val="0"/>
          <w:numId w:val="2"/>
        </w:numPr>
      </w:pPr>
      <w:r>
        <w:t xml:space="preserve">A human review gate and conflict detection across current documents</w:t>
      </w:r>
    </w:p>
    <w:p>
      <w:pPr>
        <w:pStyle w:val="ListParagraph"/>
        <w:numPr>
          <w:ilvl w:val="0"/>
          <w:numId w:val="2"/>
        </w:numPr>
      </w:pPr>
      <w:r>
        <w:t xml:space="preserve">Change impact and stale-test detection, plus an LLM explanation of the readiness decision</w:t>
      </w:r>
    </w:p>
    <w:p>
      <w:pPr>
        <w:pStyle w:val="ListParagraph"/>
        <w:numPr>
          <w:ilvl w:val="0"/>
          <w:numId w:val="2"/>
        </w:numPr>
      </w:pPr>
      <w:r>
        <w:t xml:space="preserve">Comparison of at least two models, caching and context minimization</w:t>
      </w:r>
    </w:p>
    <w:p>
      <w:pPr>
        <w:pStyle w:val="ListParagraph"/>
        <w:numPr>
          <w:ilvl w:val="0"/>
          <w:numId w:val="2"/>
        </w:numPr>
      </w:pPr>
      <w:r>
        <w:t xml:space="preserve">Onboarding Set A (Jira) through an adapter</w:t>
      </w:r>
    </w:p>
    <w:p>
      <w:pPr>
        <w:pStyle w:val="ListParagraph"/>
        <w:numPr>
          <w:ilvl w:val="0"/>
          <w:numId w:val="2"/>
        </w:numPr>
      </w:pPr>
      <w:r>
        <w:t xml:space="preserve">A minimal coverage and readiness view with drill-down to evidence</w:t>
      </w:r>
    </w:p>
    <w:p>
      <w:pPr/>
      <w:r>
        <w:rPr>
          <w:b/>
        </w:rPr>
        <w:t xml:space="preserve">Cut order, if behind</w:t>
      </w:r>
    </w:p>
    <w:p>
      <w:pPr>
        <w:pStyle w:val="ListParagraph"/>
        <w:numPr>
          <w:ilvl w:val="0"/>
          <w:numId w:val="3"/>
        </w:numPr>
      </w:pPr>
      <w:r>
        <w:t xml:space="preserve">Sets B (Kanban) and C (Mobile Banking)</w:t>
      </w:r>
    </w:p>
    <w:p>
      <w:pPr>
        <w:pStyle w:val="ListParagraph"/>
        <w:numPr>
          <w:ilvl w:val="0"/>
          <w:numId w:val="3"/>
        </w:numPr>
      </w:pPr>
      <w:r>
        <w:t xml:space="preserve">Traceability graph view</w:t>
      </w:r>
    </w:p>
    <w:p>
      <w:pPr>
        <w:pStyle w:val="ListParagraph"/>
        <w:numPr>
          <w:ilvl w:val="0"/>
          <w:numId w:val="3"/>
        </w:numPr>
      </w:pPr>
      <w:r>
        <w:t xml:space="preserve">Agentic test execution with approval gates</w:t>
      </w:r>
    </w:p>
    <w:p>
      <w:pPr>
        <w:pStyle w:val="ListParagraph"/>
        <w:numPr>
          <w:ilvl w:val="0"/>
          <w:numId w:val="3"/>
        </w:numPr>
      </w:pPr>
      <w:r>
        <w:t xml:space="preserve">Reduce Set A to coverage only</w:t>
      </w:r>
    </w:p>
    <w:p>
      <w:pPr/>
      <w:r>
        <w:t xml:space="preserve">Requirement extraction from PDFs (W4-05) is also stretch, cut as soon as Week 4 runs long.</w:t>
      </w:r>
    </w:p>
    <w:p>
      <w:pPr/>
      <w:r>
        <w:t xml:space="preserve">Without W4-05, requirements come from the supplied </w:t>
      </w:r>
      <w:r>
        <w:rPr>
          <w:rStyle w:val="CodeChar"/>
        </w:rPr>
        <w:t xml:space="preserve">requirements.csv</w:t>
      </w:r>
      <w:r>
        <w:t xml:space="preserve">, and the schema-validated AC quality classifier (W3-03) covers the brief's structured-output requirement.</w:t>
      </w:r>
    </w:p>
    <w:p>
      <w:pPr/>
      <w:r>
        <w:rPr>
          <w:b/>
        </w:rPr>
        <w:t xml:space="preserve">Out of scope</w:t>
      </w:r>
    </w:p>
    <w:p>
      <w:pPr>
        <w:pStyle w:val="ListParagraph"/>
        <w:numPr>
          <w:ilvl w:val="0"/>
          <w:numId w:val="4"/>
        </w:numPr>
      </w:pPr>
      <w:r>
        <w:t xml:space="preserve">Production deployment, authentication or multi-user hosting</w:t>
      </w:r>
    </w:p>
    <w:p>
      <w:pPr>
        <w:pStyle w:val="ListParagraph"/>
        <w:numPr>
          <w:ilvl w:val="0"/>
          <w:numId w:val="4"/>
        </w:numPr>
      </w:pPr>
      <w:r>
        <w:t xml:space="preserve">Real Jira or Azure DevOps integration</w:t>
      </w:r>
    </w:p>
    <w:p>
      <w:pPr>
        <w:pStyle w:val="ListParagraph"/>
        <w:numPr>
          <w:ilvl w:val="0"/>
          <w:numId w:val="4"/>
        </w:numPr>
      </w:pPr>
      <w:r>
        <w:t xml:space="preserve">Editing or regenerating the source dataset, which stays read-only</w:t>
      </w:r>
    </w:p>
    <w:p>
      <w:pPr>
        <w:pStyle w:val="ListParagraph"/>
        <w:numPr>
          <w:ilvl w:val="0"/>
          <w:numId w:val="4"/>
        </w:numPr>
      </w:pPr>
      <w:r>
        <w:t xml:space="preserve">Any LLM making the readiness decision; rules decide and the LLM only explains</w:t>
      </w:r>
    </w:p>
    <w:p>
      <w:pPr>
        <w:pStyle w:val="Heading2"/>
      </w:pPr>
      <w:r>
        <w:t xml:space="preserve">Deliverables</w:t>
      </w:r>
    </w:p>
    <w:p>
      <w:pPr/>
      <w:r>
        <w:t xml:space="preserve">Each deliverable maps to an issue in </w:t>
      </w:r>
      <w:r>
        <w:rPr>
          <w:rStyle w:val="CodeChar"/>
        </w:rPr>
        <w:t xml:space="preserve">docs/plan/ISSUES.md</w:t>
      </w:r>
      <w:r>
        <w:t xml:space="preserve"> and lands through its own branch and PR.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97"/>
        <w:gridCol w:w="4920"/>
        <w:gridCol w:w="3643"/>
      </w:tblGrid>
      <w:tr>
        <w:trPr>
          <w:tblHeader/>
        </w:trPr>
        <w:tc>
          <w:tcPr>
            <w:tcW w:w="797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Deliverable</w:t>
            </w:r>
          </w:p>
        </w:tc>
        <w:tc>
          <w:tcPr>
            <w:tcW w:w="3643" w:type="dxa"/>
            <w:shd w:val="clear" w:color="auto" w:fill="F2F2F2"/>
          </w:tcPr>
          <w:p>
            <w:pPr/>
            <w:r>
              <w:t xml:space="preserve">Issues</w:t>
            </w:r>
          </w:p>
        </w:tc>
      </w:tr>
      <w:tr>
        <w:tc>
          <w:tcPr>
            <w:tcW w:w="797" w:type="dxa"/>
          </w:tcPr>
          <w:p>
            <w:pPr/>
            <w:r>
              <w:t xml:space="preserve">1</w:t>
            </w:r>
          </w:p>
        </w:tc>
        <w:tc>
          <w:tcPr>
            <w:tcW w:w="4920" w:type="dxa"/>
          </w:tcPr>
          <w:p>
            <w:pPr/>
            <w:r>
              <w:t xml:space="preserve">Glossary and concept diagram, data profile, manual baseline for 5 golden scenarios, stack ADR</w:t>
            </w:r>
          </w:p>
        </w:tc>
        <w:tc>
          <w:tcPr>
            <w:tcW w:w="3643" w:type="dxa"/>
          </w:tcPr>
          <w:p>
            <w:pPr/>
            <w:r>
              <w:t xml:space="preserve">W1-01 to W1-04</w:t>
            </w:r>
          </w:p>
        </w:tc>
      </w:tr>
      <w:tr>
        <w:tc>
          <w:tcPr>
            <w:tcW w:w="797" w:type="dxa"/>
          </w:tcPr>
          <w:p>
            <w:pPr/>
            <w:r>
              <w:t xml:space="preserve">2</w:t>
            </w:r>
          </w:p>
        </w:tc>
        <w:tc>
          <w:tcPr>
            <w:tcW w:w="4920" w:type="dxa"/>
          </w:tcPr>
          <w:p>
            <w:pPr/>
            <w:r>
              <w:t xml:space="preserve">Delivery model ADR, one-command CSV loader with data-quality report, traceability and coverage gap report, readiness rules v0</w:t>
            </w:r>
          </w:p>
        </w:tc>
        <w:tc>
          <w:tcPr>
            <w:tcW w:w="3643" w:type="dxa"/>
          </w:tcPr>
          <w:p>
            <w:pPr/>
            <w:r>
              <w:t xml:space="preserve">W2-01 to W2-04</w:t>
            </w:r>
          </w:p>
        </w:tc>
      </w:tr>
      <w:tr>
        <w:tc>
          <w:tcPr>
            <w:tcW w:w="797" w:type="dxa"/>
          </w:tcPr>
          <w:p>
            <w:pPr/>
            <w:r>
              <w:t xml:space="preserve">3</w:t>
            </w:r>
          </w:p>
        </w:tc>
        <w:tc>
          <w:tcPr>
            <w:tcW w:w="4920" w:type="dxa"/>
          </w:tcPr>
          <w:p>
            <w:pPr/>
            <w:r>
              <w:t xml:space="preserve">LLM wrapper with TokenOps log, 30 hand-labeled ACs, AC quality classifier, evaluation runner with baseline scorecard</w:t>
            </w:r>
          </w:p>
        </w:tc>
        <w:tc>
          <w:tcPr>
            <w:tcW w:w="3643" w:type="dxa"/>
          </w:tcPr>
          <w:p>
            <w:pPr/>
            <w:r>
              <w:t xml:space="preserve">W3-01 to W3-04</w:t>
            </w:r>
          </w:p>
        </w:tc>
      </w:tr>
      <w:tr>
        <w:tc>
          <w:tcPr>
            <w:tcW w:w="797" w:type="dxa"/>
          </w:tcPr>
          <w:p>
            <w:pPr/>
            <w:r>
              <w:t xml:space="preserve">4</w:t>
            </w:r>
          </w:p>
        </w:tc>
        <w:tc>
          <w:tcPr>
            <w:tcW w:w="4920" w:type="dxa"/>
          </w:tcPr>
          <w:p>
            <w:pPr/>
            <w:r>
              <w:t xml:space="preserve">Structured PDF extraction, chunking ADR, hybrid search with recall@k table, version-aware retrieval</w:t>
            </w:r>
          </w:p>
        </w:tc>
        <w:tc>
          <w:tcPr>
            <w:tcW w:w="3643" w:type="dxa"/>
          </w:tcPr>
          <w:p>
            <w:pPr/>
            <w:r>
              <w:t xml:space="preserve">W4-01 to W4-04 (W4-05 stretch)</w:t>
            </w:r>
          </w:p>
        </w:tc>
      </w:tr>
      <w:tr>
        <w:tc>
          <w:tcPr>
            <w:tcW w:w="797" w:type="dxa"/>
          </w:tcPr>
          <w:p>
            <w:pPr/>
            <w:r>
              <w:t xml:space="preserve">5</w:t>
            </w:r>
          </w:p>
        </w:tc>
        <w:tc>
          <w:tcPr>
            <w:tcW w:w="4920" w:type="dxa"/>
          </w:tcPr>
          <w:p>
            <w:pPr/>
            <w:r>
              <w:t xml:space="preserve">Citation and unsupported-claim checks, generated ACs and test cases, review queue, conflict report</w:t>
            </w:r>
          </w:p>
        </w:tc>
        <w:tc>
          <w:tcPr>
            <w:tcW w:w="3643" w:type="dxa"/>
          </w:tcPr>
          <w:p>
            <w:pPr/>
            <w:r>
              <w:t xml:space="preserve">W5-01 to W5-05</w:t>
            </w:r>
          </w:p>
        </w:tc>
      </w:tr>
      <w:tr>
        <w:tc>
          <w:tcPr>
            <w:tcW w:w="797" w:type="dxa"/>
          </w:tcPr>
          <w:p>
            <w:pPr/>
            <w:r>
              <w:t xml:space="preserve">6</w:t>
            </w:r>
          </w:p>
        </w:tc>
        <w:tc>
          <w:tcPr>
            <w:tcW w:w="4920" w:type="dxa"/>
          </w:tcPr>
          <w:p>
            <w:pPr/>
            <w:r>
              <w:t xml:space="preserve">Change impact and stale-test lists, cited readiness summary, model comparison ADR</w:t>
            </w:r>
          </w:p>
        </w:tc>
        <w:tc>
          <w:tcPr>
            <w:tcW w:w="3643" w:type="dxa"/>
          </w:tcPr>
          <w:p>
            <w:pPr/>
            <w:r>
              <w:t xml:space="preserve">W6-01 to W6-03</w:t>
            </w:r>
          </w:p>
        </w:tc>
      </w:tr>
      <w:tr>
        <w:tc>
          <w:tcPr>
            <w:tcW w:w="797" w:type="dxa"/>
          </w:tcPr>
          <w:p>
            <w:pPr/>
            <w:r>
              <w:t xml:space="preserve">7</w:t>
            </w:r>
          </w:p>
        </w:tc>
        <w:tc>
          <w:tcPr>
            <w:tcW w:w="4920" w:type="dxa"/>
          </w:tcPr>
          <w:p>
            <w:pPr/>
            <w:r>
              <w:t xml:space="preserve">Before/after TokenOps table, adapter contract and Set A onboarding</w:t>
            </w:r>
          </w:p>
        </w:tc>
        <w:tc>
          <w:tcPr>
            <w:tcW w:w="3643" w:type="dxa"/>
          </w:tcPr>
          <w:p>
            <w:pPr/>
            <w:r>
              <w:t xml:space="preserve">W7-01, W7-02 (W7-03 stretch)</w:t>
            </w:r>
          </w:p>
        </w:tc>
      </w:tr>
      <w:tr>
        <w:tc>
          <w:tcPr>
            <w:tcW w:w="797" w:type="dxa"/>
          </w:tcPr>
          <w:p>
            <w:pPr/>
            <w:r>
              <w:t xml:space="preserve">8</w:t>
            </w:r>
          </w:p>
        </w:tc>
        <w:tc>
          <w:tcPr>
            <w:tcW w:w="4920" w:type="dxa"/>
          </w:tcPr>
          <w:p>
            <w:pPr/>
            <w:r>
              <w:t xml:space="preserve">Coverage and readiness view, final evaluation vs baseline, retrospective and walkthrough</w:t>
            </w:r>
          </w:p>
        </w:tc>
        <w:tc>
          <w:tcPr>
            <w:tcW w:w="3643" w:type="dxa"/>
          </w:tcPr>
          <w:p>
            <w:pPr/>
            <w:r>
              <w:t xml:space="preserve">W8-01, W8-02 (W8-03, W8-04 stretch)</w:t>
            </w:r>
          </w:p>
        </w:tc>
      </w:tr>
    </w:tbl>
    <w:p>
      <w:pPr/>
      <w:r>
        <w:t xml:space="preserve">Every week also produces a journal entry in </w:t>
      </w:r>
      <w:r>
        <w:rPr>
          <w:rStyle w:val="CodeChar"/>
        </w:rPr>
        <w:t xml:space="preserve">docs/journal/week-NN.md</w:t>
      </w:r>
      <w:r>
        <w:t xml:space="preserve">.</w:t>
      </w:r>
    </w:p>
    <w:p>
      <w:pPr>
        <w:pStyle w:val="Heading2"/>
      </w:pPr>
      <w:r>
        <w:t xml:space="preserve">Schedule and milestones</w:t>
      </w:r>
    </w:p>
    <w:p>
      <w:pPr/>
      <w:r>
        <w:drawing>
          <wp:inline distT="0" distB="0" distL="0" distR="0">
            <wp:extent cx="5486400" cy="3477985"/>
            <wp:docPr id="1" name="image1" descr="capstone schedule · 8 weeks, 2 checkpoints, final defens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apstone schedule · 8 weeks, 2 checkpoints, final defens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capstone schedule · 8 weeks, 2 checkpoints, final defense</w:t>
      </w:r>
    </w:p>
    <w:p>
      <w:pPr/>
      <w:r>
        <w:t xml:space="preserve">Each week is one milestone. The checkpoints at the end of Weeks 2 and 4 are where stretch work gets cut, early rather than late, and the Week 6 buffer for Thanksgiving comes from cutting stretch work at the Week 4 checkpoint.</w:t>
      </w:r>
    </w:p>
    <w:p>
      <w:pPr>
        <w:pStyle w:val="Heading2"/>
      </w:pPr>
      <w:r>
        <w:t xml:space="preserve">Approach and working agreements</w:t>
      </w:r>
    </w:p>
    <w:p>
      <w:pPr/>
      <w:r>
        <w:t xml:space="preserve">The build order is deliberate: domain first, then the deterministic core, then AI with evaluation from day one, then generalization.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Rules before AI.</w:t>
      </w:r>
      <w:r>
        <w:t xml:space="preserve"> Anything a query can answer (traceability, coverage, readiness) stays deterministic. The LLM extracts, generates and explains, but never decides readiness.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Measure from the start.</w:t>
      </w:r>
      <w:r>
        <w:t xml:space="preserve"> The evaluation harness arrives with the first LLM feature, so every later change is compared to a baseline.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Cite or block.</w:t>
      </w:r>
      <w:r>
        <w:t xml:space="preserve"> Every AI output cites document, section or row IDs, or is marked unsupported.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Human gates.</w:t>
      </w:r>
      <w:r>
        <w:t xml:space="preserve"> Generated ACs and tests stay </w:t>
      </w:r>
      <w:r>
        <w:rPr>
          <w:rStyle w:val="CodeChar"/>
        </w:rPr>
        <w:t xml:space="preserve">DRAFT</w:t>
      </w:r>
      <w:r>
        <w:t xml:space="preserve"> until approved, with reviewer, time and diff recorded.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Decisions are written down.</w:t>
      </w:r>
      <w:r>
        <w:t xml:space="preserve"> Design choices go in ADRs (</w:t>
      </w:r>
      <w:r>
        <w:rPr>
          <w:rStyle w:val="CodeChar"/>
        </w:rPr>
        <w:t xml:space="preserve">docs/adr/NNNN-title.md</w:t>
      </w:r>
      <w:r>
        <w:t xml:space="preserve">), written by Steve.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Weekly rhythm.</w:t>
      </w:r>
      <w:r>
        <w:t xml:space="preserve"> Start: read the week's issues and pick what to cut. During: one issue per branch and PR. End: journal entry and baseline update.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Teaching mode.</w:t>
      </w:r>
      <w:r>
        <w:t xml:space="preserve"> Steve writes the code by default; the assistant explains, hints and reviews.</w:t>
      </w:r>
    </w:p>
    <w:p>
      <w:pPr>
        <w:pStyle w:val="Heading2"/>
      </w:pPr>
      <w:r>
        <w:t xml:space="preserve">Assumptions, constraints and risks</w:t>
      </w:r>
    </w:p>
    <w:p>
      <w:pPr/>
      <w:r>
        <w:rPr>
          <w:b/>
        </w:rPr>
        <w:t xml:space="preserve">Assumptions</w:t>
      </w:r>
    </w:p>
    <w:p>
      <w:pPr>
        <w:pStyle w:val="ListParagraph"/>
        <w:numPr>
          <w:ilvl w:val="0"/>
          <w:numId w:val="6"/>
        </w:numPr>
      </w:pPr>
      <w:r>
        <w:t xml:space="preserve">8 to 10 focused hours a week are available.</w:t>
      </w:r>
    </w:p>
    <w:p>
      <w:pPr>
        <w:pStyle w:val="ListParagraph"/>
        <w:numPr>
          <w:ilvl w:val="0"/>
          <w:numId w:val="6"/>
        </w:numPr>
      </w:pPr>
      <w:r>
        <w:t xml:space="preserve">The supplied dataset and golden scenarios are the source of truth for evaluation.</w:t>
      </w:r>
    </w:p>
    <w:p>
      <w:pPr>
        <w:pStyle w:val="ListParagraph"/>
        <w:numPr>
          <w:ilvl w:val="0"/>
          <w:numId w:val="6"/>
        </w:numPr>
      </w:pPr>
      <w:r>
        <w:t xml:space="preserve">Access to at least two LLMs is available for the model comparison.</w:t>
      </w:r>
    </w:p>
    <w:p>
      <w:pPr/>
      <w:r>
        <w:rPr>
          <w:b/>
        </w:rPr>
        <w:t xml:space="preserve">Constraints</w:t>
      </w:r>
    </w:p>
    <w:p>
      <w:pPr>
        <w:pStyle w:val="ListParagraph"/>
        <w:numPr>
          <w:ilvl w:val="0"/>
          <w:numId w:val="7"/>
        </w:numPr>
      </w:pPr>
      <w:r>
        <w:t xml:space="preserve">The dataset folder is read-only.</w:t>
      </w:r>
    </w:p>
    <w:p>
      <w:pPr>
        <w:pStyle w:val="ListParagraph"/>
        <w:numPr>
          <w:ilvl w:val="0"/>
          <w:numId w:val="7"/>
        </w:numPr>
      </w:pPr>
      <w:r>
        <w:t xml:space="preserve">API keys live in </w:t>
      </w:r>
      <w:r>
        <w:rPr>
          <w:rStyle w:val="CodeChar"/>
        </w:rPr>
        <w:t xml:space="preserve">.env</w:t>
      </w:r>
      <w:r>
        <w:t xml:space="preserve">, never in the repo.</w:t>
      </w:r>
    </w:p>
    <w:p>
      <w:pPr>
        <w:pStyle w:val="ListParagraph"/>
        <w:numPr>
          <w:ilvl w:val="0"/>
          <w:numId w:val="7"/>
        </w:numPr>
      </w:pPr>
      <w:r>
        <w:t xml:space="preserve">No paid LLM call runs in a loop or at batch scale without a cost estimate first.</w:t>
      </w:r>
    </w:p>
    <w:p>
      <w:pPr>
        <w:pStyle w:val="ListParagraph"/>
        <w:numPr>
          <w:ilvl w:val="0"/>
          <w:numId w:val="7"/>
        </w:numPr>
      </w:pPr>
      <w:r>
        <w:t xml:space="preserve">No new dependency, framework or service without an explanation and a yes.</w:t>
      </w:r>
    </w:p>
    <w:p>
      <w:pPr/>
      <w:r>
        <w:rPr>
          <w:b/>
        </w:rPr>
        <w:t xml:space="preserve">Risks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47"/>
        <w:gridCol w:w="1344"/>
        <w:gridCol w:w="4568"/>
      </w:tblGrid>
      <w:tr>
        <w:trPr>
          <w:tblHeader/>
        </w:trPr>
        <w:tc>
          <w:tcPr>
            <w:tcW w:w="3447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1344" w:type="dxa"/>
            <w:shd w:val="clear" w:color="auto" w:fill="F2F2F2"/>
          </w:tcPr>
          <w:p>
            <w:pPr/>
            <w:r>
              <w:t xml:space="preserve">Likelihood</w:t>
            </w:r>
          </w:p>
        </w:tc>
        <w:tc>
          <w:tcPr>
            <w:tcW w:w="4568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447" w:type="dxa"/>
          </w:tcPr>
          <w:p>
            <w:pPr/>
            <w:r>
              <w:t xml:space="preserve">Eight weeks is tight; most weeks combine two themes</w:t>
            </w:r>
          </w:p>
        </w:tc>
        <w:tc>
          <w:tcPr>
            <w:tcW w:w="1344" w:type="dxa"/>
          </w:tcPr>
          <w:p>
            <w:pPr/>
            <w:r>
              <w:t xml:space="preserve">High</w:t>
            </w:r>
          </w:p>
        </w:tc>
        <w:tc>
          <w:tcPr>
            <w:tcW w:w="4568" w:type="dxa"/>
          </w:tcPr>
          <w:p>
            <w:pPr/>
            <w:r>
              <w:t xml:space="preserve">Cut stretch work in the stated order; check progress at the end of Weeks 2 and 4</w:t>
            </w:r>
          </w:p>
        </w:tc>
      </w:tr>
      <w:tr>
        <w:tc>
          <w:tcPr>
            <w:tcW w:w="3447" w:type="dxa"/>
          </w:tcPr>
          <w:p>
            <w:pPr/>
            <w:r>
              <w:t xml:space="preserve">Week 6 includes US Thanksgiving (Nov 26)</w:t>
            </w:r>
          </w:p>
        </w:tc>
        <w:tc>
          <w:tcPr>
            <w:tcW w:w="1344" w:type="dxa"/>
          </w:tcPr>
          <w:p>
            <w:pPr/>
            <w:r>
              <w:t xml:space="preserve">High</w:t>
            </w:r>
          </w:p>
        </w:tc>
        <w:tc>
          <w:tcPr>
            <w:tcW w:w="4568" w:type="dxa"/>
          </w:tcPr>
          <w:p>
            <w:pPr/>
            <w:r>
              <w:t xml:space="preserve">Cut stretch at the Week 4 checkpoint to free time for Week 6</w:t>
            </w:r>
          </w:p>
        </w:tc>
      </w:tr>
      <w:tr>
        <w:tc>
          <w:tcPr>
            <w:tcW w:w="3447" w:type="dxa"/>
          </w:tcPr>
          <w:p>
            <w:pPr/>
            <w:r>
              <w:t xml:space="preserve">PDF parsing loses tables or the Doc 05 diagram</w:t>
            </w:r>
          </w:p>
        </w:tc>
        <w:tc>
          <w:tcPr>
            <w:tcW w:w="1344" w:type="dxa"/>
          </w:tcPr>
          <w:p>
            <w:pPr/>
            <w:r>
              <w:t xml:space="preserve">Medium</w:t>
            </w:r>
          </w:p>
        </w:tc>
        <w:tc>
          <w:tcPr>
            <w:tcW w:w="4568" w:type="dxa"/>
          </w:tcPr>
          <w:p>
            <w:pPr/>
            <w:r>
              <w:t xml:space="preserve">Note failures; transcribe the diagram manually if needed</w:t>
            </w:r>
          </w:p>
        </w:tc>
      </w:tr>
      <w:tr>
        <w:tc>
          <w:tcPr>
            <w:tcW w:w="3447" w:type="dxa"/>
          </w:tcPr>
          <w:p>
            <w:pPr/>
            <w:r>
              <w:t xml:space="preserve">The LLM softens or contradicts a BLOCKED decision</w:t>
            </w:r>
          </w:p>
        </w:tc>
        <w:tc>
          <w:tcPr>
            <w:tcW w:w="1344" w:type="dxa"/>
          </w:tcPr>
          <w:p>
            <w:pPr/>
            <w:r>
              <w:t xml:space="preserve">Medium</w:t>
            </w:r>
          </w:p>
        </w:tc>
        <w:tc>
          <w:tcPr>
            <w:tcW w:w="4568" w:type="dxa"/>
          </w:tcPr>
          <w:p>
            <w:pPr/>
            <w:r>
              <w:t xml:space="preserve">Rules own the decision; check the summary against it</w:t>
            </w:r>
          </w:p>
        </w:tc>
      </w:tr>
      <w:tr>
        <w:tc>
          <w:tcPr>
            <w:tcW w:w="3447" w:type="dxa"/>
          </w:tcPr>
          <w:p>
            <w:pPr/>
            <w:r>
              <w:t xml:space="preserve">LLM costs grow during evaluation runs</w:t>
            </w:r>
          </w:p>
        </w:tc>
        <w:tc>
          <w:tcPr>
            <w:tcW w:w="1344" w:type="dxa"/>
          </w:tcPr>
          <w:p>
            <w:pPr/>
            <w:r>
              <w:t xml:space="preserve">Medium</w:t>
            </w:r>
          </w:p>
        </w:tc>
        <w:tc>
          <w:tcPr>
            <w:tcW w:w="4568" w:type="dxa"/>
          </w:tcPr>
          <w:p>
            <w:pPr/>
            <w:r>
              <w:t xml:space="preserve">TokenOps logging from the first call; caching in Week 7</w:t>
            </w:r>
          </w:p>
        </w:tc>
      </w:tr>
      <w:tr>
        <w:tc>
          <w:tcPr>
            <w:tcW w:w="3447" w:type="dxa"/>
          </w:tcPr>
          <w:p>
            <w:pPr/>
            <w:r>
              <w:t xml:space="preserve">The Week 2 model does not fit Set A</w:t>
            </w:r>
          </w:p>
        </w:tc>
        <w:tc>
          <w:tcPr>
            <w:tcW w:w="1344" w:type="dxa"/>
          </w:tcPr>
          <w:p>
            <w:pPr/>
            <w:r>
              <w:t xml:space="preserve">Medium</w:t>
            </w:r>
          </w:p>
        </w:tc>
        <w:tc>
          <w:tcPr>
            <w:tcW w:w="4568" w:type="dxa"/>
          </w:tcPr>
          <w:p>
            <w:pPr/>
            <w:r>
              <w:t xml:space="preserve">Record core changes in an ADR; treat it as a learning outcome</w:t>
            </w:r>
          </w:p>
        </w:tc>
      </w:tr>
    </w:tbl>
    <w:p>
      <w:pPr>
        <w:pStyle w:val="Heading2"/>
      </w:pPr>
      <w:r>
        <w:t xml:space="preserve">Acceptance and sign-off</w:t>
      </w:r>
    </w:p>
    <w:p>
      <w:pPr/>
      <w:r>
        <w:t xml:space="preserve">Each issue is accepted when its "Done when" criteria in </w:t>
      </w:r>
      <w:r>
        <w:rPr>
          <w:rStyle w:val="CodeChar"/>
        </w:rPr>
        <w:t xml:space="preserve">ISSUES.md</w:t>
      </w:r>
      <w:r>
        <w:t xml:space="preserve"> are met and its PR is merged. The project as a whole is accepted when:</w:t>
      </w:r>
    </w:p>
    <w:p>
      <w:pPr>
        <w:pStyle w:val="ListParagraph"/>
        <w:numPr>
          <w:ilvl w:val="0"/>
          <w:numId w:val="8"/>
        </w:numPr>
      </w:pPr>
      <w:r>
        <w:t xml:space="preserve">☐ The end-to-end scenario (§26 of the use-case definition) can be demoed</w:t>
      </w:r>
    </w:p>
    <w:p>
      <w:pPr>
        <w:pStyle w:val="ListParagraph"/>
        <w:numPr>
          <w:ilvl w:val="0"/>
          <w:numId w:val="8"/>
        </w:numPr>
      </w:pPr>
      <w:r>
        <w:t xml:space="preserve">☐ The final evaluation is rerun and compared with the Week 3 baseline and the Week 1 manual baseline</w:t>
      </w:r>
    </w:p>
    <w:p>
      <w:pPr>
        <w:pStyle w:val="ListParagraph"/>
        <w:numPr>
          <w:ilvl w:val="0"/>
          <w:numId w:val="8"/>
        </w:numPr>
      </w:pPr>
      <w:r>
        <w:t xml:space="preserve">☐ Every AI output in the demo cites its sources or is marked unsupported</w:t>
      </w:r>
    </w:p>
    <w:p>
      <w:pPr>
        <w:pStyle w:val="ListParagraph"/>
        <w:numPr>
          <w:ilvl w:val="0"/>
          <w:numId w:val="8"/>
        </w:numPr>
      </w:pPr>
      <w:r>
        <w:t xml:space="preserve">☐ Every major design choice has an ADR Steve can explain and defend</w:t>
      </w:r>
    </w:p>
    <w:p>
      <w:pPr>
        <w:pStyle w:val="ListParagraph"/>
        <w:numPr>
          <w:ilvl w:val="0"/>
          <w:numId w:val="8"/>
        </w:numPr>
      </w:pPr>
      <w:r>
        <w:t xml:space="preserve">☐ The §1P questions ("What the team should be able to explain") have prepared answers</w:t>
      </w:r>
    </w:p>
    <w:p>
      <w:pPr/>
      <w:r>
        <w:rPr>
          <w:b/>
        </w:rPr>
        <w:t xml:space="preserve">Checkpoints:</w:t>
      </w:r>
      <w:r>
        <w:t xml:space="preserve"> scope review at the end of Week 2 (</w:t>
      </w:r>
      <w:r>
        <w:t xml:space="preserve">Nov 1, 2026</w:t>
      </w:r>
      <w:r>
        <w:t xml:space="preserve">) and Week 4 (</w:t>
      </w:r>
      <w:r>
        <w:t xml:space="preserve">Nov 15, 2026</w:t>
      </w:r>
      <w:r>
        <w:t xml:space="preserve">); final defense by </w:t>
      </w:r>
      <w:r>
        <w:t xml:space="preserve">Dec 13, 2026</w:t>
      </w:r>
      <w:r>
        <w:t xml:space="preserve">.</w:t>
      </w:r>
    </w:p>
    <w:p>
      <w:pPr/>
      <w:r>
        <w:rPr>
          <w:b/>
        </w:rPr>
        <w:t xml:space="preserve">Sign-off:</w:t>
      </w:r>
      <w:r>
        <w:t xml:space="preserve"> Steve, as project owner.</w:t>
      </w:r>
    </w:p>
    <w:p>
      <w:pPr/>
      <w:r>
        <w:t xml:space="preserve">Open question: does the cohort have a reviewer or instructor who should also sign off, and on what date is the defense?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Statement of Work AI Delivery Assurance Copilot</dc:title>
  <dc:description>Claude Docs node/c57194de-741e@17 docx-w7</dc:description>
  <cp:revision>17</cp:revision>
</cp:coreProperties>
</file>