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D2C66" w14:textId="0EF41CBF"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7E0202">
        <w:rPr>
          <w:rFonts w:ascii="Times New Roman" w:hAnsi="Times New Roman" w:cs="Times New Roman"/>
          <w:b/>
          <w:bCs/>
          <w:sz w:val="28"/>
          <w:szCs w:val="28"/>
        </w:rPr>
        <w:t>DSHIRE DISTRICT COUNCIL – SEPTEMBER</w:t>
      </w:r>
      <w:r w:rsidRPr="000013F7">
        <w:rPr>
          <w:rFonts w:ascii="Times New Roman" w:hAnsi="Times New Roman" w:cs="Times New Roman"/>
          <w:b/>
          <w:bCs/>
          <w:sz w:val="28"/>
          <w:szCs w:val="28"/>
        </w:rPr>
        <w:t xml:space="preserve"> UPDATE</w:t>
      </w:r>
    </w:p>
    <w:p w14:paraId="087681E0" w14:textId="44A298BE" w:rsidR="008019DB" w:rsidRDefault="001B488B" w:rsidP="001B488B">
      <w:pPr>
        <w:spacing w:before="240"/>
        <w:rPr>
          <w:rFonts w:ascii="Times New Roman" w:hAnsi="Times New Roman" w:cs="Times New Roman"/>
          <w:b/>
          <w:sz w:val="24"/>
          <w:szCs w:val="24"/>
        </w:rPr>
      </w:pPr>
      <w:r w:rsidRPr="001B488B">
        <w:rPr>
          <w:rFonts w:ascii="Times New Roman" w:hAnsi="Times New Roman" w:cs="Times New Roman"/>
          <w:b/>
          <w:sz w:val="24"/>
          <w:szCs w:val="24"/>
        </w:rPr>
        <w:t>NHDC Draft Local Plan</w:t>
      </w:r>
      <w:r w:rsidR="00F015D6">
        <w:rPr>
          <w:rFonts w:ascii="Times New Roman" w:hAnsi="Times New Roman" w:cs="Times New Roman"/>
          <w:b/>
          <w:sz w:val="24"/>
          <w:szCs w:val="24"/>
        </w:rPr>
        <w:t xml:space="preserve"> </w:t>
      </w:r>
    </w:p>
    <w:p w14:paraId="061088DF" w14:textId="0C336C85" w:rsidR="007E0202" w:rsidRDefault="008019DB" w:rsidP="001B488B">
      <w:pPr>
        <w:spacing w:before="240"/>
        <w:rPr>
          <w:rFonts w:ascii="Times New Roman" w:hAnsi="Times New Roman" w:cs="Times New Roman"/>
          <w:sz w:val="22"/>
          <w:szCs w:val="22"/>
        </w:rPr>
      </w:pPr>
      <w:r>
        <w:rPr>
          <w:rFonts w:ascii="Times New Roman" w:hAnsi="Times New Roman" w:cs="Times New Roman"/>
          <w:b/>
          <w:sz w:val="24"/>
          <w:szCs w:val="24"/>
        </w:rPr>
        <w:t>Update on</w:t>
      </w:r>
      <w:r w:rsidR="00F015D6">
        <w:rPr>
          <w:rFonts w:ascii="Times New Roman" w:hAnsi="Times New Roman" w:cs="Times New Roman"/>
          <w:b/>
          <w:sz w:val="24"/>
          <w:szCs w:val="24"/>
        </w:rPr>
        <w:t xml:space="preserve"> Process</w:t>
      </w:r>
      <w:r w:rsidR="00726009">
        <w:rPr>
          <w:rFonts w:ascii="Times New Roman" w:hAnsi="Times New Roman" w:cs="Times New Roman"/>
          <w:b/>
          <w:sz w:val="24"/>
          <w:szCs w:val="24"/>
        </w:rPr>
        <w:t xml:space="preserve">: </w:t>
      </w:r>
      <w:r w:rsidR="007E0202">
        <w:rPr>
          <w:rFonts w:ascii="Times New Roman" w:hAnsi="Times New Roman" w:cs="Times New Roman"/>
          <w:sz w:val="22"/>
          <w:szCs w:val="22"/>
        </w:rPr>
        <w:t>Last month I highlighted the extraordinary meeting of the Council to endorse the proposed</w:t>
      </w:r>
      <w:r>
        <w:rPr>
          <w:rFonts w:ascii="Times New Roman" w:hAnsi="Times New Roman" w:cs="Times New Roman"/>
          <w:sz w:val="22"/>
          <w:szCs w:val="22"/>
        </w:rPr>
        <w:t xml:space="preserve"> emerging (or draft)</w:t>
      </w:r>
      <w:r w:rsidR="007E0202">
        <w:rPr>
          <w:rFonts w:ascii="Times New Roman" w:hAnsi="Times New Roman" w:cs="Times New Roman"/>
          <w:sz w:val="22"/>
          <w:szCs w:val="22"/>
        </w:rPr>
        <w:t xml:space="preserve"> Local Plan.  It was the only topic on the agenda and the meeting heard public participation from a number of groups, almost exclusively speaking against the proposals. The council heard a presentation from the Executive Member for Planning, and then a prolonged debate involving most of the council. The resolution to endorse the draft plan was supported by 32 votes, with 12 voting against or abstaining (which included me).</w:t>
      </w:r>
    </w:p>
    <w:p w14:paraId="348E39C5" w14:textId="6DBC531A" w:rsidR="00F015D6" w:rsidRDefault="00F015D6" w:rsidP="00F015D6">
      <w:pPr>
        <w:spacing w:before="240"/>
        <w:rPr>
          <w:rFonts w:ascii="Times New Roman" w:hAnsi="Times New Roman" w:cs="Times New Roman"/>
          <w:sz w:val="22"/>
          <w:szCs w:val="22"/>
        </w:rPr>
      </w:pPr>
      <w:r>
        <w:rPr>
          <w:rFonts w:ascii="Times New Roman" w:hAnsi="Times New Roman" w:cs="Times New Roman"/>
          <w:b/>
          <w:sz w:val="24"/>
          <w:szCs w:val="24"/>
        </w:rPr>
        <w:t xml:space="preserve">Implications </w:t>
      </w:r>
      <w:r w:rsidR="008019DB">
        <w:rPr>
          <w:rFonts w:ascii="Times New Roman" w:hAnsi="Times New Roman" w:cs="Times New Roman"/>
          <w:b/>
          <w:sz w:val="24"/>
          <w:szCs w:val="24"/>
        </w:rPr>
        <w:t xml:space="preserve">of Local Plan </w:t>
      </w:r>
      <w:r>
        <w:rPr>
          <w:rFonts w:ascii="Times New Roman" w:hAnsi="Times New Roman" w:cs="Times New Roman"/>
          <w:b/>
          <w:sz w:val="24"/>
          <w:szCs w:val="24"/>
        </w:rPr>
        <w:t>for</w:t>
      </w:r>
      <w:r>
        <w:rPr>
          <w:rFonts w:ascii="Times New Roman" w:hAnsi="Times New Roman" w:cs="Times New Roman"/>
          <w:b/>
          <w:sz w:val="24"/>
          <w:szCs w:val="24"/>
        </w:rPr>
        <w:t xml:space="preserve"> Knebworth</w:t>
      </w:r>
      <w:r w:rsidR="008019DB">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2"/>
          <w:szCs w:val="22"/>
        </w:rPr>
        <w:t>The</w:t>
      </w:r>
      <w:r w:rsidR="009F4B3A">
        <w:rPr>
          <w:rFonts w:ascii="Times New Roman" w:hAnsi="Times New Roman" w:cs="Times New Roman"/>
          <w:sz w:val="22"/>
          <w:szCs w:val="22"/>
        </w:rPr>
        <w:t>re are several</w:t>
      </w:r>
      <w:r>
        <w:rPr>
          <w:rFonts w:ascii="Times New Roman" w:hAnsi="Times New Roman" w:cs="Times New Roman"/>
          <w:sz w:val="22"/>
          <w:szCs w:val="22"/>
        </w:rPr>
        <w:t xml:space="preserve"> sites proposed for Knebworth, one in the centre of the village and </w:t>
      </w:r>
      <w:r w:rsidR="009F4B3A">
        <w:rPr>
          <w:rFonts w:ascii="Times New Roman" w:hAnsi="Times New Roman" w:cs="Times New Roman"/>
          <w:sz w:val="22"/>
          <w:szCs w:val="22"/>
        </w:rPr>
        <w:t>the rest</w:t>
      </w:r>
      <w:r>
        <w:rPr>
          <w:rFonts w:ascii="Times New Roman" w:hAnsi="Times New Roman" w:cs="Times New Roman"/>
          <w:sz w:val="22"/>
          <w:szCs w:val="22"/>
        </w:rPr>
        <w:t xml:space="preserve"> for removal from the Green Belt, with dwelling estimates (area based rule of thumb, not developer proposal) </w:t>
      </w:r>
      <w:r w:rsidR="009F4B3A">
        <w:rPr>
          <w:rFonts w:ascii="Times New Roman" w:hAnsi="Times New Roman" w:cs="Times New Roman"/>
          <w:sz w:val="22"/>
          <w:szCs w:val="22"/>
        </w:rPr>
        <w:t xml:space="preserve">totalling 791, </w:t>
      </w:r>
      <w:r>
        <w:rPr>
          <w:rFonts w:ascii="Times New Roman" w:hAnsi="Times New Roman" w:cs="Times New Roman"/>
          <w:sz w:val="22"/>
          <w:szCs w:val="22"/>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3969"/>
        <w:gridCol w:w="2835"/>
        <w:gridCol w:w="2029"/>
      </w:tblGrid>
      <w:tr w:rsidR="009F4B3A" w14:paraId="015FF814" w14:textId="77777777" w:rsidTr="008019DB">
        <w:tc>
          <w:tcPr>
            <w:tcW w:w="1129" w:type="dxa"/>
          </w:tcPr>
          <w:p w14:paraId="46C038FF" w14:textId="64DD5472" w:rsidR="009F4B3A" w:rsidRPr="009F4B3A" w:rsidRDefault="009F4B3A" w:rsidP="008019DB">
            <w:pPr>
              <w:spacing w:after="0" w:line="276" w:lineRule="auto"/>
              <w:jc w:val="center"/>
              <w:rPr>
                <w:rFonts w:ascii="Times New Roman" w:hAnsi="Times New Roman" w:cs="Times New Roman"/>
                <w:b/>
                <w:sz w:val="22"/>
                <w:szCs w:val="22"/>
              </w:rPr>
            </w:pPr>
            <w:r w:rsidRPr="009F4B3A">
              <w:rPr>
                <w:rFonts w:ascii="Times New Roman" w:hAnsi="Times New Roman" w:cs="Times New Roman"/>
                <w:b/>
                <w:sz w:val="22"/>
                <w:szCs w:val="22"/>
              </w:rPr>
              <w:t>SHLAA Ref</w:t>
            </w:r>
          </w:p>
        </w:tc>
        <w:tc>
          <w:tcPr>
            <w:tcW w:w="3969" w:type="dxa"/>
          </w:tcPr>
          <w:p w14:paraId="57577536" w14:textId="25E3663C" w:rsidR="009F4B3A" w:rsidRPr="009F4B3A" w:rsidRDefault="009F4B3A" w:rsidP="008019DB">
            <w:pPr>
              <w:spacing w:after="0" w:line="276" w:lineRule="auto"/>
              <w:jc w:val="center"/>
              <w:rPr>
                <w:rFonts w:ascii="Times New Roman" w:hAnsi="Times New Roman" w:cs="Times New Roman"/>
                <w:b/>
                <w:sz w:val="22"/>
                <w:szCs w:val="22"/>
              </w:rPr>
            </w:pPr>
            <w:r w:rsidRPr="009F4B3A">
              <w:rPr>
                <w:rFonts w:ascii="Times New Roman" w:hAnsi="Times New Roman" w:cs="Times New Roman"/>
                <w:b/>
                <w:sz w:val="22"/>
                <w:szCs w:val="22"/>
              </w:rPr>
              <w:t>Address</w:t>
            </w:r>
          </w:p>
        </w:tc>
        <w:tc>
          <w:tcPr>
            <w:tcW w:w="2835" w:type="dxa"/>
          </w:tcPr>
          <w:p w14:paraId="2D98AF0E" w14:textId="679D7CC8" w:rsidR="009F4B3A" w:rsidRPr="009F4B3A" w:rsidRDefault="009F4B3A" w:rsidP="008019DB">
            <w:pPr>
              <w:spacing w:after="0" w:line="276" w:lineRule="auto"/>
              <w:jc w:val="center"/>
              <w:rPr>
                <w:rFonts w:ascii="Times New Roman" w:hAnsi="Times New Roman" w:cs="Times New Roman"/>
                <w:b/>
                <w:sz w:val="22"/>
                <w:szCs w:val="22"/>
              </w:rPr>
            </w:pPr>
            <w:r w:rsidRPr="009F4B3A">
              <w:rPr>
                <w:rFonts w:ascii="Times New Roman" w:hAnsi="Times New Roman" w:cs="Times New Roman"/>
                <w:b/>
                <w:sz w:val="22"/>
                <w:szCs w:val="22"/>
              </w:rPr>
              <w:t>Site Type</w:t>
            </w:r>
          </w:p>
        </w:tc>
        <w:tc>
          <w:tcPr>
            <w:tcW w:w="2029" w:type="dxa"/>
          </w:tcPr>
          <w:p w14:paraId="51388C02" w14:textId="58A25712" w:rsidR="009F4B3A" w:rsidRPr="009F4B3A" w:rsidRDefault="009F4B3A" w:rsidP="008019DB">
            <w:pPr>
              <w:spacing w:after="0" w:line="276" w:lineRule="auto"/>
              <w:jc w:val="center"/>
              <w:rPr>
                <w:rFonts w:ascii="Times New Roman" w:hAnsi="Times New Roman" w:cs="Times New Roman"/>
                <w:b/>
                <w:sz w:val="22"/>
                <w:szCs w:val="22"/>
              </w:rPr>
            </w:pPr>
            <w:r w:rsidRPr="009F4B3A">
              <w:rPr>
                <w:rFonts w:ascii="Times New Roman" w:hAnsi="Times New Roman" w:cs="Times New Roman"/>
                <w:b/>
                <w:sz w:val="22"/>
                <w:szCs w:val="22"/>
              </w:rPr>
              <w:t>Refined dwelling estimate</w:t>
            </w:r>
          </w:p>
        </w:tc>
      </w:tr>
      <w:tr w:rsidR="009F4B3A" w14:paraId="7520C2A1" w14:textId="77777777" w:rsidTr="008019DB">
        <w:tc>
          <w:tcPr>
            <w:tcW w:w="1129" w:type="dxa"/>
          </w:tcPr>
          <w:p w14:paraId="59BCD874" w14:textId="2EC4CD8D"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52</w:t>
            </w:r>
          </w:p>
        </w:tc>
        <w:tc>
          <w:tcPr>
            <w:tcW w:w="3969" w:type="dxa"/>
          </w:tcPr>
          <w:p w14:paraId="3CC8B508" w14:textId="4DE5CDA2"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at Deards End</w:t>
            </w:r>
          </w:p>
        </w:tc>
        <w:tc>
          <w:tcPr>
            <w:tcW w:w="2835" w:type="dxa"/>
          </w:tcPr>
          <w:p w14:paraId="3C4E8169" w14:textId="20064448"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7AD5BF81" w14:textId="2E49BC99"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227</w:t>
            </w:r>
          </w:p>
        </w:tc>
      </w:tr>
      <w:tr w:rsidR="009F4B3A" w14:paraId="250C430D" w14:textId="77777777" w:rsidTr="008019DB">
        <w:tc>
          <w:tcPr>
            <w:tcW w:w="1129" w:type="dxa"/>
          </w:tcPr>
          <w:p w14:paraId="2A2AE63E" w14:textId="62BD231F"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335</w:t>
            </w:r>
          </w:p>
        </w:tc>
        <w:tc>
          <w:tcPr>
            <w:tcW w:w="3969" w:type="dxa"/>
          </w:tcPr>
          <w:p w14:paraId="4ACFADCB" w14:textId="0CF95413"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rear of Redwood, Deards End Lane</w:t>
            </w:r>
          </w:p>
        </w:tc>
        <w:tc>
          <w:tcPr>
            <w:tcW w:w="2835" w:type="dxa"/>
          </w:tcPr>
          <w:p w14:paraId="1C4B1359" w14:textId="541B2163"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07320591" w14:textId="2FDCAD8E"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14</w:t>
            </w:r>
          </w:p>
        </w:tc>
      </w:tr>
      <w:tr w:rsidR="009F4B3A" w14:paraId="2196747F" w14:textId="77777777" w:rsidTr="008019DB">
        <w:tc>
          <w:tcPr>
            <w:tcW w:w="1129" w:type="dxa"/>
          </w:tcPr>
          <w:p w14:paraId="04D7839E" w14:textId="73A4F3BD"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53</w:t>
            </w:r>
          </w:p>
        </w:tc>
        <w:tc>
          <w:tcPr>
            <w:tcW w:w="3969" w:type="dxa"/>
          </w:tcPr>
          <w:p w14:paraId="5AE0F1E1" w14:textId="1339EDB0"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at Gypsy Lane</w:t>
            </w:r>
          </w:p>
        </w:tc>
        <w:tc>
          <w:tcPr>
            <w:tcW w:w="2835" w:type="dxa"/>
          </w:tcPr>
          <w:p w14:paraId="413F7776" w14:textId="713B1B6F"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02AC2866" w14:textId="43E9B16E"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229</w:t>
            </w:r>
          </w:p>
        </w:tc>
      </w:tr>
      <w:tr w:rsidR="009F4B3A" w14:paraId="64862D32" w14:textId="77777777" w:rsidTr="008019DB">
        <w:tc>
          <w:tcPr>
            <w:tcW w:w="1129" w:type="dxa"/>
          </w:tcPr>
          <w:p w14:paraId="240002C2" w14:textId="7AA5B7DB"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55</w:t>
            </w:r>
          </w:p>
        </w:tc>
        <w:tc>
          <w:tcPr>
            <w:tcW w:w="3969" w:type="dxa"/>
          </w:tcPr>
          <w:p w14:paraId="2F76960F" w14:textId="2AB462BE"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North of Old Lane</w:t>
            </w:r>
          </w:p>
        </w:tc>
        <w:tc>
          <w:tcPr>
            <w:tcW w:w="2835" w:type="dxa"/>
          </w:tcPr>
          <w:p w14:paraId="597E26B0" w14:textId="0398628B"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73677F29" w14:textId="3AC80B0E"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63</w:t>
            </w:r>
          </w:p>
        </w:tc>
      </w:tr>
      <w:tr w:rsidR="009F4B3A" w14:paraId="5F690204" w14:textId="77777777" w:rsidTr="008019DB">
        <w:tc>
          <w:tcPr>
            <w:tcW w:w="1129" w:type="dxa"/>
          </w:tcPr>
          <w:p w14:paraId="5191D4C7" w14:textId="340CF5AE"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336</w:t>
            </w:r>
          </w:p>
        </w:tc>
        <w:tc>
          <w:tcPr>
            <w:tcW w:w="3969" w:type="dxa"/>
          </w:tcPr>
          <w:p w14:paraId="629CC9E8" w14:textId="7039D971"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east of Old Lane</w:t>
            </w:r>
          </w:p>
        </w:tc>
        <w:tc>
          <w:tcPr>
            <w:tcW w:w="2835" w:type="dxa"/>
          </w:tcPr>
          <w:p w14:paraId="33FAAD89" w14:textId="7657BDF5"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32E03BF5" w14:textId="1F1F4E3A"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44</w:t>
            </w:r>
          </w:p>
        </w:tc>
      </w:tr>
      <w:tr w:rsidR="009F4B3A" w14:paraId="3EB43C47" w14:textId="77777777" w:rsidTr="008019DB">
        <w:tc>
          <w:tcPr>
            <w:tcW w:w="1129" w:type="dxa"/>
          </w:tcPr>
          <w:p w14:paraId="67421083" w14:textId="7C1C5F46"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57</w:t>
            </w:r>
          </w:p>
        </w:tc>
        <w:tc>
          <w:tcPr>
            <w:tcW w:w="3969" w:type="dxa"/>
          </w:tcPr>
          <w:p w14:paraId="6C8057CA" w14:textId="7A16EC79"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south of Swangley’s Lane</w:t>
            </w:r>
          </w:p>
        </w:tc>
        <w:tc>
          <w:tcPr>
            <w:tcW w:w="2835" w:type="dxa"/>
          </w:tcPr>
          <w:p w14:paraId="0BB226B1" w14:textId="080933A9"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12B4D74C" w14:textId="3A24E8A6"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100</w:t>
            </w:r>
          </w:p>
        </w:tc>
      </w:tr>
      <w:tr w:rsidR="009F4B3A" w14:paraId="550934A3" w14:textId="77777777" w:rsidTr="008019DB">
        <w:tc>
          <w:tcPr>
            <w:tcW w:w="1129" w:type="dxa"/>
          </w:tcPr>
          <w:p w14:paraId="0A80C72F" w14:textId="563E06A6"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58</w:t>
            </w:r>
          </w:p>
        </w:tc>
        <w:tc>
          <w:tcPr>
            <w:tcW w:w="3969" w:type="dxa"/>
          </w:tcPr>
          <w:p w14:paraId="09661EC2" w14:textId="1DEA22BF"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Land north of Watton Road</w:t>
            </w:r>
          </w:p>
        </w:tc>
        <w:tc>
          <w:tcPr>
            <w:tcW w:w="2835" w:type="dxa"/>
          </w:tcPr>
          <w:p w14:paraId="5A74E776" w14:textId="640F809B"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Green Belt</w:t>
            </w:r>
          </w:p>
        </w:tc>
        <w:tc>
          <w:tcPr>
            <w:tcW w:w="2029" w:type="dxa"/>
          </w:tcPr>
          <w:p w14:paraId="2DB6B34C" w14:textId="2A83D64E"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100</w:t>
            </w:r>
          </w:p>
        </w:tc>
      </w:tr>
      <w:tr w:rsidR="009F4B3A" w14:paraId="280FECCE" w14:textId="77777777" w:rsidTr="008019DB">
        <w:tc>
          <w:tcPr>
            <w:tcW w:w="1129" w:type="dxa"/>
          </w:tcPr>
          <w:p w14:paraId="099A6371" w14:textId="75A32375"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KB/m01</w:t>
            </w:r>
          </w:p>
        </w:tc>
        <w:tc>
          <w:tcPr>
            <w:tcW w:w="3969" w:type="dxa"/>
          </w:tcPr>
          <w:p w14:paraId="02E58D3E" w14:textId="7FE68924" w:rsidR="009F4B3A" w:rsidRDefault="009F4B3A" w:rsidP="008019DB">
            <w:pPr>
              <w:spacing w:after="0" w:line="276" w:lineRule="auto"/>
              <w:rPr>
                <w:rFonts w:ascii="Times New Roman" w:hAnsi="Times New Roman" w:cs="Times New Roman"/>
                <w:sz w:val="22"/>
                <w:szCs w:val="22"/>
              </w:rPr>
            </w:pPr>
            <w:r>
              <w:rPr>
                <w:rFonts w:ascii="Times New Roman" w:hAnsi="Times New Roman" w:cs="Times New Roman"/>
                <w:sz w:val="22"/>
                <w:szCs w:val="22"/>
              </w:rPr>
              <w:t>Chas Lowe, London Road</w:t>
            </w:r>
          </w:p>
        </w:tc>
        <w:tc>
          <w:tcPr>
            <w:tcW w:w="2835" w:type="dxa"/>
          </w:tcPr>
          <w:p w14:paraId="54236745" w14:textId="6F333548"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PDL within village boundary</w:t>
            </w:r>
          </w:p>
        </w:tc>
        <w:tc>
          <w:tcPr>
            <w:tcW w:w="2029" w:type="dxa"/>
          </w:tcPr>
          <w:p w14:paraId="3B6836ED" w14:textId="6B971F9B" w:rsidR="009F4B3A" w:rsidRDefault="009F4B3A" w:rsidP="008019DB">
            <w:pPr>
              <w:spacing w:after="0" w:line="276" w:lineRule="auto"/>
              <w:jc w:val="center"/>
              <w:rPr>
                <w:rFonts w:ascii="Times New Roman" w:hAnsi="Times New Roman" w:cs="Times New Roman"/>
                <w:sz w:val="22"/>
                <w:szCs w:val="22"/>
              </w:rPr>
            </w:pPr>
            <w:r>
              <w:rPr>
                <w:rFonts w:ascii="Times New Roman" w:hAnsi="Times New Roman" w:cs="Times New Roman"/>
                <w:sz w:val="22"/>
                <w:szCs w:val="22"/>
              </w:rPr>
              <w:t>14</w:t>
            </w:r>
          </w:p>
        </w:tc>
      </w:tr>
    </w:tbl>
    <w:p w14:paraId="18774EBA" w14:textId="27DB9B32" w:rsidR="00F015D6" w:rsidRDefault="00F015D6" w:rsidP="00F015D6">
      <w:pPr>
        <w:spacing w:before="240"/>
        <w:rPr>
          <w:rFonts w:ascii="Times New Roman" w:hAnsi="Times New Roman" w:cs="Times New Roman"/>
          <w:sz w:val="22"/>
          <w:szCs w:val="22"/>
        </w:rPr>
      </w:pPr>
      <w:r>
        <w:rPr>
          <w:rFonts w:ascii="Times New Roman" w:hAnsi="Times New Roman" w:cs="Times New Roman"/>
          <w:sz w:val="22"/>
          <w:szCs w:val="22"/>
        </w:rPr>
        <w:t xml:space="preserve"> </w:t>
      </w:r>
      <w:r w:rsidR="008019DB">
        <w:rPr>
          <w:rFonts w:ascii="Times New Roman" w:hAnsi="Times New Roman" w:cs="Times New Roman"/>
          <w:sz w:val="22"/>
          <w:szCs w:val="22"/>
        </w:rPr>
        <w:t>A map of the sites is</w:t>
      </w:r>
      <w:r w:rsidR="009F4B3A">
        <w:rPr>
          <w:rFonts w:ascii="Times New Roman" w:hAnsi="Times New Roman" w:cs="Times New Roman"/>
          <w:sz w:val="22"/>
          <w:szCs w:val="22"/>
        </w:rPr>
        <w:t xml:space="preserve"> available, and you can find out more by searching for “draft emerging allocations Knebworth”</w:t>
      </w:r>
      <w:r w:rsidR="008019DB">
        <w:rPr>
          <w:rFonts w:ascii="Times New Roman" w:hAnsi="Times New Roman" w:cs="Times New Roman"/>
          <w:sz w:val="22"/>
          <w:szCs w:val="22"/>
        </w:rPr>
        <w:t xml:space="preserve">, with information on the Parish Council and NHDC websites.  The full detail of the Emerging Local Plan may be obtained from: </w:t>
      </w:r>
      <w:r w:rsidR="008019DB" w:rsidRPr="008019DB">
        <w:rPr>
          <w:rFonts w:ascii="Times New Roman" w:hAnsi="Times New Roman" w:cs="Times New Roman"/>
          <w:sz w:val="22"/>
          <w:szCs w:val="22"/>
        </w:rPr>
        <w:t>www.north-herts.gov.uk/home/planning/planning-policy/emerging-local-plan</w:t>
      </w:r>
    </w:p>
    <w:p w14:paraId="3FE0E9E7" w14:textId="77777777" w:rsidR="00A96337" w:rsidRDefault="008019DB" w:rsidP="008019DB">
      <w:pPr>
        <w:spacing w:before="240"/>
        <w:rPr>
          <w:rFonts w:ascii="Times New Roman" w:hAnsi="Times New Roman" w:cs="Times New Roman"/>
          <w:sz w:val="22"/>
          <w:szCs w:val="22"/>
        </w:rPr>
      </w:pPr>
      <w:r>
        <w:rPr>
          <w:rFonts w:ascii="Times New Roman" w:hAnsi="Times New Roman" w:cs="Times New Roman"/>
          <w:b/>
          <w:sz w:val="24"/>
          <w:szCs w:val="24"/>
        </w:rPr>
        <w:t>Next Steps and Timings</w:t>
      </w:r>
      <w:r>
        <w:rPr>
          <w:rFonts w:ascii="Times New Roman" w:hAnsi="Times New Roman" w:cs="Times New Roman"/>
          <w:b/>
          <w:sz w:val="24"/>
          <w:szCs w:val="24"/>
        </w:rPr>
        <w:t xml:space="preserve">: </w:t>
      </w:r>
      <w:r>
        <w:rPr>
          <w:rFonts w:ascii="Times New Roman" w:hAnsi="Times New Roman" w:cs="Times New Roman"/>
          <w:sz w:val="22"/>
          <w:szCs w:val="22"/>
        </w:rPr>
        <w:t xml:space="preserve">The next step is for a final decision by the NHDC Cabinet to submit the plan for </w:t>
      </w:r>
      <w:r>
        <w:rPr>
          <w:rFonts w:ascii="Times New Roman" w:hAnsi="Times New Roman" w:cs="Times New Roman"/>
          <w:sz w:val="22"/>
          <w:szCs w:val="22"/>
        </w:rPr>
        <w:t>public consultation</w:t>
      </w:r>
      <w:r w:rsidR="00A96337">
        <w:rPr>
          <w:rFonts w:ascii="Times New Roman" w:hAnsi="Times New Roman" w:cs="Times New Roman"/>
          <w:sz w:val="22"/>
          <w:szCs w:val="22"/>
        </w:rPr>
        <w:t xml:space="preserve"> which, in this context, is collecting responses for review by the Planning Inspector, on behalf of the Secretary of State</w:t>
      </w:r>
      <w:r>
        <w:rPr>
          <w:rFonts w:ascii="Times New Roman" w:hAnsi="Times New Roman" w:cs="Times New Roman"/>
          <w:sz w:val="22"/>
          <w:szCs w:val="22"/>
        </w:rPr>
        <w:t>.</w:t>
      </w:r>
      <w:r>
        <w:rPr>
          <w:rFonts w:ascii="Times New Roman" w:hAnsi="Times New Roman" w:cs="Times New Roman"/>
          <w:sz w:val="22"/>
          <w:szCs w:val="22"/>
        </w:rPr>
        <w:t xml:space="preserve"> </w:t>
      </w:r>
    </w:p>
    <w:p w14:paraId="7FBD83E9" w14:textId="77777777" w:rsidR="00A96337" w:rsidRDefault="008019DB" w:rsidP="008019DB">
      <w:pPr>
        <w:spacing w:before="240"/>
        <w:rPr>
          <w:rFonts w:ascii="Times New Roman" w:hAnsi="Times New Roman" w:cs="Times New Roman"/>
          <w:sz w:val="22"/>
          <w:szCs w:val="22"/>
        </w:rPr>
      </w:pPr>
      <w:r>
        <w:rPr>
          <w:rFonts w:ascii="Times New Roman" w:hAnsi="Times New Roman" w:cs="Times New Roman"/>
          <w:sz w:val="22"/>
          <w:szCs w:val="22"/>
        </w:rPr>
        <w:t>The decision by Cabinet will be taken at a meeting in September, so that the statutory period of 6 weeks for the consultation will begin sometime around mid October</w:t>
      </w:r>
      <w:r w:rsidR="00A96337">
        <w:rPr>
          <w:rFonts w:ascii="Times New Roman" w:hAnsi="Times New Roman" w:cs="Times New Roman"/>
          <w:sz w:val="22"/>
          <w:szCs w:val="22"/>
        </w:rPr>
        <w:t>, so there is time to examine the proposals so that you are ready to submit any comments once the consultation begins</w:t>
      </w:r>
      <w:r>
        <w:rPr>
          <w:rFonts w:ascii="Times New Roman" w:hAnsi="Times New Roman" w:cs="Times New Roman"/>
          <w:sz w:val="22"/>
          <w:szCs w:val="22"/>
        </w:rPr>
        <w:t>.</w:t>
      </w:r>
      <w:r w:rsidR="00A96337">
        <w:rPr>
          <w:rFonts w:ascii="Times New Roman" w:hAnsi="Times New Roman" w:cs="Times New Roman"/>
          <w:sz w:val="22"/>
          <w:szCs w:val="22"/>
        </w:rPr>
        <w:t xml:space="preserve"> </w:t>
      </w:r>
    </w:p>
    <w:p w14:paraId="029B08E4" w14:textId="3BF89A02" w:rsidR="008019DB" w:rsidRDefault="008019DB" w:rsidP="008019DB">
      <w:pPr>
        <w:spacing w:before="240"/>
        <w:rPr>
          <w:rFonts w:ascii="Times New Roman" w:hAnsi="Times New Roman" w:cs="Times New Roman"/>
          <w:sz w:val="22"/>
          <w:szCs w:val="22"/>
        </w:rPr>
      </w:pPr>
      <w:r>
        <w:rPr>
          <w:rFonts w:ascii="Times New Roman" w:hAnsi="Times New Roman" w:cs="Times New Roman"/>
          <w:sz w:val="22"/>
          <w:szCs w:val="22"/>
        </w:rPr>
        <w:t>Note that, if you submitted comments in response to previous consultations on the plan, such as the Preferred Options consultation in December 2014, and believe that the updated plan does not fully address your concerns, you should submit your comments again in October.  This time the comments will be examined by the Planning Inspector, on behalf of the Secretary of State, and not by the planning officers in NHDC</w:t>
      </w:r>
      <w:r w:rsidR="00A96337">
        <w:rPr>
          <w:rFonts w:ascii="Times New Roman" w:hAnsi="Times New Roman" w:cs="Times New Roman"/>
          <w:sz w:val="22"/>
          <w:szCs w:val="22"/>
        </w:rPr>
        <w:t>, as part of his review of the whole plan</w:t>
      </w:r>
      <w:r>
        <w:rPr>
          <w:rFonts w:ascii="Times New Roman" w:hAnsi="Times New Roman" w:cs="Times New Roman"/>
          <w:sz w:val="22"/>
          <w:szCs w:val="22"/>
        </w:rPr>
        <w:t>.</w:t>
      </w:r>
      <w:r w:rsidR="00A96337">
        <w:rPr>
          <w:rFonts w:ascii="Times New Roman" w:hAnsi="Times New Roman" w:cs="Times New Roman"/>
          <w:sz w:val="22"/>
          <w:szCs w:val="22"/>
        </w:rPr>
        <w:t xml:space="preserve"> It is expected that formal submission to the Planning Inspector will happen in the first part of 2017 and approval of the plan will be some time after that</w:t>
      </w:r>
      <w:bookmarkStart w:id="0" w:name="_GoBack"/>
      <w:bookmarkEnd w:id="0"/>
      <w:r w:rsidR="00A96337">
        <w:rPr>
          <w:rFonts w:ascii="Times New Roman" w:hAnsi="Times New Roman" w:cs="Times New Roman"/>
          <w:sz w:val="22"/>
          <w:szCs w:val="22"/>
        </w:rPr>
        <w:t>, possibly not until 2018.</w:t>
      </w:r>
    </w:p>
    <w:p w14:paraId="0D161D07" w14:textId="0F23947B" w:rsidR="007E0202" w:rsidRPr="007E0202" w:rsidRDefault="007E0202" w:rsidP="007E0202">
      <w:pPr>
        <w:spacing w:before="240"/>
        <w:rPr>
          <w:rFonts w:ascii="Times New Roman" w:hAnsi="Times New Roman" w:cs="Times New Roman"/>
          <w:sz w:val="22"/>
          <w:szCs w:val="22"/>
        </w:rPr>
      </w:pPr>
      <w:r w:rsidRPr="007E0202">
        <w:rPr>
          <w:rFonts w:ascii="Times New Roman" w:hAnsi="Times New Roman" w:cs="Times New Roman"/>
          <w:b/>
          <w:color w:val="auto"/>
          <w:sz w:val="24"/>
          <w:szCs w:val="24"/>
        </w:rPr>
        <w:t>Joint Wa</w:t>
      </w:r>
      <w:r w:rsidR="00A96337">
        <w:rPr>
          <w:rFonts w:ascii="Times New Roman" w:hAnsi="Times New Roman" w:cs="Times New Roman"/>
          <w:b/>
          <w:color w:val="auto"/>
          <w:sz w:val="24"/>
          <w:szCs w:val="24"/>
        </w:rPr>
        <w:t>ste Collection and Street Clean</w:t>
      </w:r>
      <w:r w:rsidRPr="007E0202">
        <w:rPr>
          <w:rFonts w:ascii="Times New Roman" w:hAnsi="Times New Roman" w:cs="Times New Roman"/>
          <w:b/>
          <w:color w:val="auto"/>
          <w:sz w:val="24"/>
          <w:szCs w:val="24"/>
        </w:rPr>
        <w:t>ing Contract</w:t>
      </w:r>
    </w:p>
    <w:p w14:paraId="67ED2C6C" w14:textId="3CAA84B5" w:rsidR="00207DB9" w:rsidRPr="007E0202" w:rsidRDefault="007E0202" w:rsidP="007E0202">
      <w:pPr>
        <w:pStyle w:val="FirstParagraph"/>
        <w:spacing w:line="276" w:lineRule="auto"/>
        <w:rPr>
          <w:rFonts w:ascii="Times New Roman" w:hAnsi="Times New Roman" w:cs="Times New Roman"/>
          <w:sz w:val="22"/>
          <w:szCs w:val="22"/>
        </w:rPr>
      </w:pPr>
      <w:r w:rsidRPr="007E0202">
        <w:rPr>
          <w:rFonts w:ascii="Times New Roman" w:hAnsi="Times New Roman" w:cs="Times New Roman"/>
          <w:sz w:val="22"/>
          <w:szCs w:val="22"/>
        </w:rPr>
        <w:t>A contract for waste collection and street cleansing in the District is not the most exciting topic imaginable. However, it does account for around 45% of all North Herts District expenditure, so getting it wrong could have catastrophic consequences for the Council budget. It has been decided to go out to</w:t>
      </w:r>
      <w:r>
        <w:rPr>
          <w:rFonts w:ascii="Times New Roman" w:hAnsi="Times New Roman" w:cs="Times New Roman"/>
          <w:sz w:val="22"/>
          <w:szCs w:val="22"/>
        </w:rPr>
        <w:t xml:space="preserve"> tender jointly with East Herts </w:t>
      </w:r>
      <w:r>
        <w:rPr>
          <w:rFonts w:ascii="Times New Roman" w:hAnsi="Times New Roman" w:cs="Times New Roman"/>
          <w:sz w:val="22"/>
          <w:szCs w:val="22"/>
        </w:rPr>
        <w:lastRenderedPageBreak/>
        <w:t>as b</w:t>
      </w:r>
      <w:r w:rsidRPr="007E0202">
        <w:rPr>
          <w:rFonts w:ascii="Times New Roman" w:hAnsi="Times New Roman" w:cs="Times New Roman"/>
          <w:sz w:val="22"/>
          <w:szCs w:val="22"/>
        </w:rPr>
        <w:t>y doing this there will be an elimination of duplication in management o</w:t>
      </w:r>
      <w:r>
        <w:rPr>
          <w:rFonts w:ascii="Times New Roman" w:hAnsi="Times New Roman" w:cs="Times New Roman"/>
          <w:sz w:val="22"/>
          <w:szCs w:val="22"/>
        </w:rPr>
        <w:t>f the contract and should result in</w:t>
      </w:r>
      <w:r w:rsidRPr="007E0202">
        <w:rPr>
          <w:rFonts w:ascii="Times New Roman" w:hAnsi="Times New Roman" w:cs="Times New Roman"/>
          <w:sz w:val="22"/>
          <w:szCs w:val="22"/>
        </w:rPr>
        <w:t xml:space="preserve"> a reduction in unit costs. Before we can do this the contract specifications for North and East Herts have to be brought into line: not least the termination date of our current contracts, but also in some detailed aspects of waste and recycling. To let the contract will </w:t>
      </w:r>
      <w:r>
        <w:rPr>
          <w:rFonts w:ascii="Times New Roman" w:hAnsi="Times New Roman" w:cs="Times New Roman"/>
          <w:sz w:val="22"/>
          <w:szCs w:val="22"/>
        </w:rPr>
        <w:t xml:space="preserve">therefore </w:t>
      </w:r>
      <w:r w:rsidRPr="007E0202">
        <w:rPr>
          <w:rFonts w:ascii="Times New Roman" w:hAnsi="Times New Roman" w:cs="Times New Roman"/>
          <w:sz w:val="22"/>
          <w:szCs w:val="22"/>
        </w:rPr>
        <w:t>take quite some time, but the decision has now been made to move forward with the tender process.</w:t>
      </w:r>
    </w:p>
    <w:p w14:paraId="67ED2C6E" w14:textId="77777777" w:rsidR="00726009" w:rsidRDefault="00726009" w:rsidP="000013F7">
      <w:pPr>
        <w:spacing w:line="276" w:lineRule="auto"/>
        <w:rPr>
          <w:rFonts w:ascii="Times New Roman" w:hAnsi="Times New Roman" w:cs="Times New Roman"/>
          <w:sz w:val="22"/>
          <w:szCs w:val="22"/>
        </w:rPr>
      </w:pPr>
    </w:p>
    <w:p w14:paraId="67ED2C6F" w14:textId="77777777"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26009">
      <w:type w:val="continuous"/>
      <w:pgSz w:w="12240" w:h="15840"/>
      <w:pgMar w:top="720" w:right="1134" w:bottom="720"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9CCA" w14:textId="77777777" w:rsidR="009A4A44" w:rsidRDefault="009A4A44" w:rsidP="00F24D85">
      <w:pPr>
        <w:spacing w:after="0" w:line="240" w:lineRule="auto"/>
      </w:pPr>
      <w:r>
        <w:separator/>
      </w:r>
    </w:p>
  </w:endnote>
  <w:endnote w:type="continuationSeparator" w:id="0">
    <w:p w14:paraId="5424C01B" w14:textId="77777777" w:rsidR="009A4A44" w:rsidRDefault="009A4A4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01533" w14:textId="77777777" w:rsidR="009A4A44" w:rsidRDefault="009A4A44" w:rsidP="00F24D85">
      <w:pPr>
        <w:spacing w:after="0" w:line="240" w:lineRule="auto"/>
      </w:pPr>
      <w:r>
        <w:separator/>
      </w:r>
    </w:p>
  </w:footnote>
  <w:footnote w:type="continuationSeparator" w:id="0">
    <w:p w14:paraId="2B5DF506" w14:textId="77777777" w:rsidR="009A4A44" w:rsidRDefault="009A4A44"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43A19"/>
    <w:rsid w:val="001B488B"/>
    <w:rsid w:val="00207DB9"/>
    <w:rsid w:val="00215294"/>
    <w:rsid w:val="00270503"/>
    <w:rsid w:val="002B7664"/>
    <w:rsid w:val="0032550B"/>
    <w:rsid w:val="003273B3"/>
    <w:rsid w:val="00330F67"/>
    <w:rsid w:val="0035322A"/>
    <w:rsid w:val="00364793"/>
    <w:rsid w:val="003D58BF"/>
    <w:rsid w:val="00400694"/>
    <w:rsid w:val="004309BF"/>
    <w:rsid w:val="00476311"/>
    <w:rsid w:val="004B4D49"/>
    <w:rsid w:val="004E4789"/>
    <w:rsid w:val="004E52E8"/>
    <w:rsid w:val="0050012D"/>
    <w:rsid w:val="00520F73"/>
    <w:rsid w:val="00526723"/>
    <w:rsid w:val="00541801"/>
    <w:rsid w:val="00553A33"/>
    <w:rsid w:val="00557915"/>
    <w:rsid w:val="0059582B"/>
    <w:rsid w:val="005C59E4"/>
    <w:rsid w:val="005D27D1"/>
    <w:rsid w:val="005F053D"/>
    <w:rsid w:val="006460B6"/>
    <w:rsid w:val="0064661F"/>
    <w:rsid w:val="0064780C"/>
    <w:rsid w:val="00695878"/>
    <w:rsid w:val="006A4C0A"/>
    <w:rsid w:val="00702A97"/>
    <w:rsid w:val="007223F4"/>
    <w:rsid w:val="00726009"/>
    <w:rsid w:val="00734B1E"/>
    <w:rsid w:val="00762657"/>
    <w:rsid w:val="00781ECD"/>
    <w:rsid w:val="0079031E"/>
    <w:rsid w:val="007E0202"/>
    <w:rsid w:val="008019DB"/>
    <w:rsid w:val="00847204"/>
    <w:rsid w:val="008525B8"/>
    <w:rsid w:val="00855B01"/>
    <w:rsid w:val="0087421D"/>
    <w:rsid w:val="008C1376"/>
    <w:rsid w:val="00923087"/>
    <w:rsid w:val="00925A43"/>
    <w:rsid w:val="00962561"/>
    <w:rsid w:val="00965C83"/>
    <w:rsid w:val="009A3485"/>
    <w:rsid w:val="009A4A44"/>
    <w:rsid w:val="009B2BA6"/>
    <w:rsid w:val="009F4B3A"/>
    <w:rsid w:val="00A478CC"/>
    <w:rsid w:val="00A524A9"/>
    <w:rsid w:val="00A934FF"/>
    <w:rsid w:val="00A96337"/>
    <w:rsid w:val="00B51578"/>
    <w:rsid w:val="00B56E37"/>
    <w:rsid w:val="00BA3EBB"/>
    <w:rsid w:val="00BE5D5F"/>
    <w:rsid w:val="00C010E6"/>
    <w:rsid w:val="00C74023"/>
    <w:rsid w:val="00C77F9D"/>
    <w:rsid w:val="00C936D6"/>
    <w:rsid w:val="00CF1570"/>
    <w:rsid w:val="00D34F1F"/>
    <w:rsid w:val="00D45469"/>
    <w:rsid w:val="00D817CB"/>
    <w:rsid w:val="00D876E7"/>
    <w:rsid w:val="00DA0FE5"/>
    <w:rsid w:val="00DA6D5A"/>
    <w:rsid w:val="00DF6377"/>
    <w:rsid w:val="00DF7D01"/>
    <w:rsid w:val="00E31875"/>
    <w:rsid w:val="00E66367"/>
    <w:rsid w:val="00E71B41"/>
    <w:rsid w:val="00EE3786"/>
    <w:rsid w:val="00F015D6"/>
    <w:rsid w:val="00F21470"/>
    <w:rsid w:val="00F24D85"/>
    <w:rsid w:val="00F5124E"/>
    <w:rsid w:val="00F75A5D"/>
    <w:rsid w:val="00F86A52"/>
    <w:rsid w:val="00F93A20"/>
    <w:rsid w:val="00FA2A9C"/>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semiHidden/>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semiHidden/>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2</cp:revision>
  <cp:lastPrinted>2016-06-15T10:57:00Z</cp:lastPrinted>
  <dcterms:created xsi:type="dcterms:W3CDTF">2016-08-13T15:56:00Z</dcterms:created>
  <dcterms:modified xsi:type="dcterms:W3CDTF">2016-08-13T15:56:00Z</dcterms:modified>
</cp:coreProperties>
</file>