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t>Signal</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r>
            <w:r>
              <w:rPr>
                <w:b/>
                <w:sz w:val="16"/>
              </w:rPr>
              <w:t>PD2_CATHODE</w:t>
            </w:r>
          </w:p>
        </w:tc>
        <w:tc>
          <w:tcPr>
            <w:tcW w:type="dxa" w:w="1584"/>
          </w:tcPr>
          <w:p>
            <w:pPr>
              <w:spacing w:after="0"/>
            </w:pPr>
            <w:r>
              <w:rPr>
                <w:sz w:val="19"/>
              </w:rPr>
            </w:r>
            <w:r>
              <w:rPr>
                <w:b w:val="0"/>
                <w:sz w:val="16"/>
              </w:rPr>
              <w:t>ZM → Hub</w:t>
            </w:r>
          </w:p>
        </w:tc>
        <w:tc>
          <w:tcPr>
            <w:tcW w:type="dxa" w:w="1296"/>
          </w:tcPr>
          <w:p>
            <w:pPr>
              <w:spacing w:after="0"/>
            </w:pPr>
            <w:r>
              <w:rPr>
                <w:sz w:val="19"/>
              </w:rPr>
            </w:r>
            <w:r>
              <w:rPr>
                <w:b w:val="0"/>
                <w:sz w:val="16"/>
              </w:rPr>
              <w:t>Scalp-side reference photodiode cathode (RISK-14 Option B). Connect to Hub ADC channel (same TIA as PD_CATHODE, multiplexed). 0.5 mm pitch ZIF pin 19.</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r>
        <w:rPr>
          <w:b w:val="0"/>
          <w:sz w:val="20"/>
        </w:rPr>
        <w:t>Calibration: at factory burn-in (100 h), record PD1_ref and PD2_ref at nominal LED current. Store in SHDR calibration partition. Field algorithm uses PD1/PD1_ref and PD2/PD2_ref ratios, not absolute values.</w:t>
      </w:r>
    </w:p>
    <w:p>
      <w:r>
        <w:rPr>
          <w:b w:val="0"/>
          <w:sz w:val="20"/>
        </w:rPr>
        <w:t>BOM impact: +$0.75–1.50 per headset (PD2 component + TIA multiplexer input). Included in RISK-14 Option B BOM estimate. T1 and T2 share the same zone module mould — no additional tooling cost for T2.</w:t>
      </w:r>
    </w:p>
    <w:p>
      <w:r>
        <w:rPr>
          <w:b w:val="0"/>
          <w:sz w:val="20"/>
        </w:rPr>
        <w:t>[DRAWING REQUIREMENT — ZONE MODULE TOOLING] PD2 aperture: 1.2 mm circular opening in scalp-facing PDMS window, centred on PD2 body. Aperture must be specified in NP-TOOL-ZM-001 before mould design. T1 and T2 zone modules use identical mould — PD2 aperture is present in all units; firmware enables dual-PD ratio algorithm by software flag only.</w:t>
      </w:r>
    </w:p>
    <w:p>
      <w:r>
        <w:rPr>
          <w:b w:val="0"/>
          <w:sz w:val="20"/>
        </w:rPr>
        <w:t>Electrical connection: PD2_CATHODE on FPC pin 19 (formerly SPARE_2). Hub MCU reads PD2 via the same TIA circuit as PD1, time-multiplexed within the LED PWM dark period. No additional Hub PCB area required beyond one ADC multiplexer input.</w:t>
      </w:r>
    </w:p>
    <w:p>
      <w:r>
        <w:rPr>
          <w:b w:val="0"/>
          <w:sz w:val="20"/>
        </w:rPr>
        <w:t>PD1 stable PD2↑ → anomalous scalp reflectance change (log to SHDR; do not alter dose)</w:t>
      </w:r>
    </w:p>
    <w:p>
      <w:r>
        <w:rPr>
          <w:b w:val="0"/>
          <w:sz w:val="20"/>
        </w:rPr>
        <w:t>PD1↓ PD2↓ proportional → LED aging (auto: increase current within IEC 60601 ceiling)</w:t>
      </w:r>
    </w:p>
    <w:p>
      <w:r>
        <w:rPr>
          <w:b w:val="0"/>
          <w:sz w:val="20"/>
        </w:rPr>
        <w:t>PD1↓ PD2 stable → PDMS fouling (user: clean window prompt)</w:t>
      </w:r>
    </w:p>
    <w:p>
      <w:r>
        <w:rPr>
          <w:b w:val="0"/>
          <w:sz w:val="20"/>
        </w:rPr>
        <w:t>Rationale: PD1 (existing reference photodiode, §8.1–8.3) is positioned behind the scalp-facing PDMS window and measures forward-emitted power. PD1 signal combines LED aging and PDMS fouling — these cannot be separated by trend analysis alone. PD2, facing the scalp, is unaffected by PDMS fouling. The ratio PD1/PD2 isolates the two failure modes with firmware-only logic:</w:t>
      </w:r>
    </w:p>
    <w:p>
      <w:r>
        <w:rPr>
          <w:b w:val="0"/>
          <w:sz w:val="20"/>
        </w:rPr>
        <w:t>A second photodiode (PD2) is co-moulded into the scalp-facing surface of the zone module body, behind a dedicated 1.2 mm circular aperture in the PDMS window (see §12 zone module tooling). PD2 faces the scalp directly and measures backscattered optical power from tissue.</w:t>
      </w:r>
    </w:p>
    <w:p>
      <w:r>
        <w:rPr>
          <w:b/>
          <w:color w:val="1F497D"/>
          <w:sz w:val="22"/>
        </w:rPr>
        <w:t>8.4  Scalp-Side Reference Photodiode (PD2) — RISK-14 Option B</w:t>
      </w:r>
    </w:p>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moulded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moulded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centre-to-centre (ISO 9241-920 tactile element guidance). Moulded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moulded into the body — no paint or label required; (b) Grade 1 braille abbreviation for the zone position moulded immediately below the numeral: ZM-01 = 'FL' (Frontal Left), ZM-02 = 'FR' (Frontal Right), ZM-03 = 'CL' (Central Left), ZM-04 = 'CR' (Central Right), ZM-05 = 'PO' (Parietal/Occipital). Braille cell dimensions per ISO 17049:2013 (dot diameter 1.5 mm, inter-dot spacing 2.5 mm, inter-cell spacing 6 mm). Moulded into zone module body at zero incremental cost if specified before tooling. In addition: large-print text identifier (e.g., 'ZM-01 FL') in contrasting colour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colour-vision-deficient and blind users:</w:t>
      </w:r>
    </w:p>
    <w:p>
      <w:r>
        <w:rPr>
          <w:b w:val="0"/>
          <w:sz w:val="20"/>
        </w:rPr>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r>
      <w:r>
        <w:rPr>
          <w:b/>
          <w:color w:val="C00000"/>
          <w:sz w:val="20"/>
        </w:rPr>
        <w:t>[DRAWING REQUIREMENT — ZONE MODULE TOOLING]  Zone module edge seal — self-sealing compression gasket (Option A, selected): A co-moulded Shore 40–50A UV-stable medical-grade silicone (ISO 10993-5) lip seal runs continuously around the full perimeter of the zone module face, 1 mm inset from the PDMS window edge. Profile: D-section, 2.5 mm wide × 2.0 mm height nominal; compressed to 1.6 mm (20% compression, 0.4 mm deflection) at full insertion. Compression force contribution: ~2–4 N (additive to mechanical key engagement force). The gasket is co-moulded with the zone module body — it is permanent and requires no user attention on any reinsertion. On every zone module removal and reinsertion, the gasket re-seats automatically against the shell slot rim. No RTV, no syringe, no user procedure. IPX4 compliance is maintained through the device lifetime for all user-replaceable zone module swaps. The shell slot rim contact surface must be smooth (Ra ≤ 1.6 µm) and free of draft-angle steps that would prevent full gasket seating. Specify in shell tooling: slot rim width ≥ 2.5 mm to provide full gasket bearing surface. BOM delta vs. RTV bead approach: +$0.30–0.60 per zone module (co-moulded gasket NRE absorbed if specified before first tooling cut).</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r>
            <w:r>
              <w:rPr>
                <w:b w:val="0"/>
                <w:sz w:val="18"/>
              </w:rPr>
              <w:t>Qualification on assembled headset — PLUS field-replacement IPX4 test: repeat after 10 zone module swap cycles per NP-FAI-ZM-001 FAI-IPX-02.</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