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B  —  2026-05-08 (corrected)</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r>
              <w:rPr>
                <w:b/>
              </w:rPr>
              <w:t>ams-OSRAM SFH 4703AS</w:t>
              <w:br/>
              <w:t>(820nm — WAVELENGTH MATCH</w:t>
              <w:br/>
              <w:t>but Vf incompatible)</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(DigiKey, Mouser stocked)</w:t>
            </w:r>
          </w:p>
        </w:tc>
        <w:tc>
          <w:tcPr>
            <w:tcW w:type="dxa" w:w="1560"/>
          </w:tcPr>
          <w:p>
            <w:r>
              <w:t>—</w:t>
            </w:r>
          </w:p>
        </w:tc>
        <w:tc>
          <w:tcPr>
            <w:tcW w:type="dxa" w:w="1560"/>
          </w:tcPr>
          <w:p>
            <w:r>
              <w:t>L1IZ-0850 and SFH 4718A: order samples + request Vf cert. SFH 4703AS: hold —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820 nm ✓</w:t>
              <w:br/>
              <w:t>Within 808–830nm window</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~3.0–3.2 V estimated at 150mA</w:t>
              <w:br/>
              <w:t>(Vf=3.55V @1A due to 820nm AlGaAs structure)</w:t>
            </w:r>
          </w:p>
        </w:tc>
        <w:tc>
          <w:tcPr>
            <w:tcW w:type="dxa" w:w="1560"/>
          </w:tcPr>
          <w:p>
            <w:r>
              <w:t>1.6–1.8 V</w:t>
              <w:br/>
              <w:t>(§2.3 estimate to confirm)</w:t>
            </w:r>
          </w:p>
        </w:tc>
        <w:tc>
          <w:tcPr>
            <w:tcW w:type="dxa" w:w="1560"/>
          </w:tcPr>
          <w:p>
            <w:r>
              <w:t>Vf pulled from real datasheets 2026-07-28 — both differ from prior estimates in this table. Update Hub PCB string topology once OI-LED-W1 selects a wavelength. SFH 4703AS Vf unchanged, incompatible.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2000mA DC</w:t>
              <w:br/>
              <w:t>(11× DC margin ✓)</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820nm: within 808–830nm CCO absorption window.</w:t>
              <w:br/>
              <w:t>Electrically incompatible with 660nm string design — requires separate higher-voltage driver.</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