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32"/>
        </w:rPr>
        <w:t>NP-TOOL-ZM-001</w:t>
      </w:r>
    </w:p>
    <w:p>
      <w:r>
        <w:rPr>
          <w:b/>
          <w:color w:val="1F497D"/>
          <w:sz w:val="28"/>
        </w:rPr>
        <w:t>NeurOne Zone Module Tooling Specification</w:t>
      </w:r>
    </w:p>
    <w:tbl>
      <w:tblPr>
        <w:tblStyle w:val="TableGrid"/>
        <w:tblW w:type="auto" w:w="0"/>
        <w:tblLook w:firstColumn="1" w:firstRow="1" w:lastColumn="0" w:lastRow="0" w:noHBand="0" w:noVBand="1" w:val="04A0"/>
      </w:tblPr>
      <w:tblGrid>
        <w:gridCol w:w="4320"/>
        <w:gridCol w:w="4320"/>
      </w:tblGrid>
      <w:tr>
        <w:tc>
          <w:tcPr>
            <w:tcW w:type="dxa" w:w="2880"/>
            <w:shd w:val="clear" w:color="auto" w:fill="1F497D"/>
          </w:tcPr>
          <w:p>
            <w:r>
              <w:rPr>
                <w:b/>
                <w:color w:val="FFFFFF"/>
                <w:sz w:val="18"/>
              </w:rPr>
              <w:t>Document number:</w:t>
            </w:r>
          </w:p>
        </w:tc>
        <w:tc>
          <w:tcPr>
            <w:tcW w:type="dxa" w:w="6912"/>
          </w:tcPr>
          <w:p>
            <w:r>
              <w:rPr>
                <w:sz w:val="18"/>
              </w:rPr>
              <w:t>NP-TOOL-ZM-001</w:t>
            </w:r>
          </w:p>
        </w:tc>
      </w:tr>
      <w:tr>
        <w:tc>
          <w:tcPr>
            <w:tcW w:type="dxa" w:w="2880"/>
            <w:shd w:val="clear" w:color="auto" w:fill="1F497D"/>
          </w:tcPr>
          <w:p>
            <w:r>
              <w:rPr>
                <w:b/>
                <w:color w:val="FFFFFF"/>
                <w:sz w:val="18"/>
              </w:rPr>
              <w:t>Revision:</w:t>
            </w:r>
          </w:p>
        </w:tc>
        <w:tc>
          <w:tcPr>
            <w:tcW w:type="dxa" w:w="6912"/>
          </w:tcPr>
          <w:p>
            <w:r>
              <w:rPr>
                <w:sz w:val="18"/>
              </w:rPr>
              <w:t>A (Draft — Pre-Tooling)</w:t>
            </w:r>
          </w:p>
        </w:tc>
      </w:tr>
      <w:tr>
        <w:tc>
          <w:tcPr>
            <w:tcW w:type="dxa" w:w="2880"/>
            <w:shd w:val="clear" w:color="auto" w:fill="1F497D"/>
          </w:tcPr>
          <w:p>
            <w:r>
              <w:rPr>
                <w:b/>
                <w:color w:val="FFFFFF"/>
                <w:sz w:val="18"/>
              </w:rPr>
              <w:t>Status:</w:t>
            </w:r>
          </w:p>
        </w:tc>
        <w:tc>
          <w:tcPr>
            <w:tcW w:type="dxa" w:w="6912"/>
          </w:tcPr>
          <w:p>
            <w:r>
              <w:rPr>
                <w:sz w:val="18"/>
              </w:rPr>
              <w:t>OPEN — must be signed off before mold design commences</w:t>
            </w:r>
          </w:p>
        </w:tc>
      </w:tr>
      <w:tr>
        <w:tc>
          <w:tcPr>
            <w:tcW w:type="dxa" w:w="2880"/>
            <w:shd w:val="clear" w:color="auto" w:fill="1F497D"/>
          </w:tcPr>
          <w:p>
            <w:r>
              <w:rPr>
                <w:b/>
                <w:color w:val="FFFFFF"/>
                <w:sz w:val="18"/>
              </w:rPr>
              <w:t>Applies to:</w:t>
            </w:r>
          </w:p>
        </w:tc>
        <w:tc>
          <w:tcPr>
            <w:tcW w:type="dxa" w:w="6912"/>
          </w:tcPr>
          <w:p>
            <w:r>
              <w:rPr>
                <w:sz w:val="18"/>
              </w:rPr>
              <w:t>Zone Module body mold — all 5 zone positions (ZM-01 through ZM-05)</w:t>
            </w:r>
          </w:p>
        </w:tc>
      </w:tr>
      <w:tr>
        <w:tc>
          <w:tcPr>
            <w:tcW w:type="dxa" w:w="2880"/>
            <w:shd w:val="clear" w:color="auto" w:fill="1F497D"/>
          </w:tcPr>
          <w:p>
            <w:r>
              <w:rPr>
                <w:b/>
                <w:color w:val="FFFFFF"/>
                <w:sz w:val="18"/>
              </w:rPr>
              <w:t>T1 / T2 shared mold:</w:t>
            </w:r>
          </w:p>
        </w:tc>
        <w:tc>
          <w:tcPr>
            <w:tcW w:type="dxa" w:w="6912"/>
          </w:tcPr>
          <w:p>
            <w:r>
              <w:rPr>
                <w:sz w:val="18"/>
              </w:rPr>
              <w:t>YES — identical mold for both tiers; differences are firmware-only</w:t>
            </w:r>
          </w:p>
        </w:tc>
      </w:tr>
      <w:tr>
        <w:tc>
          <w:tcPr>
            <w:tcW w:type="dxa" w:w="2880"/>
            <w:shd w:val="clear" w:color="auto" w:fill="1F497D"/>
          </w:tcPr>
          <w:p>
            <w:r>
              <w:rPr>
                <w:b/>
                <w:color w:val="FFFFFF"/>
                <w:sz w:val="18"/>
              </w:rPr>
              <w:t>Date:</w:t>
            </w:r>
          </w:p>
        </w:tc>
        <w:tc>
          <w:tcPr>
            <w:tcW w:type="dxa" w:w="6912"/>
          </w:tcPr>
          <w:p>
            <w:r>
              <w:rPr>
                <w:sz w:val="18"/>
              </w:rPr>
              <w:t>2026-05-06</w:t>
            </w:r>
          </w:p>
        </w:tc>
      </w:tr>
      <w:tr>
        <w:tc>
          <w:tcPr>
            <w:tcW w:type="dxa" w:w="2880"/>
            <w:shd w:val="clear" w:color="auto" w:fill="1F497D"/>
          </w:tcPr>
          <w:p>
            <w:r>
              <w:rPr>
                <w:b/>
                <w:color w:val="FFFFFF"/>
                <w:sz w:val="18"/>
              </w:rPr>
              <w:t>Related specs:</w:t>
            </w:r>
          </w:p>
        </w:tc>
        <w:tc>
          <w:tcPr>
            <w:tcW w:type="dxa" w:w="6912"/>
          </w:tcPr>
          <w:p>
            <w:r>
              <w:rPr>
                <w:sz w:val="18"/>
              </w:rPr>
              <w:t>NP-HW-FPC-001, NP-DRV-SHELL-001, NP-FAI-ZM-001, NP-COORD-001</w:t>
            </w:r>
          </w:p>
        </w:tc>
      </w:tr>
    </w:tbl>
    <w:p/>
    <w:p>
      <w:r>
        <w:rPr>
          <w:b/>
          <w:color w:val="1F497D"/>
          <w:sz w:val="24"/>
        </w:rPr>
        <w:t>1.  PURPOSE AND SCOPE</w:t>
      </w:r>
    </w:p>
    <w:p>
      <w:r>
        <w:rPr>
          <w:sz w:val="20"/>
        </w:rPr>
        <w:t>This document consolidates all molded and co-molded feature requirements for the NeurOne Zone Module body. Four mitigations (RISK-06, RISK-14, RISK-15, RISK-16) each add a distinct molded feature to the zone module. This document exists because the cumulative complexity creates an omission risk (RISK-23): any feature missed before first-cut requires tooling modification (typically $15,000–40,000 and 6–8 week delay). All features below are MANDATORY and must appear in the mold design review before steel is cut.</w:t>
      </w:r>
    </w:p>
    <w:p>
      <w:r>
        <w:rPr>
          <w:sz w:val="20"/>
        </w:rPr>
        <w:t>Scope: Zone Module body only (thermoplastic shell + co-molded silicone). Not in scope: FPC, PDMS window bonding, LED placement (covered by NP-HW-FPC-001), shell slot geometry (NP-DRV-SHELL-001).</w:t>
      </w:r>
    </w:p>
    <w:p/>
    <w:p>
      <w:r>
        <w:rPr>
          <w:b/>
          <w:color w:val="1F497D"/>
          <w:sz w:val="24"/>
        </w:rPr>
        <w:t>2.  CO-MOLDED FEATURES — MANDATORY CHECKLIST</w:t>
      </w:r>
    </w:p>
    <w:p>
      <w:r>
        <w:rPr>
          <w:sz w:val="20"/>
        </w:rPr>
        <w:t>The following table lists all molded features required in the zone module body. Each feature has a risk traceability reference. The mold design review (Gate: G1 Pre-Layout, item G1-05) must confirm all items before proceeding.</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296"/>
            <w:shd w:val="clear" w:color="auto" w:fill="1F497D"/>
          </w:tcPr>
          <w:p>
            <w:r>
              <w:rPr>
                <w:b/>
                <w:color w:val="FFFFFF"/>
                <w:sz w:val="16"/>
              </w:rPr>
              <w:t>Feature ID</w:t>
            </w:r>
          </w:p>
        </w:tc>
        <w:tc>
          <w:tcPr>
            <w:tcW w:type="dxa" w:w="4320"/>
            <w:shd w:val="clear" w:color="auto" w:fill="1F497D"/>
          </w:tcPr>
          <w:p>
            <w:r>
              <w:rPr>
                <w:b/>
                <w:color w:val="FFFFFF"/>
                <w:sz w:val="16"/>
              </w:rPr>
              <w:t>Feature Description</w:t>
            </w:r>
          </w:p>
        </w:tc>
        <w:tc>
          <w:tcPr>
            <w:tcW w:type="dxa" w:w="1152"/>
            <w:shd w:val="clear" w:color="auto" w:fill="1F497D"/>
          </w:tcPr>
          <w:p>
            <w:r>
              <w:rPr>
                <w:b/>
                <w:color w:val="FFFFFF"/>
                <w:sz w:val="16"/>
              </w:rPr>
              <w:t>Risk Ref</w:t>
            </w:r>
          </w:p>
        </w:tc>
        <w:tc>
          <w:tcPr>
            <w:tcW w:type="dxa" w:w="1584"/>
            <w:shd w:val="clear" w:color="auto" w:fill="1F497D"/>
          </w:tcPr>
          <w:p>
            <w:r>
              <w:rPr>
                <w:b/>
                <w:color w:val="FFFFFF"/>
                <w:sz w:val="16"/>
              </w:rPr>
              <w:t>Spec Ref</w:t>
            </w:r>
          </w:p>
        </w:tc>
        <w:tc>
          <w:tcPr>
            <w:tcW w:type="dxa" w:w="1296"/>
            <w:shd w:val="clear" w:color="auto" w:fill="1F497D"/>
          </w:tcPr>
          <w:p>
            <w:r>
              <w:rPr>
                <w:b/>
                <w:color w:val="FFFFFF"/>
                <w:sz w:val="16"/>
              </w:rPr>
              <w:t>Confirmed in Mold Design?</w:t>
            </w:r>
          </w:p>
        </w:tc>
      </w:tr>
      <w:tr>
        <w:tc>
          <w:tcPr>
            <w:tcW w:type="dxa" w:w="1296"/>
            <w:shd w:val="clear" w:color="auto" w:fill="FFFFFF"/>
          </w:tcPr>
          <w:p>
            <w:r>
              <w:rPr>
                <w:b/>
                <w:sz w:val="16"/>
              </w:rPr>
              <w:t>F-01</w:t>
            </w:r>
          </w:p>
        </w:tc>
        <w:tc>
          <w:tcPr>
            <w:tcW w:type="dxa" w:w="4320"/>
            <w:shd w:val="clear" w:color="auto" w:fill="FFFFFF"/>
          </w:tcPr>
          <w:p>
            <w:r>
              <w:rPr>
                <w:sz w:val="16"/>
              </w:rPr>
              <w:t>Mechanical zone key: asymmetric D-section protrusion on insertion edge, unique geometry per zone position (ZM-01 through ZM-05). Prevents physical insertion into wrong shell slot. Must engage shell slot key before FPC tail contacts ZIF. Protrusion height ≥ 1.0 mm; width ≥ 2.0 mm; must clear without binding across 1,000 insertion cycles.</w:t>
            </w:r>
          </w:p>
        </w:tc>
        <w:tc>
          <w:tcPr>
            <w:tcW w:type="dxa" w:w="1152"/>
            <w:shd w:val="clear" w:color="auto" w:fill="FFFFFF"/>
          </w:tcPr>
          <w:p>
            <w:r>
              <w:rPr>
                <w:sz w:val="16"/>
              </w:rPr>
              <w:t>RISK-15</w:t>
            </w:r>
          </w:p>
        </w:tc>
        <w:tc>
          <w:tcPr>
            <w:tcW w:type="dxa" w:w="1584"/>
            <w:shd w:val="clear" w:color="auto" w:fill="FFFFFF"/>
          </w:tcPr>
          <w:p>
            <w:r>
              <w:rPr>
                <w:sz w:val="16"/>
              </w:rPr>
              <w:t>NP-HW-FPC-001 §11.4 Layer 1</w:t>
            </w:r>
          </w:p>
        </w:tc>
        <w:tc>
          <w:tcPr>
            <w:tcW w:type="dxa" w:w="1296"/>
            <w:shd w:val="clear" w:color="auto" w:fill="FFFFFF"/>
          </w:tcPr>
          <w:p>
            <w:r>
              <w:rPr>
                <w:sz w:val="16"/>
              </w:rPr>
              <w:t>☐</w:t>
            </w:r>
          </w:p>
        </w:tc>
      </w:tr>
      <w:tr>
        <w:tc>
          <w:tcPr>
            <w:tcW w:type="dxa" w:w="1296"/>
            <w:shd w:val="clear" w:color="auto" w:fill="F5F5F5"/>
          </w:tcPr>
          <w:p>
            <w:r>
              <w:rPr>
                <w:b/>
                <w:sz w:val="16"/>
              </w:rPr>
              <w:t>F-02</w:t>
            </w:r>
          </w:p>
        </w:tc>
        <w:tc>
          <w:tcPr>
            <w:tcW w:type="dxa" w:w="4320"/>
            <w:shd w:val="clear" w:color="auto" w:fill="F5F5F5"/>
          </w:tcPr>
          <w:p>
            <w:r>
              <w:rPr>
                <w:sz w:val="16"/>
              </w:rPr>
              <w:t>Raised numeral on module body: ISO-standard raised numeral '1' through '5' (zone position). Numeral height ≥ 0.8 mm; ISO 17049:2013 braille-dot height. Finger-readable by eyes-closed test. Located on thumb-contact surface (posterior face, within 15 mm of extraction point).</w:t>
            </w:r>
          </w:p>
        </w:tc>
        <w:tc>
          <w:tcPr>
            <w:tcW w:type="dxa" w:w="1152"/>
            <w:shd w:val="clear" w:color="auto" w:fill="F5F5F5"/>
          </w:tcPr>
          <w:p>
            <w:r>
              <w:rPr>
                <w:sz w:val="16"/>
              </w:rPr>
              <w:t>RISK-15</w:t>
            </w:r>
          </w:p>
        </w:tc>
        <w:tc>
          <w:tcPr>
            <w:tcW w:type="dxa" w:w="1584"/>
            <w:shd w:val="clear" w:color="auto" w:fill="F5F5F5"/>
          </w:tcPr>
          <w:p>
            <w:r>
              <w:rPr>
                <w:sz w:val="16"/>
              </w:rPr>
              <w:t>NP-HW-FPC-001 §11.4 Layer 3</w:t>
            </w:r>
          </w:p>
        </w:tc>
        <w:tc>
          <w:tcPr>
            <w:tcW w:type="dxa" w:w="1296"/>
            <w:shd w:val="clear" w:color="auto" w:fill="F5F5F5"/>
          </w:tcPr>
          <w:p>
            <w:r>
              <w:rPr>
                <w:sz w:val="16"/>
              </w:rPr>
              <w:t>☐</w:t>
            </w:r>
          </w:p>
        </w:tc>
      </w:tr>
      <w:tr>
        <w:tc>
          <w:tcPr>
            <w:tcW w:type="dxa" w:w="1296"/>
            <w:shd w:val="clear" w:color="auto" w:fill="FFFFFF"/>
          </w:tcPr>
          <w:p>
            <w:r>
              <w:rPr>
                <w:b/>
                <w:sz w:val="16"/>
              </w:rPr>
              <w:t>F-03</w:t>
            </w:r>
          </w:p>
        </w:tc>
        <w:tc>
          <w:tcPr>
            <w:tcW w:type="dxa" w:w="4320"/>
            <w:shd w:val="clear" w:color="auto" w:fill="FFFFFF"/>
          </w:tcPr>
          <w:p>
            <w:r>
              <w:rPr>
                <w:sz w:val="16"/>
              </w:rPr>
              <w:t>Braille zone abbreviation: ISO 17049:2013 braille cell on same face as numeral (F-02). Zone abbreviations: ZM-01='FL' (Frontal Left), ZM-02='FR' (Frontal Right), ZM-03='CL' (Central Left), ZM-04='CR' (Central Right), ZM-05='OC' (Occipital Center). Braille dot diameter 1.5 mm ± 0.1 mm; dot height 0.48 mm ± 0.05 mm; inter-dot 2.3 mm.</w:t>
            </w:r>
          </w:p>
        </w:tc>
        <w:tc>
          <w:tcPr>
            <w:tcW w:type="dxa" w:w="1152"/>
            <w:shd w:val="clear" w:color="auto" w:fill="FFFFFF"/>
          </w:tcPr>
          <w:p>
            <w:r>
              <w:rPr>
                <w:sz w:val="16"/>
              </w:rPr>
              <w:t>RISK-15</w:t>
            </w:r>
          </w:p>
        </w:tc>
        <w:tc>
          <w:tcPr>
            <w:tcW w:type="dxa" w:w="1584"/>
            <w:shd w:val="clear" w:color="auto" w:fill="FFFFFF"/>
          </w:tcPr>
          <w:p>
            <w:r>
              <w:rPr>
                <w:sz w:val="16"/>
              </w:rPr>
              <w:t>NP-HW-FPC-001 §11.4 Layer 3</w:t>
            </w:r>
          </w:p>
        </w:tc>
        <w:tc>
          <w:tcPr>
            <w:tcW w:type="dxa" w:w="1296"/>
            <w:shd w:val="clear" w:color="auto" w:fill="FFFFFF"/>
          </w:tcPr>
          <w:p>
            <w:r>
              <w:rPr>
                <w:sz w:val="16"/>
              </w:rPr>
              <w:t>☐</w:t>
            </w:r>
          </w:p>
        </w:tc>
      </w:tr>
      <w:tr>
        <w:tc>
          <w:tcPr>
            <w:tcW w:type="dxa" w:w="1296"/>
            <w:shd w:val="clear" w:color="auto" w:fill="F5F5F5"/>
          </w:tcPr>
          <w:p>
            <w:r>
              <w:rPr>
                <w:b/>
                <w:sz w:val="16"/>
              </w:rPr>
              <w:t>F-04</w:t>
            </w:r>
          </w:p>
        </w:tc>
        <w:tc>
          <w:tcPr>
            <w:tcW w:type="dxa" w:w="4320"/>
            <w:shd w:val="clear" w:color="auto" w:fill="F5F5F5"/>
          </w:tcPr>
          <w:p>
            <w:r>
              <w:rPr>
                <w:sz w:val="16"/>
              </w:rPr>
            </w:r>
            <w:r>
              <w:rPr>
                <w:b w:val="0"/>
                <w:sz w:val="16"/>
              </w:rPr>
              <w:t>RISK-14 Option B PD2 aperture: 1.2 mm circular aperture in scalp-facing PDMS window, positioned at X = 33.0 mm, Y = 39.0 mm from module reference corner (lower-left of LED array zone, scalp-facing view). This is the geometric center of the 66 × 78 mm LED array — co-located in XY with PD1 on the LED-facing surface. Aperture tolerance: ±0.2 mm on both axes. Aperture wall: angled 15° inward (funnel entry) to maximise backscattered light collection from scalp tissue. Aperture must be free of flash and burr (Ra ≤ 1.6 µm interior surface). POSITION LOCKED — NP-HW-FPC-001 Rev D §8.4 — 2026-05-09.</w:t>
            </w:r>
          </w:p>
        </w:tc>
        <w:tc>
          <w:tcPr>
            <w:tcW w:type="dxa" w:w="1152"/>
            <w:shd w:val="clear" w:color="auto" w:fill="F5F5F5"/>
          </w:tcPr>
          <w:p>
            <w:r>
              <w:rPr>
                <w:sz w:val="16"/>
              </w:rPr>
              <w:t>RISK-14</w:t>
            </w:r>
          </w:p>
        </w:tc>
        <w:tc>
          <w:tcPr>
            <w:tcW w:type="dxa" w:w="1584"/>
            <w:shd w:val="clear" w:color="auto" w:fill="F5F5F5"/>
          </w:tcPr>
          <w:p>
            <w:r>
              <w:rPr>
                <w:sz w:val="16"/>
              </w:rPr>
              <w:t>NP-HW-FPC-001 §8.4</w:t>
            </w:r>
          </w:p>
        </w:tc>
        <w:tc>
          <w:tcPr>
            <w:tcW w:type="dxa" w:w="1296"/>
            <w:shd w:val="clear" w:color="auto" w:fill="F5F5F5"/>
          </w:tcPr>
          <w:p>
            <w:r>
              <w:rPr>
                <w:sz w:val="16"/>
              </w:rPr>
            </w:r>
            <w:r>
              <w:rPr>
                <w:b w:val="0"/>
                <w:sz w:val="16"/>
              </w:rPr>
              <w:t>☐</w:t>
            </w:r>
          </w:p>
        </w:tc>
      </w:tr>
      <w:tr>
        <w:tc>
          <w:tcPr>
            <w:tcW w:type="dxa" w:w="1296"/>
            <w:shd w:val="clear" w:color="auto" w:fill="FFFFFF"/>
          </w:tcPr>
          <w:p>
            <w:r>
              <w:rPr>
                <w:b/>
                <w:sz w:val="16"/>
              </w:rPr>
              <w:t>F-05</w:t>
            </w:r>
          </w:p>
        </w:tc>
        <w:tc>
          <w:tcPr>
            <w:tcW w:type="dxa" w:w="4320"/>
            <w:shd w:val="clear" w:color="auto" w:fill="FFFFFF"/>
          </w:tcPr>
          <w:p>
            <w:r>
              <w:rPr>
                <w:sz w:val="16"/>
              </w:rPr>
              <w:t>Self-sealing compression gasket (co-molded silicone): Shore 40–50A UV-stable medical-grade silicone (ISO 10993-5), D-section, 2.5 mm wide × 2.0 mm height nominal, continuous bead around full perimeter of zone module insertion edge. Compressed to 1.6 mm (20% compression, 0.4 mm deflection) when module is fully seated in shell slot. No user RTV or field re-sealing action required. Provides IPX4 compliance at module interface. Gasket must maintain seal after 1,000 insertion/removal cycles (per NP-FAI-ZM-001 FAI-IPX-02).</w:t>
            </w:r>
          </w:p>
        </w:tc>
        <w:tc>
          <w:tcPr>
            <w:tcW w:type="dxa" w:w="1152"/>
            <w:shd w:val="clear" w:color="auto" w:fill="FFFFFF"/>
          </w:tcPr>
          <w:p>
            <w:r>
              <w:rPr>
                <w:sz w:val="16"/>
              </w:rPr>
              <w:t>RISK-16</w:t>
            </w:r>
          </w:p>
        </w:tc>
        <w:tc>
          <w:tcPr>
            <w:tcW w:type="dxa" w:w="1584"/>
            <w:shd w:val="clear" w:color="auto" w:fill="FFFFFF"/>
          </w:tcPr>
          <w:p>
            <w:r>
              <w:rPr>
                <w:sz w:val="16"/>
              </w:rPr>
              <w:t>NP-HW-FPC-001 §12</w:t>
            </w:r>
          </w:p>
        </w:tc>
        <w:tc>
          <w:tcPr>
            <w:tcW w:type="dxa" w:w="1296"/>
            <w:shd w:val="clear" w:color="auto" w:fill="FFFFFF"/>
          </w:tcPr>
          <w:p>
            <w:r>
              <w:rPr>
                <w:sz w:val="16"/>
              </w:rPr>
              <w:t>☐</w:t>
            </w:r>
          </w:p>
        </w:tc>
      </w:tr>
      <w:tr>
        <w:tc>
          <w:tcPr>
            <w:tcW w:type="dxa" w:w="1296"/>
            <w:shd w:val="clear" w:color="auto" w:fill="F5F5F5"/>
          </w:tcPr>
          <w:p>
            <w:r>
              <w:rPr>
                <w:b/>
                <w:sz w:val="16"/>
              </w:rPr>
              <w:t>F-06</w:t>
            </w:r>
          </w:p>
        </w:tc>
        <w:tc>
          <w:tcPr>
            <w:tcW w:type="dxa" w:w="4320"/>
            <w:shd w:val="clear" w:color="auto" w:fill="F5F5F5"/>
          </w:tcPr>
          <w:p>
            <w:r>
              <w:rPr>
                <w:sz w:val="16"/>
              </w:rPr>
              <w:t>Gasket retention groove/undercut: a 0.5 mm undercut groove molded into the zone module body perimeter accommodates the gasket D-section heel. Silicone primer (Dow Corning 1200 or equivalent) applied to groove surface before gasket co-moulding. Combined mechanical retention (groove) + chemical bonding (primer) prevents gasket delamination under 1,000 insertion cycles. Per NP-FAI-ZM-001 FAI-K09: 50-cycle extraction force test — gasket must not detach.</w:t>
            </w:r>
          </w:p>
        </w:tc>
        <w:tc>
          <w:tcPr>
            <w:tcW w:type="dxa" w:w="1152"/>
            <w:shd w:val="clear" w:color="auto" w:fill="F5F5F5"/>
          </w:tcPr>
          <w:p>
            <w:r>
              <w:rPr>
                <w:sz w:val="16"/>
              </w:rPr>
              <w:t>RISK-19</w:t>
            </w:r>
          </w:p>
        </w:tc>
        <w:tc>
          <w:tcPr>
            <w:tcW w:type="dxa" w:w="1584"/>
            <w:shd w:val="clear" w:color="auto" w:fill="F5F5F5"/>
          </w:tcPr>
          <w:p>
            <w:r>
              <w:rPr>
                <w:sz w:val="16"/>
              </w:rPr>
              <w:t>NP-FAI-ZM-001 §5</w:t>
            </w:r>
          </w:p>
        </w:tc>
        <w:tc>
          <w:tcPr>
            <w:tcW w:type="dxa" w:w="1296"/>
            <w:shd w:val="clear" w:color="auto" w:fill="F5F5F5"/>
          </w:tcPr>
          <w:p>
            <w:r>
              <w:rPr>
                <w:sz w:val="16"/>
              </w:rPr>
              <w:t>☐</w:t>
            </w:r>
          </w:p>
        </w:tc>
      </w:tr>
      <w:tr>
        <w:tc>
          <w:tcPr>
            <w:tcW w:type="dxa" w:w="1296"/>
            <w:shd w:val="clear" w:color="auto" w:fill="FFFFFF"/>
          </w:tcPr>
          <w:p>
            <w:r>
              <w:rPr>
                <w:b/>
                <w:sz w:val="16"/>
              </w:rPr>
              <w:t>F-07</w:t>
            </w:r>
          </w:p>
        </w:tc>
        <w:tc>
          <w:tcPr>
            <w:tcW w:type="dxa" w:w="4320"/>
            <w:shd w:val="clear" w:color="auto" w:fill="FFFFFF"/>
          </w:tcPr>
          <w:p>
            <w:r>
              <w:rPr>
                <w:sz w:val="16"/>
              </w:rPr>
              <w:t>LED baffle wall: internal molded baffle (height ≥ LED stack height + 0.3 mm) separating PD1 position from LED array. Prevents direct LED emission reaching PD1 — PD1 must measure only forward-exiting light through PDMS window. Baffle aperture 2.0 mm × 2.0 mm aligned with PD1 field of view through PDMS. Omission invalidates dose metering system.</w:t>
            </w:r>
          </w:p>
        </w:tc>
        <w:tc>
          <w:tcPr>
            <w:tcW w:type="dxa" w:w="1152"/>
            <w:shd w:val="clear" w:color="auto" w:fill="FFFFFF"/>
          </w:tcPr>
          <w:p>
            <w:r>
              <w:rPr>
                <w:sz w:val="16"/>
              </w:rPr>
              <w:t>RISK-06</w:t>
            </w:r>
          </w:p>
        </w:tc>
        <w:tc>
          <w:tcPr>
            <w:tcW w:type="dxa" w:w="1584"/>
            <w:shd w:val="clear" w:color="auto" w:fill="FFFFFF"/>
          </w:tcPr>
          <w:p>
            <w:r>
              <w:rPr>
                <w:sz w:val="16"/>
              </w:rPr>
              <w:t>NP-HW-FPC-001 §8.2</w:t>
            </w:r>
          </w:p>
        </w:tc>
        <w:tc>
          <w:tcPr>
            <w:tcW w:type="dxa" w:w="1296"/>
            <w:shd w:val="clear" w:color="auto" w:fill="FFFFFF"/>
          </w:tcPr>
          <w:p>
            <w:r>
              <w:rPr>
                <w:sz w:val="16"/>
              </w:rPr>
              <w:t>☐</w:t>
            </w:r>
          </w:p>
        </w:tc>
      </w:tr>
      <w:tr>
        <w:tc>
          <w:tcPr>
            <w:tcW w:type="dxa" w:w="1296"/>
            <w:shd w:val="clear" w:color="auto" w:fill="F5F5F5"/>
          </w:tcPr>
          <w:p>
            <w:r>
              <w:rPr>
                <w:b/>
                <w:sz w:val="16"/>
              </w:rPr>
            </w:r>
            <w:r>
              <w:rPr>
                <w:b/>
                <w:sz w:val="16"/>
              </w:rPr>
              <w:t>F-08</w:t>
            </w:r>
          </w:p>
        </w:tc>
        <w:tc>
          <w:tcPr>
            <w:tcW w:type="dxa" w:w="4320"/>
            <w:shd w:val="clear" w:color="auto" w:fill="F5F5F5"/>
          </w:tcPr>
          <w:p>
            <w:r>
              <w:rPr>
                <w:sz w:val="16"/>
              </w:rPr>
            </w:r>
            <w:r>
              <w:rPr>
                <w:b w:val="0"/>
                <w:sz w:val="16"/>
              </w:rPr>
              <w:t>Sliding eject lever (Option A — RISK-22 mitigation): a molded lever arm integrated into the posterior face of the zone module body. Lever is recessed flush with the module surface when closed (does not protrude beyond module envelope). To eject: user hooks one finger under the lever tip and pivots to 30–45°. Lever geometry provides mechanical advantage of ≥3:1, reducing required extraction force from the nominal 2–4 N gasket compression to ≤1 N at the lever tip — within the grip capability of users with moderate Parkinson's or post-stroke hand weakness.</w:t>
              <w:br/>
              <w:br/>
              <w:t>Lever dimensions: arm length 10–12 mm; width 8 mm; thickness 2.5 mm; pivot boss diameter 3 mm. Lever tip rounded (R1.5 mm) for finger comfort. Closed latch: a snap-fit detent (PC/ABS, 0.3 mm interference) holds lever flush during insertion and normal wear — prevents accidental ejection from incidental contact. Detent release force: 0.3–0.5 N (finger-actuable, not thumb-actuable at wrong angle).</w:t>
              <w:br/>
              <w:br/>
              <w:t>Lever clears ZIF lever mechanism: ME to confirm ≥2 mm clearance between eject lever pivot boss and ZIF back-flip lever in assembled position (OI-7).</w:t>
              <w:br/>
              <w:br/>
              <w:t>[DRAWING REQUIREMENT — ZONE MODULE TOOLING] Lever hinge pin boss molded into zone module body. Hinge pin: 3 mm diameter stainless steel (316), press-fit into boss. Lever arm molded separately in same PC/ABS material, assembled post-mold. Detent rib molded on lever underside.</w:t>
            </w:r>
          </w:p>
        </w:tc>
        <w:tc>
          <w:tcPr>
            <w:tcW w:type="dxa" w:w="1152"/>
            <w:shd w:val="clear" w:color="auto" w:fill="F5F5F5"/>
          </w:tcPr>
          <w:p>
            <w:r>
              <w:rPr>
                <w:sz w:val="16"/>
              </w:rPr>
            </w:r>
            <w:r>
              <w:rPr>
                <w:b w:val="0"/>
                <w:sz w:val="16"/>
              </w:rPr>
              <w:t>RISK-22</w:t>
            </w:r>
          </w:p>
        </w:tc>
        <w:tc>
          <w:tcPr>
            <w:tcW w:type="dxa" w:w="1584"/>
            <w:shd w:val="clear" w:color="auto" w:fill="F5F5F5"/>
          </w:tcPr>
          <w:p>
            <w:r>
              <w:rPr>
                <w:sz w:val="16"/>
              </w:rPr>
            </w:r>
            <w:r>
              <w:rPr>
                <w:b w:val="0"/>
                <w:sz w:val="16"/>
              </w:rPr>
              <w:t>NP-TOOL-ZM-001 F-08; HFE formative study</w:t>
            </w:r>
          </w:p>
        </w:tc>
        <w:tc>
          <w:tcPr>
            <w:tcW w:type="dxa" w:w="1296"/>
            <w:shd w:val="clear" w:color="auto" w:fill="F5F5F5"/>
          </w:tcPr>
          <w:p>
            <w:r>
              <w:rPr>
                <w:sz w:val="16"/>
              </w:rPr>
            </w:r>
            <w:r>
              <w:rPr>
                <w:b w:val="0"/>
                <w:sz w:val="16"/>
              </w:rPr>
              <w:t>☐</w:t>
            </w:r>
          </w:p>
        </w:tc>
      </w:tr>
    </w:tbl>
    <w:p/>
    <w:p>
      <w:r>
        <w:rPr>
          <w:b/>
          <w:color w:val="1F497D"/>
          <w:sz w:val="24"/>
        </w:rPr>
        <w:t>3.  MATERIAL SPECIFICATIONS</w:t>
      </w:r>
    </w:p>
    <w:p>
      <w:r>
        <w:rPr>
          <w:sz w:val="20"/>
        </w:rPr>
        <w:t>3.1  Zone Module Body — Thermoplastic Shell</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1F497D"/>
          </w:tcPr>
          <w:p>
            <w:r>
              <w:rPr>
                <w:b/>
                <w:color w:val="FFFFFF"/>
                <w:sz w:val="16"/>
              </w:rPr>
              <w:t>Property</w:t>
            </w:r>
          </w:p>
        </w:tc>
        <w:tc>
          <w:tcPr>
            <w:tcW w:type="dxa" w:w="5040"/>
            <w:shd w:val="clear" w:color="auto" w:fill="1F497D"/>
          </w:tcPr>
          <w:p>
            <w:r>
              <w:rPr>
                <w:b/>
                <w:color w:val="FFFFFF"/>
                <w:sz w:val="16"/>
              </w:rPr>
              <w:t>Requirement</w:t>
            </w:r>
          </w:p>
        </w:tc>
        <w:tc>
          <w:tcPr>
            <w:tcW w:type="dxa" w:w="2448"/>
            <w:shd w:val="clear" w:color="auto" w:fill="1F497D"/>
          </w:tcPr>
          <w:p>
            <w:r>
              <w:rPr>
                <w:b/>
                <w:color w:val="FFFFFF"/>
                <w:sz w:val="16"/>
              </w:rPr>
              <w:t>Test Standard</w:t>
            </w:r>
          </w:p>
        </w:tc>
      </w:tr>
      <w:tr>
        <w:tc>
          <w:tcPr>
            <w:tcW w:type="dxa" w:w="2160"/>
            <w:shd w:val="clear" w:color="auto" w:fill="FFFFFF"/>
          </w:tcPr>
          <w:p>
            <w:r>
              <w:rPr>
                <w:b/>
                <w:sz w:val="16"/>
              </w:rPr>
              <w:t>Base material</w:t>
            </w:r>
          </w:p>
        </w:tc>
        <w:tc>
          <w:tcPr>
            <w:tcW w:type="dxa" w:w="5040"/>
            <w:shd w:val="clear" w:color="auto" w:fill="FFFFFF"/>
          </w:tcPr>
          <w:p>
            <w:r>
              <w:rPr>
                <w:sz w:val="16"/>
              </w:rPr>
              <w:t>PC/ABS alloy or equivalent, UL94-V0 rated</w:t>
            </w:r>
          </w:p>
        </w:tc>
        <w:tc>
          <w:tcPr>
            <w:tcW w:type="dxa" w:w="2448"/>
            <w:shd w:val="clear" w:color="auto" w:fill="FFFFFF"/>
          </w:tcPr>
          <w:p>
            <w:r>
              <w:rPr>
                <w:sz w:val="16"/>
              </w:rPr>
              <w:t>UL 94</w:t>
            </w:r>
          </w:p>
        </w:tc>
      </w:tr>
      <w:tr>
        <w:tc>
          <w:tcPr>
            <w:tcW w:type="dxa" w:w="2160"/>
            <w:shd w:val="clear" w:color="auto" w:fill="F5F5F5"/>
          </w:tcPr>
          <w:p>
            <w:r>
              <w:rPr>
                <w:b/>
                <w:sz w:val="16"/>
              </w:rPr>
              <w:t>Color coding</w:t>
            </w:r>
          </w:p>
        </w:tc>
        <w:tc>
          <w:tcPr>
            <w:tcW w:type="dxa" w:w="5040"/>
            <w:shd w:val="clear" w:color="auto" w:fill="F5F5F5"/>
          </w:tcPr>
          <w:p>
            <w:r>
              <w:rPr>
                <w:sz w:val="16"/>
              </w:rPr>
              <w:t>One solid molded color per zone (ZM-01=Blue, ZM-02=Red, ZM-03=Green, ZM-04=Yellow, ZM-05=Purple). Color must be in bulk material — not surface paint. Saturated enough for color-vision-normal users; tactile features (F-01/F-02/F-03) are primary zone ID for color-impaired users.</w:t>
            </w:r>
          </w:p>
        </w:tc>
        <w:tc>
          <w:tcPr>
            <w:tcW w:type="dxa" w:w="2448"/>
            <w:shd w:val="clear" w:color="auto" w:fill="F5F5F5"/>
          </w:tcPr>
          <w:p>
            <w:r>
              <w:rPr>
                <w:sz w:val="16"/>
              </w:rPr>
              <w:t>ASTM D2244</w:t>
            </w:r>
          </w:p>
        </w:tc>
      </w:tr>
      <w:tr>
        <w:tc>
          <w:tcPr>
            <w:tcW w:type="dxa" w:w="2160"/>
            <w:shd w:val="clear" w:color="auto" w:fill="FFFFFF"/>
          </w:tcPr>
          <w:p>
            <w:r>
              <w:rPr>
                <w:b/>
                <w:sz w:val="16"/>
              </w:rPr>
              <w:t>Surface finish — gasket mating slot rim</w:t>
            </w:r>
          </w:p>
        </w:tc>
        <w:tc>
          <w:tcPr>
            <w:tcW w:type="dxa" w:w="5040"/>
            <w:shd w:val="clear" w:color="auto" w:fill="FFFFFF"/>
          </w:tcPr>
          <w:p>
            <w:r>
              <w:rPr>
                <w:sz w:val="16"/>
              </w:rPr>
              <w:t>Ra ≤ 1.6 µm on shell slot rim contact surfaces (see NP-DRV-SHELL-001 §2.2). Confirm achievable with molded CFRP — tooling manufacturer written confirmation required before G2 gate (RISK-20).</w:t>
            </w:r>
          </w:p>
        </w:tc>
        <w:tc>
          <w:tcPr>
            <w:tcW w:type="dxa" w:w="2448"/>
            <w:shd w:val="clear" w:color="auto" w:fill="FFFFFF"/>
          </w:tcPr>
          <w:p>
            <w:r>
              <w:rPr>
                <w:sz w:val="16"/>
              </w:rPr>
              <w:t>ISO 4287</w:t>
            </w:r>
          </w:p>
        </w:tc>
      </w:tr>
      <w:tr>
        <w:tc>
          <w:tcPr>
            <w:tcW w:type="dxa" w:w="2160"/>
            <w:shd w:val="clear" w:color="auto" w:fill="F5F5F5"/>
          </w:tcPr>
          <w:p>
            <w:r>
              <w:rPr>
                <w:b/>
                <w:sz w:val="16"/>
              </w:rPr>
              <w:t>Thermal stability</w:t>
            </w:r>
          </w:p>
        </w:tc>
        <w:tc>
          <w:tcPr>
            <w:tcW w:type="dxa" w:w="5040"/>
            <w:shd w:val="clear" w:color="auto" w:fill="F5F5F5"/>
          </w:tcPr>
          <w:p>
            <w:r>
              <w:rPr>
                <w:sz w:val="16"/>
              </w:rPr>
              <w:t>Continuous operation ≤ 70°C, IEC 60601-1 skin contact ≤ 43°C at PDMS window external surface</w:t>
            </w:r>
          </w:p>
        </w:tc>
        <w:tc>
          <w:tcPr>
            <w:tcW w:type="dxa" w:w="2448"/>
            <w:shd w:val="clear" w:color="auto" w:fill="F5F5F5"/>
          </w:tcPr>
          <w:p>
            <w:r>
              <w:rPr>
                <w:sz w:val="16"/>
              </w:rPr>
              <w:t>IEC 60601-1</w:t>
            </w:r>
          </w:p>
        </w:tc>
      </w:tr>
      <w:tr>
        <w:tc>
          <w:tcPr>
            <w:tcW w:type="dxa" w:w="2160"/>
            <w:shd w:val="clear" w:color="auto" w:fill="FFFFFF"/>
          </w:tcPr>
          <w:p>
            <w:r>
              <w:rPr>
                <w:b/>
                <w:sz w:val="16"/>
              </w:rPr>
              <w:t>Chemical resistance</w:t>
            </w:r>
          </w:p>
        </w:tc>
        <w:tc>
          <w:tcPr>
            <w:tcW w:type="dxa" w:w="5040"/>
            <w:shd w:val="clear" w:color="auto" w:fill="FFFFFF"/>
          </w:tcPr>
          <w:p>
            <w:r>
              <w:rPr>
                <w:sz w:val="16"/>
              </w:rPr>
              <w:t>Resistant to isopropyl alcohol (70%), saline 0.9%, and sebum simulant. No cracking or crazing after 1,000 wipe cycles.</w:t>
            </w:r>
          </w:p>
        </w:tc>
        <w:tc>
          <w:tcPr>
            <w:tcW w:type="dxa" w:w="2448"/>
            <w:shd w:val="clear" w:color="auto" w:fill="FFFFFF"/>
          </w:tcPr>
          <w:p>
            <w:r>
              <w:rPr>
                <w:sz w:val="16"/>
              </w:rPr>
              <w:t>ISO 10993-5</w:t>
            </w:r>
          </w:p>
        </w:tc>
      </w:tr>
      <w:tr>
        <w:tc>
          <w:tcPr>
            <w:tcW w:type="dxa" w:w="2160"/>
            <w:shd w:val="clear" w:color="auto" w:fill="F5F5F5"/>
          </w:tcPr>
          <w:p>
            <w:r>
              <w:rPr>
                <w:b/>
                <w:sz w:val="16"/>
              </w:rPr>
              <w:t>Co-molded silicone (gasket, F-05)</w:t>
            </w:r>
          </w:p>
        </w:tc>
        <w:tc>
          <w:tcPr>
            <w:tcW w:type="dxa" w:w="5040"/>
            <w:shd w:val="clear" w:color="auto" w:fill="F5F5F5"/>
          </w:tcPr>
          <w:p>
            <w:r>
              <w:rPr>
                <w:sz w:val="16"/>
              </w:rPr>
              <w:t>Shore 40–50A, UV-stable, ISO 10993-5 biocompatible, compression set ≤ 20% after 70h at 70°C (ASTM D395)</w:t>
            </w:r>
          </w:p>
        </w:tc>
        <w:tc>
          <w:tcPr>
            <w:tcW w:type="dxa" w:w="2448"/>
            <w:shd w:val="clear" w:color="auto" w:fill="F5F5F5"/>
          </w:tcPr>
          <w:p>
            <w:r>
              <w:rPr>
                <w:sz w:val="16"/>
              </w:rPr>
              <w:t>ASTM D395, ISO 10993-5</w:t>
            </w:r>
          </w:p>
        </w:tc>
      </w:tr>
    </w:tbl>
    <w:p/>
    <w:p>
      <w:r>
        <w:rPr>
          <w:b/>
          <w:color w:val="1F497D"/>
          <w:sz w:val="24"/>
        </w:rPr>
        <w:t>4.  CRITICAL DIMENSIONS</w:t>
      </w:r>
    </w:p>
    <w:p>
      <w:r>
        <w:rPr>
          <w:sz w:val="20"/>
        </w:rPr>
        <w:t>The following dimensions are tolerance-critical and must appear on all zone module drawings.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880"/>
            <w:shd w:val="clear" w:color="auto" w:fill="1F497D"/>
          </w:tcPr>
          <w:p>
            <w:r>
              <w:rPr>
                <w:b/>
                <w:color w:val="FFFFFF"/>
                <w:sz w:val="16"/>
              </w:rPr>
              <w:t>Dimension</w:t>
            </w:r>
          </w:p>
        </w:tc>
        <w:tc>
          <w:tcPr>
            <w:tcW w:type="dxa" w:w="1296"/>
            <w:shd w:val="clear" w:color="auto" w:fill="1F497D"/>
          </w:tcPr>
          <w:p>
            <w:r>
              <w:rPr>
                <w:b/>
                <w:color w:val="FFFFFF"/>
                <w:sz w:val="16"/>
              </w:rPr>
              <w:t>Nominal</w:t>
            </w:r>
          </w:p>
        </w:tc>
        <w:tc>
          <w:tcPr>
            <w:tcW w:type="dxa" w:w="1296"/>
            <w:shd w:val="clear" w:color="auto" w:fill="1F497D"/>
          </w:tcPr>
          <w:p>
            <w:r>
              <w:rPr>
                <w:b/>
                <w:color w:val="FFFFFF"/>
                <w:sz w:val="16"/>
              </w:rPr>
              <w:t>Tolerance</w:t>
            </w:r>
          </w:p>
        </w:tc>
        <w:tc>
          <w:tcPr>
            <w:tcW w:type="dxa" w:w="2160"/>
            <w:shd w:val="clear" w:color="auto" w:fill="1F497D"/>
          </w:tcPr>
          <w:p>
            <w:r>
              <w:rPr>
                <w:b/>
                <w:color w:val="FFFFFF"/>
                <w:sz w:val="16"/>
              </w:rPr>
              <w:t>Critical for</w:t>
            </w:r>
          </w:p>
        </w:tc>
        <w:tc>
          <w:tcPr>
            <w:tcW w:type="dxa" w:w="2016"/>
            <w:shd w:val="clear" w:color="auto" w:fill="1F497D"/>
          </w:tcPr>
          <w:p>
            <w:r>
              <w:rPr>
                <w:b/>
                <w:color w:val="FFFFFF"/>
                <w:sz w:val="16"/>
              </w:rPr>
              <w:t>Drawing callout required?</w:t>
            </w:r>
          </w:p>
        </w:tc>
      </w:tr>
      <w:tr>
        <w:tc>
          <w:tcPr>
            <w:tcW w:type="dxa" w:w="2880"/>
            <w:shd w:val="clear" w:color="auto" w:fill="FFFFFF"/>
          </w:tcPr>
          <w:p>
            <w:r>
              <w:rPr>
                <w:b/>
                <w:sz w:val="16"/>
              </w:rPr>
              <w:t>Gasket height (uncompressed, F-05)</w:t>
            </w:r>
          </w:p>
        </w:tc>
        <w:tc>
          <w:tcPr>
            <w:tcW w:type="dxa" w:w="1296"/>
            <w:shd w:val="clear" w:color="auto" w:fill="FFFFFF"/>
          </w:tcPr>
          <w:p>
            <w:r>
              <w:rPr>
                <w:sz w:val="16"/>
              </w:rPr>
              <w:t>2.0 mm</w:t>
            </w:r>
          </w:p>
        </w:tc>
        <w:tc>
          <w:tcPr>
            <w:tcW w:type="dxa" w:w="1296"/>
            <w:shd w:val="clear" w:color="auto" w:fill="FFFFFF"/>
          </w:tcPr>
          <w:p>
            <w:r>
              <w:rPr>
                <w:sz w:val="16"/>
              </w:rPr>
              <w:t>±0.1 mm</w:t>
            </w:r>
          </w:p>
        </w:tc>
        <w:tc>
          <w:tcPr>
            <w:tcW w:type="dxa" w:w="2160"/>
            <w:shd w:val="clear" w:color="auto" w:fill="FFFFFF"/>
          </w:tcPr>
          <w:p>
            <w:r>
              <w:rPr>
                <w:sz w:val="16"/>
              </w:rPr>
              <w:t>IPX4 seal (RISK-16)</w:t>
            </w:r>
          </w:p>
        </w:tc>
        <w:tc>
          <w:tcPr>
            <w:tcW w:type="dxa" w:w="2016"/>
            <w:shd w:val="clear" w:color="auto" w:fill="FFFFFF"/>
          </w:tcPr>
          <w:p>
            <w:r>
              <w:rPr>
                <w:sz w:val="16"/>
              </w:rPr>
              <w:t>YES</w:t>
            </w:r>
          </w:p>
        </w:tc>
      </w:tr>
      <w:tr>
        <w:tc>
          <w:tcPr>
            <w:tcW w:type="dxa" w:w="2880"/>
            <w:shd w:val="clear" w:color="auto" w:fill="F5F5F5"/>
          </w:tcPr>
          <w:p>
            <w:r>
              <w:rPr>
                <w:b/>
                <w:sz w:val="16"/>
              </w:rPr>
              <w:t>Gasket width (D-section, F-05)</w:t>
            </w:r>
          </w:p>
        </w:tc>
        <w:tc>
          <w:tcPr>
            <w:tcW w:type="dxa" w:w="1296"/>
            <w:shd w:val="clear" w:color="auto" w:fill="F5F5F5"/>
          </w:tcPr>
          <w:p>
            <w:r>
              <w:rPr>
                <w:sz w:val="16"/>
              </w:rPr>
              <w:t>2.5 mm</w:t>
            </w:r>
          </w:p>
        </w:tc>
        <w:tc>
          <w:tcPr>
            <w:tcW w:type="dxa" w:w="1296"/>
            <w:shd w:val="clear" w:color="auto" w:fill="F5F5F5"/>
          </w:tcPr>
          <w:p>
            <w:r>
              <w:rPr>
                <w:sz w:val="16"/>
              </w:rPr>
              <w:t>±0.15 mm</w:t>
            </w:r>
          </w:p>
        </w:tc>
        <w:tc>
          <w:tcPr>
            <w:tcW w:type="dxa" w:w="2160"/>
            <w:shd w:val="clear" w:color="auto" w:fill="F5F5F5"/>
          </w:tcPr>
          <w:p>
            <w:r>
              <w:rPr>
                <w:sz w:val="16"/>
              </w:rPr>
              <w:t>IPX4 seal</w:t>
            </w:r>
          </w:p>
        </w:tc>
        <w:tc>
          <w:tcPr>
            <w:tcW w:type="dxa" w:w="2016"/>
            <w:shd w:val="clear" w:color="auto" w:fill="F5F5F5"/>
          </w:tcPr>
          <w:p>
            <w:r>
              <w:rPr>
                <w:sz w:val="16"/>
              </w:rPr>
              <w:t>YES</w:t>
            </w:r>
          </w:p>
        </w:tc>
      </w:tr>
      <w:tr>
        <w:tc>
          <w:tcPr>
            <w:tcW w:type="dxa" w:w="2880"/>
            <w:shd w:val="clear" w:color="auto" w:fill="FFFFFF"/>
          </w:tcPr>
          <w:p>
            <w:r>
              <w:rPr>
                <w:b/>
                <w:sz w:val="16"/>
              </w:rPr>
              <w:t>Gasket retention groove depth (F-06)</w:t>
            </w:r>
          </w:p>
        </w:tc>
        <w:tc>
          <w:tcPr>
            <w:tcW w:type="dxa" w:w="1296"/>
            <w:shd w:val="clear" w:color="auto" w:fill="FFFFFF"/>
          </w:tcPr>
          <w:p>
            <w:r>
              <w:rPr>
                <w:sz w:val="16"/>
              </w:rPr>
              <w:t>0.5 mm</w:t>
            </w:r>
          </w:p>
        </w:tc>
        <w:tc>
          <w:tcPr>
            <w:tcW w:type="dxa" w:w="1296"/>
            <w:shd w:val="clear" w:color="auto" w:fill="FFFFFF"/>
          </w:tcPr>
          <w:p>
            <w:r>
              <w:rPr>
                <w:sz w:val="16"/>
              </w:rPr>
              <w:t>+0.0/−0.1 mm</w:t>
            </w:r>
          </w:p>
        </w:tc>
        <w:tc>
          <w:tcPr>
            <w:tcW w:type="dxa" w:w="2160"/>
            <w:shd w:val="clear" w:color="auto" w:fill="FFFFFF"/>
          </w:tcPr>
          <w:p>
            <w:r>
              <w:rPr>
                <w:sz w:val="16"/>
              </w:rPr>
              <w:t>Delamination prevention (RISK-19)</w:t>
            </w:r>
          </w:p>
        </w:tc>
        <w:tc>
          <w:tcPr>
            <w:tcW w:type="dxa" w:w="2016"/>
            <w:shd w:val="clear" w:color="auto" w:fill="FFFFFF"/>
          </w:tcPr>
          <w:p>
            <w:r>
              <w:rPr>
                <w:sz w:val="16"/>
              </w:rPr>
              <w:t>YES</w:t>
            </w:r>
          </w:p>
        </w:tc>
      </w:tr>
      <w:tr>
        <w:tc>
          <w:tcPr>
            <w:tcW w:type="dxa" w:w="2880"/>
            <w:shd w:val="clear" w:color="auto" w:fill="F5F5F5"/>
          </w:tcPr>
          <w:p>
            <w:r>
              <w:rPr>
                <w:b/>
                <w:sz w:val="16"/>
              </w:rPr>
              <w:t>Mechanical key protrusion height (F-01)</w:t>
            </w:r>
          </w:p>
        </w:tc>
        <w:tc>
          <w:tcPr>
            <w:tcW w:type="dxa" w:w="1296"/>
            <w:shd w:val="clear" w:color="auto" w:fill="F5F5F5"/>
          </w:tcPr>
          <w:p>
            <w:r>
              <w:rPr>
                <w:sz w:val="16"/>
              </w:rPr>
              <w:t>≥1.0 mm</w:t>
            </w:r>
          </w:p>
        </w:tc>
        <w:tc>
          <w:tcPr>
            <w:tcW w:type="dxa" w:w="1296"/>
            <w:shd w:val="clear" w:color="auto" w:fill="F5F5F5"/>
          </w:tcPr>
          <w:p>
            <w:r>
              <w:rPr>
                <w:sz w:val="16"/>
              </w:rPr>
              <w:t>Min only</w:t>
            </w:r>
          </w:p>
        </w:tc>
        <w:tc>
          <w:tcPr>
            <w:tcW w:type="dxa" w:w="2160"/>
            <w:shd w:val="clear" w:color="auto" w:fill="F5F5F5"/>
          </w:tcPr>
          <w:p>
            <w:r>
              <w:rPr>
                <w:sz w:val="16"/>
              </w:rPr>
              <w:t>Wrong-zone prevention (RISK-15)</w:t>
            </w:r>
          </w:p>
        </w:tc>
        <w:tc>
          <w:tcPr>
            <w:tcW w:type="dxa" w:w="2016"/>
            <w:shd w:val="clear" w:color="auto" w:fill="F5F5F5"/>
          </w:tcPr>
          <w:p>
            <w:r>
              <w:rPr>
                <w:sz w:val="16"/>
              </w:rPr>
              <w:t>YES</w:t>
            </w:r>
          </w:p>
        </w:tc>
      </w:tr>
      <w:tr>
        <w:tc>
          <w:tcPr>
            <w:tcW w:type="dxa" w:w="2880"/>
            <w:shd w:val="clear" w:color="auto" w:fill="FFFFFF"/>
          </w:tcPr>
          <w:p>
            <w:r>
              <w:rPr>
                <w:b/>
                <w:sz w:val="16"/>
              </w:rPr>
              <w:t>PD2 aperture diameter (F-04)</w:t>
            </w:r>
          </w:p>
        </w:tc>
        <w:tc>
          <w:tcPr>
            <w:tcW w:type="dxa" w:w="1296"/>
            <w:shd w:val="clear" w:color="auto" w:fill="FFFFFF"/>
          </w:tcPr>
          <w:p>
            <w:r>
              <w:rPr>
                <w:sz w:val="16"/>
              </w:rPr>
              <w:t>1.2 mm</w:t>
            </w:r>
          </w:p>
        </w:tc>
        <w:tc>
          <w:tcPr>
            <w:tcW w:type="dxa" w:w="1296"/>
            <w:shd w:val="clear" w:color="auto" w:fill="FFFFFF"/>
          </w:tcPr>
          <w:p>
            <w:r>
              <w:rPr>
                <w:sz w:val="16"/>
              </w:rPr>
              <w:t>±0.1 mm</w:t>
            </w:r>
          </w:p>
        </w:tc>
        <w:tc>
          <w:tcPr>
            <w:tcW w:type="dxa" w:w="2160"/>
            <w:shd w:val="clear" w:color="auto" w:fill="FFFFFF"/>
          </w:tcPr>
          <w:p>
            <w:r>
              <w:rPr>
                <w:sz w:val="16"/>
              </w:rPr>
              <w:t>PD2 field of view (RISK-14)</w:t>
            </w:r>
          </w:p>
        </w:tc>
        <w:tc>
          <w:tcPr>
            <w:tcW w:type="dxa" w:w="2016"/>
            <w:shd w:val="clear" w:color="auto" w:fill="FFFFFF"/>
          </w:tcPr>
          <w:p>
            <w:r>
              <w:rPr>
                <w:sz w:val="16"/>
              </w:rPr>
              <w:t>YES</w:t>
            </w:r>
          </w:p>
        </w:tc>
      </w:tr>
      <w:tr>
        <w:tc>
          <w:tcPr>
            <w:tcW w:w="3168" w:type="dxa"/>
          </w:tcPr>
          <w:p>
            <w:r>
              <w:rPr>
                <w:b/>
                <w:sz w:val="16"/>
              </w:rPr>
              <w:t>PD2 aperture center X (F-04)</w:t>
            </w:r>
          </w:p>
        </w:tc>
        <w:tc>
          <w:tcPr>
            <w:tcW w:w="1007" w:type="dxa"/>
          </w:tcPr>
          <w:p>
            <w:r>
              <w:rPr>
                <w:sz w:val="16"/>
              </w:rPr>
              <w:t xml:space="preserve">33.0 mm</w:t>
            </w:r>
          </w:p>
        </w:tc>
        <w:tc>
          <w:tcPr>
            <w:tcW w:w="1296" w:type="dxa"/>
          </w:tcPr>
          <w:p>
            <w:r>
              <w:rPr>
                <w:sz w:val="16"/>
              </w:rPr>
              <w:t xml:space="preserve">±0.2 mm</w:t>
            </w:r>
          </w:p>
        </w:tc>
        <w:tc>
          <w:tcPr>
            <w:tcW w:w="3024" w:type="dxa"/>
          </w:tcPr>
          <w:p>
            <w:r>
              <w:rPr>
                <w:sz w:val="16"/>
              </w:rPr>
              <w:t>PD2 optical alignment — match FPC contact pad center (RISK-14)</w:t>
            </w:r>
          </w:p>
        </w:tc>
        <w:tc>
          <w:tcPr>
            <w:tcW w:w="864" w:type="dxa"/>
          </w:tcPr>
          <w:p>
            <w:r>
              <w:rPr>
                <w:sz w:val="16"/>
              </w:rPr>
              <w:t xml:space="preserve">YES</w:t>
            </w:r>
          </w:p>
        </w:tc>
      </w:tr>
      <w:tr>
        <w:tc>
          <w:tcPr>
            <w:tcW w:w="3168" w:type="dxa"/>
          </w:tcPr>
          <w:p>
            <w:r>
              <w:rPr>
                <w:b/>
                <w:sz w:val="16"/>
              </w:rPr>
              <w:t>PD2 aperture center Y (F-04)</w:t>
            </w:r>
          </w:p>
        </w:tc>
        <w:tc>
          <w:tcPr>
            <w:tcW w:w="1007" w:type="dxa"/>
          </w:tcPr>
          <w:p>
            <w:r>
              <w:rPr>
                <w:sz w:val="16"/>
              </w:rPr>
              <w:t xml:space="preserve">39.0 mm</w:t>
            </w:r>
          </w:p>
        </w:tc>
        <w:tc>
          <w:tcPr>
            <w:tcW w:w="1296" w:type="dxa"/>
          </w:tcPr>
          <w:p>
            <w:r>
              <w:rPr>
                <w:sz w:val="16"/>
              </w:rPr>
              <w:t xml:space="preserve">±0.2 mm</w:t>
            </w:r>
          </w:p>
        </w:tc>
        <w:tc>
          <w:tcPr>
            <w:tcW w:w="3024" w:type="dxa"/>
          </w:tcPr>
          <w:p>
            <w:r>
              <w:rPr>
                <w:sz w:val="16"/>
              </w:rPr>
              <w:t>PD2 optical alignment — match FPC contact pad center (RISK-14)</w:t>
            </w:r>
          </w:p>
        </w:tc>
        <w:tc>
          <w:tcPr>
            <w:tcW w:w="864" w:type="dxa"/>
          </w:tcPr>
          <w:p>
            <w:r>
              <w:rPr>
                <w:sz w:val="16"/>
              </w:rPr>
              <w:t xml:space="preserve">YES</w:t>
            </w:r>
          </w:p>
        </w:tc>
      </w:tr>
      <w:tr>
        <w:tc>
          <w:tcPr>
            <w:tcW w:type="dxa" w:w="2880"/>
            <w:shd w:val="clear" w:color="auto" w:fill="F5F5F5"/>
          </w:tcPr>
          <w:p>
            <w:r>
              <w:rPr>
                <w:b/>
                <w:sz w:val="16"/>
              </w:rPr>
              <w:t>PD2 aperture center-to-PD2 body offset</w:t>
            </w:r>
          </w:p>
        </w:tc>
        <w:tc>
          <w:tcPr>
            <w:tcW w:type="dxa" w:w="1296"/>
            <w:shd w:val="clear" w:color="auto" w:fill="F5F5F5"/>
          </w:tcPr>
          <w:p>
            <w:r>
              <w:rPr>
                <w:sz w:val="16"/>
              </w:rPr>
              <w:t>≤0.2 mm</w:t>
            </w:r>
          </w:p>
        </w:tc>
        <w:tc>
          <w:tcPr>
            <w:tcW w:type="dxa" w:w="1296"/>
            <w:shd w:val="clear" w:color="auto" w:fill="F5F5F5"/>
          </w:tcPr>
          <w:p>
            <w:r>
              <w:rPr>
                <w:sz w:val="16"/>
              </w:rPr>
              <w:t>Max only</w:t>
            </w:r>
          </w:p>
        </w:tc>
        <w:tc>
          <w:tcPr>
            <w:tcW w:type="dxa" w:w="2160"/>
            <w:shd w:val="clear" w:color="auto" w:fill="F5F5F5"/>
          </w:tcPr>
          <w:p>
            <w:r>
              <w:rPr>
                <w:sz w:val="16"/>
              </w:rPr>
              <w:t>Optical alignment (RISK-14)</w:t>
            </w:r>
          </w:p>
        </w:tc>
        <w:tc>
          <w:tcPr>
            <w:tcW w:type="dxa" w:w="2016"/>
            <w:shd w:val="clear" w:color="auto" w:fill="F5F5F5"/>
          </w:tcPr>
          <w:p>
            <w:r>
              <w:rPr>
                <w:sz w:val="16"/>
              </w:rPr>
              <w:t>YES</w:t>
            </w:r>
          </w:p>
        </w:tc>
      </w:tr>
      <w:tr>
        <w:tc>
          <w:tcPr>
            <w:tcW w:type="dxa" w:w="2880"/>
            <w:shd w:val="clear" w:color="auto" w:fill="FFFFFF"/>
          </w:tcPr>
          <w:p>
            <w:r>
              <w:rPr>
                <w:b/>
                <w:sz w:val="16"/>
              </w:rPr>
              <w:t>Braille dot height (F-03)</w:t>
            </w:r>
          </w:p>
        </w:tc>
        <w:tc>
          <w:tcPr>
            <w:tcW w:type="dxa" w:w="1296"/>
            <w:shd w:val="clear" w:color="auto" w:fill="FFFFFF"/>
          </w:tcPr>
          <w:p>
            <w:r>
              <w:rPr>
                <w:sz w:val="16"/>
              </w:rPr>
              <w:t>0.48 mm</w:t>
            </w:r>
          </w:p>
        </w:tc>
        <w:tc>
          <w:tcPr>
            <w:tcW w:type="dxa" w:w="1296"/>
            <w:shd w:val="clear" w:color="auto" w:fill="FFFFFF"/>
          </w:tcPr>
          <w:p>
            <w:r>
              <w:rPr>
                <w:sz w:val="16"/>
              </w:rPr>
              <w:t>±0.05 mm</w:t>
            </w:r>
          </w:p>
        </w:tc>
        <w:tc>
          <w:tcPr>
            <w:tcW w:type="dxa" w:w="2160"/>
            <w:shd w:val="clear" w:color="auto" w:fill="FFFFFF"/>
          </w:tcPr>
          <w:p>
            <w:r>
              <w:rPr>
                <w:sz w:val="16"/>
              </w:rPr>
              <w:t>Blind accessibility (RISK-15)</w:t>
            </w:r>
          </w:p>
        </w:tc>
        <w:tc>
          <w:tcPr>
            <w:tcW w:type="dxa" w:w="2016"/>
            <w:shd w:val="clear" w:color="auto" w:fill="FFFFFF"/>
          </w:tcPr>
          <w:p>
            <w:r>
              <w:rPr>
                <w:sz w:val="16"/>
              </w:rPr>
              <w:t>YES</w:t>
            </w:r>
          </w:p>
        </w:tc>
      </w:tr>
      <w:tr>
        <w:tc>
          <w:tcPr>
            <w:tcW w:type="dxa" w:w="2880"/>
            <w:shd w:val="clear" w:color="auto" w:fill="F5F5F5"/>
          </w:tcPr>
          <w:p>
            <w:r>
              <w:rPr>
                <w:b/>
                <w:sz w:val="16"/>
              </w:rPr>
              <w:t>Braille dot diameter (F-03)</w:t>
            </w:r>
          </w:p>
        </w:tc>
        <w:tc>
          <w:tcPr>
            <w:tcW w:type="dxa" w:w="1296"/>
            <w:shd w:val="clear" w:color="auto" w:fill="F5F5F5"/>
          </w:tcPr>
          <w:p>
            <w:r>
              <w:rPr>
                <w:sz w:val="16"/>
              </w:rPr>
              <w:t>1.5 mm</w:t>
            </w:r>
          </w:p>
        </w:tc>
        <w:tc>
          <w:tcPr>
            <w:tcW w:type="dxa" w:w="1296"/>
            <w:shd w:val="clear" w:color="auto" w:fill="F5F5F5"/>
          </w:tcPr>
          <w:p>
            <w:r>
              <w:rPr>
                <w:sz w:val="16"/>
              </w:rPr>
              <w:t>±0.1 mm</w:t>
            </w:r>
          </w:p>
        </w:tc>
        <w:tc>
          <w:tcPr>
            <w:tcW w:type="dxa" w:w="2160"/>
            <w:shd w:val="clear" w:color="auto" w:fill="F5F5F5"/>
          </w:tcPr>
          <w:p>
            <w:r>
              <w:rPr>
                <w:sz w:val="16"/>
              </w:rPr>
              <w:t>Blind accessibility (RISK-15)</w:t>
            </w:r>
          </w:p>
        </w:tc>
        <w:tc>
          <w:tcPr>
            <w:tcW w:type="dxa" w:w="2016"/>
            <w:shd w:val="clear" w:color="auto" w:fill="F5F5F5"/>
          </w:tcPr>
          <w:p>
            <w:r>
              <w:rPr>
                <w:sz w:val="16"/>
              </w:rPr>
              <w:t>YES</w:t>
            </w:r>
          </w:p>
        </w:tc>
      </w:tr>
      <w:tr>
        <w:tc>
          <w:tcPr>
            <w:tcW w:type="dxa" w:w="2880"/>
            <w:shd w:val="clear" w:color="auto" w:fill="FFFFFF"/>
          </w:tcPr>
          <w:p>
            <w:r>
              <w:rPr>
                <w:b/>
                <w:sz w:val="16"/>
              </w:rPr>
              <w:t>Raised numeral height (F-02)</w:t>
            </w:r>
          </w:p>
        </w:tc>
        <w:tc>
          <w:tcPr>
            <w:tcW w:type="dxa" w:w="1296"/>
            <w:shd w:val="clear" w:color="auto" w:fill="FFFFFF"/>
          </w:tcPr>
          <w:p>
            <w:r>
              <w:rPr>
                <w:sz w:val="16"/>
              </w:rPr>
              <w:t>≥0.8 mm</w:t>
            </w:r>
          </w:p>
        </w:tc>
        <w:tc>
          <w:tcPr>
            <w:tcW w:type="dxa" w:w="1296"/>
            <w:shd w:val="clear" w:color="auto" w:fill="FFFFFF"/>
          </w:tcPr>
          <w:p>
            <w:r>
              <w:rPr>
                <w:sz w:val="16"/>
              </w:rPr>
              <w:t>Min only</w:t>
            </w:r>
          </w:p>
        </w:tc>
        <w:tc>
          <w:tcPr>
            <w:tcW w:type="dxa" w:w="2160"/>
            <w:shd w:val="clear" w:color="auto" w:fill="FFFFFF"/>
          </w:tcPr>
          <w:p>
            <w:r>
              <w:rPr>
                <w:sz w:val="16"/>
              </w:rPr>
              <w:t>Tactile ID (RISK-15)</w:t>
            </w:r>
          </w:p>
        </w:tc>
        <w:tc>
          <w:tcPr>
            <w:tcW w:type="dxa" w:w="2016"/>
            <w:shd w:val="clear" w:color="auto" w:fill="FFFFFF"/>
          </w:tcPr>
          <w:p>
            <w:r>
              <w:rPr>
                <w:sz w:val="16"/>
              </w:rPr>
              <w:t>YES</w:t>
            </w:r>
          </w:p>
        </w:tc>
      </w:tr>
      <w:tr>
        <w:tc>
          <w:tcPr>
            <w:tcW w:type="dxa" w:w="2880"/>
            <w:shd w:val="clear" w:color="auto" w:fill="F5F5F5"/>
          </w:tcPr>
          <w:p>
            <w:r>
              <w:rPr>
                <w:b/>
                <w:sz w:val="16"/>
              </w:rPr>
            </w:r>
            <w:r>
              <w:rPr>
                <w:b/>
                <w:sz w:val="16"/>
              </w:rPr>
              <w:t>Eject lever arm length</w:t>
            </w:r>
          </w:p>
        </w:tc>
        <w:tc>
          <w:tcPr>
            <w:tcW w:type="dxa" w:w="1296"/>
            <w:shd w:val="clear" w:color="auto" w:fill="F5F5F5"/>
          </w:tcPr>
          <w:p>
            <w:r>
              <w:rPr>
                <w:sz w:val="16"/>
              </w:rPr>
            </w:r>
            <w:r>
              <w:rPr>
                <w:b w:val="0"/>
                <w:sz w:val="16"/>
              </w:rPr>
              <w:t>10–12 mm</w:t>
            </w:r>
          </w:p>
        </w:tc>
        <w:tc>
          <w:tcPr>
            <w:tcW w:type="dxa" w:w="1296"/>
            <w:shd w:val="clear" w:color="auto" w:fill="F5F5F5"/>
          </w:tcPr>
          <w:p>
            <w:r>
              <w:rPr>
                <w:sz w:val="16"/>
              </w:rPr>
            </w:r>
            <w:r>
              <w:rPr>
                <w:b w:val="0"/>
                <w:sz w:val="16"/>
              </w:rPr>
              <w:t>±0.5 mm</w:t>
            </w:r>
          </w:p>
        </w:tc>
        <w:tc>
          <w:tcPr>
            <w:tcW w:type="dxa" w:w="2160"/>
            <w:shd w:val="clear" w:color="auto" w:fill="F5F5F5"/>
          </w:tcPr>
          <w:p>
            <w:r>
              <w:rPr>
                <w:sz w:val="16"/>
              </w:rPr>
            </w:r>
            <w:r>
              <w:rPr>
                <w:b w:val="0"/>
                <w:sz w:val="16"/>
              </w:rPr>
              <w:t>Mechanical advantage ≥3:1 (RISK-22)</w:t>
            </w:r>
          </w:p>
        </w:tc>
        <w:tc>
          <w:tcPr>
            <w:tcW w:type="dxa" w:w="2016"/>
            <w:shd w:val="clear" w:color="auto" w:fill="F5F5F5"/>
          </w:tcPr>
          <w:p>
            <w:r>
              <w:rPr>
                <w:sz w:val="16"/>
              </w:rPr>
            </w:r>
            <w:r>
              <w:rPr>
                <w:b w:val="0"/>
                <w:sz w:val="16"/>
              </w:rPr>
              <w:t>YES</w:t>
            </w:r>
          </w:p>
        </w:tc>
      </w:tr>
      <w:tr>
        <w:tc>
          <w:tcPr>
            <w:tcW w:type="dxa" w:w="2880"/>
            <w:shd w:val="clear" w:color="auto" w:fill="FFFFFF"/>
          </w:tcPr>
          <w:p>
            <w:r>
              <w:rPr>
                <w:b/>
                <w:sz w:val="16"/>
              </w:rPr>
              <w:t>PD1 baffle height (F-07)</w:t>
            </w:r>
          </w:p>
        </w:tc>
        <w:tc>
          <w:tcPr>
            <w:tcW w:type="dxa" w:w="1296"/>
            <w:shd w:val="clear" w:color="auto" w:fill="FFFFFF"/>
          </w:tcPr>
          <w:p>
            <w:r>
              <w:rPr>
                <w:sz w:val="16"/>
              </w:rPr>
              <w:t>≥LED stack + 0.3 mm</w:t>
            </w:r>
          </w:p>
        </w:tc>
        <w:tc>
          <w:tcPr>
            <w:tcW w:type="dxa" w:w="1296"/>
            <w:shd w:val="clear" w:color="auto" w:fill="FFFFFF"/>
          </w:tcPr>
          <w:p>
            <w:r>
              <w:rPr>
                <w:sz w:val="16"/>
              </w:rPr>
              <w:t>Min only</w:t>
            </w:r>
          </w:p>
        </w:tc>
        <w:tc>
          <w:tcPr>
            <w:tcW w:type="dxa" w:w="2160"/>
            <w:shd w:val="clear" w:color="auto" w:fill="FFFFFF"/>
          </w:tcPr>
          <w:p>
            <w:r>
              <w:rPr>
                <w:sz w:val="16"/>
              </w:rPr>
              <w:t>Dose metering (RISK-06)</w:t>
            </w:r>
          </w:p>
        </w:tc>
        <w:tc>
          <w:tcPr>
            <w:tcW w:type="dxa" w:w="2016"/>
            <w:shd w:val="clear" w:color="auto" w:fill="FFFFFF"/>
          </w:tcPr>
          <w:p>
            <w:r>
              <w:rPr>
                <w:sz w:val="16"/>
              </w:rPr>
              <w:t>YES</w:t>
            </w:r>
          </w:p>
        </w:tc>
      </w:tr>
      <w:tr>
        <w:tc>
          <w:tcPr>
            <w:tcW w:type="dxa" w:w="2880"/>
            <w:shd w:val="clear" w:color="auto" w:fill="F5F5F5"/>
          </w:tcPr>
          <w:p>
            <w:r>
              <w:rPr>
                <w:b/>
                <w:sz w:val="16"/>
              </w:rPr>
              <w:t>PD1 baffle aperture (F-07)</w:t>
            </w:r>
          </w:p>
        </w:tc>
        <w:tc>
          <w:tcPr>
            <w:tcW w:type="dxa" w:w="1296"/>
            <w:shd w:val="clear" w:color="auto" w:fill="F5F5F5"/>
          </w:tcPr>
          <w:p>
            <w:r>
              <w:rPr>
                <w:sz w:val="16"/>
              </w:rPr>
              <w:t>2.0 × 2.0 mm</w:t>
            </w:r>
          </w:p>
        </w:tc>
        <w:tc>
          <w:tcPr>
            <w:tcW w:type="dxa" w:w="1296"/>
            <w:shd w:val="clear" w:color="auto" w:fill="F5F5F5"/>
          </w:tcPr>
          <w:p>
            <w:r>
              <w:rPr>
                <w:sz w:val="16"/>
              </w:rPr>
              <w:t>±0.2 mm</w:t>
            </w:r>
          </w:p>
        </w:tc>
        <w:tc>
          <w:tcPr>
            <w:tcW w:type="dxa" w:w="2160"/>
            <w:shd w:val="clear" w:color="auto" w:fill="F5F5F5"/>
          </w:tcPr>
          <w:p>
            <w:r>
              <w:rPr>
                <w:sz w:val="16"/>
              </w:rPr>
              <w:t>Dose metering</w:t>
            </w:r>
          </w:p>
        </w:tc>
        <w:tc>
          <w:tcPr>
            <w:tcW w:type="dxa" w:w="2016"/>
            <w:shd w:val="clear" w:color="auto" w:fill="F5F5F5"/>
          </w:tcPr>
          <w:p>
            <w:r>
              <w:rPr>
                <w:sz w:val="16"/>
              </w:rPr>
              <w:t>YES</w:t>
            </w:r>
          </w:p>
        </w:tc>
      </w:tr>
    </w:tbl>
    <w:p/>
    <w:p>
      <w:r>
        <w:rPr>
          <w:b/>
          <w:color w:val="1F497D"/>
          <w:sz w:val="24"/>
        </w:rPr>
        <w:t>5.  MOLD DESIGN REVIEW CHECKLIST</w:t>
      </w:r>
    </w:p>
    <w:p>
      <w:r>
        <w:rPr>
          <w:sz w:val="20"/>
        </w:rPr>
        <w:t>This checklist must be completed and signed before steel is cut. All items are MANDATORY. Any OPEN item blocks tooling release.</w:t>
      </w:r>
    </w:p>
    <w:p>
      <w:r>
        <w:rPr>
          <w:sz w:val="20"/>
        </w:rPr>
        <w:t>Gate: G1 Pre-Layout (NP-COORD-001 G1-05). Reviewer: ME + EE + Tooling Engineer.</w:t>
      </w:r>
    </w:p>
    <w:p/>
    <w:tbl>
      <w:tblPr>
        <w:tblStyle w:val="TableGrid"/>
        <w:tblW w:type="auto" w:w="0"/>
        <w:tblLook w:firstColumn="1" w:firstRow="1" w:lastColumn="0" w:lastRow="0" w:noHBand="0" w:noVBand="1" w:val="04A0"/>
      </w:tblPr>
      <w:tblGrid>
        <w:gridCol w:w="2160"/>
        <w:gridCol w:w="2160"/>
        <w:gridCol w:w="2160"/>
        <w:gridCol w:w="2160"/>
      </w:tblGrid>
      <w:tr>
        <w:tc>
          <w:tcPr>
            <w:tcW w:type="dxa" w:w="720"/>
            <w:shd w:val="clear" w:color="auto" w:fill="1F497D"/>
          </w:tcPr>
          <w:p>
            <w:r>
              <w:rPr>
                <w:b/>
                <w:color w:val="FFFFFF"/>
                <w:sz w:val="16"/>
              </w:rPr>
              <w:t>Item</w:t>
            </w:r>
          </w:p>
        </w:tc>
        <w:tc>
          <w:tcPr>
            <w:tcW w:type="dxa" w:w="6048"/>
            <w:shd w:val="clear" w:color="auto" w:fill="1F497D"/>
          </w:tcPr>
          <w:p>
            <w:r>
              <w:rPr>
                <w:b/>
                <w:color w:val="FFFFFF"/>
                <w:sz w:val="16"/>
              </w:rPr>
              <w:t>Requirement</w:t>
            </w:r>
          </w:p>
        </w:tc>
        <w:tc>
          <w:tcPr>
            <w:tcW w:type="dxa" w:w="1296"/>
            <w:shd w:val="clear" w:color="auto" w:fill="1F497D"/>
          </w:tcPr>
          <w:p>
            <w:r>
              <w:rPr>
                <w:b/>
                <w:color w:val="FFFFFF"/>
                <w:sz w:val="16"/>
              </w:rPr>
              <w:t>Confirmed?</w:t>
            </w:r>
          </w:p>
        </w:tc>
        <w:tc>
          <w:tcPr>
            <w:tcW w:type="dxa" w:w="1584"/>
            <w:shd w:val="clear" w:color="auto" w:fill="1F497D"/>
          </w:tcPr>
          <w:p>
            <w:r>
              <w:rPr>
                <w:b/>
                <w:color w:val="FFFFFF"/>
                <w:sz w:val="16"/>
              </w:rPr>
              <w:t>Notes</w:t>
            </w:r>
          </w:p>
        </w:tc>
      </w:tr>
      <w:tr>
        <w:tc>
          <w:tcPr>
            <w:tcW w:type="dxa" w:w="720"/>
            <w:shd w:val="clear" w:color="auto" w:fill="FFFFFF"/>
          </w:tcPr>
          <w:p>
            <w:r>
              <w:rPr>
                <w:b/>
                <w:sz w:val="16"/>
              </w:rPr>
              <w:t>1</w:t>
            </w:r>
          </w:p>
        </w:tc>
        <w:tc>
          <w:tcPr>
            <w:tcW w:type="dxa" w:w="6048"/>
            <w:shd w:val="clear" w:color="auto" w:fill="FFFFFF"/>
          </w:tcPr>
          <w:p>
            <w:r>
              <w:rPr>
                <w:sz w:val="16"/>
              </w:rPr>
              <w:t>All 8 features (F-01 through F-08) appear in mold CAD model</w:t>
            </w:r>
          </w:p>
        </w:tc>
        <w:tc>
          <w:tcPr>
            <w:tcW w:type="dxa" w:w="1296"/>
            <w:shd w:val="clear" w:color="auto" w:fill="FFFFFF"/>
          </w:tcPr>
          <w:p>
            <w:r>
              <w:rPr>
                <w:sz w:val="16"/>
              </w:rPr>
              <w:t>☐</w:t>
            </w:r>
          </w:p>
        </w:tc>
        <w:tc>
          <w:tcPr>
            <w:tcW w:type="dxa" w:w="1584"/>
            <w:shd w:val="clear" w:color="auto" w:fill="FFFFFF"/>
          </w:tcPr>
          <w:p>
            <w:r>
              <w:rPr>
                <w:sz w:val="16"/>
              </w:rPr>
            </w:r>
          </w:p>
        </w:tc>
      </w:tr>
      <w:tr>
        <w:tc>
          <w:tcPr>
            <w:tcW w:type="dxa" w:w="720"/>
            <w:shd w:val="clear" w:color="auto" w:fill="F5F5F5"/>
          </w:tcPr>
          <w:p>
            <w:r>
              <w:rPr>
                <w:b/>
                <w:sz w:val="16"/>
              </w:rPr>
              <w:t>2</w:t>
            </w:r>
          </w:p>
        </w:tc>
        <w:tc>
          <w:tcPr>
            <w:tcW w:type="dxa" w:w="6048"/>
            <w:shd w:val="clear" w:color="auto" w:fill="F5F5F5"/>
          </w:tcPr>
          <w:p>
            <w:r>
              <w:rPr>
                <w:sz w:val="16"/>
              </w:rPr>
              <w:t>F-01 mechanical key geometry unique per zone position (5 unique keys, reviewed by ME)</w:t>
            </w:r>
          </w:p>
        </w:tc>
        <w:tc>
          <w:tcPr>
            <w:tcW w:type="dxa" w:w="1296"/>
            <w:shd w:val="clear" w:color="auto" w:fill="F5F5F5"/>
          </w:tcPr>
          <w:p>
            <w:r>
              <w:rPr>
                <w:sz w:val="16"/>
              </w:rPr>
              <w:t>☐</w:t>
            </w:r>
          </w:p>
        </w:tc>
        <w:tc>
          <w:tcPr>
            <w:tcW w:type="dxa" w:w="1584"/>
            <w:shd w:val="clear" w:color="auto" w:fill="F5F5F5"/>
          </w:tcPr>
          <w:p>
            <w:r>
              <w:rPr>
                <w:sz w:val="16"/>
              </w:rPr>
            </w:r>
          </w:p>
        </w:tc>
      </w:tr>
      <w:tr>
        <w:tc>
          <w:tcPr>
            <w:tcW w:type="dxa" w:w="720"/>
            <w:shd w:val="clear" w:color="auto" w:fill="FFFFFF"/>
          </w:tcPr>
          <w:p>
            <w:r>
              <w:rPr>
                <w:b/>
                <w:sz w:val="16"/>
              </w:rPr>
              <w:t>3</w:t>
            </w:r>
          </w:p>
        </w:tc>
        <w:tc>
          <w:tcPr>
            <w:tcW w:type="dxa" w:w="6048"/>
            <w:shd w:val="clear" w:color="auto" w:fill="FFFFFF"/>
          </w:tcPr>
          <w:p>
            <w:r>
              <w:rPr>
                <w:sz w:val="16"/>
              </w:rPr>
              <w:t>F-02/F-03 numeral + braille finger-readable in prototype sample (3-subject blind test)</w:t>
            </w:r>
          </w:p>
        </w:tc>
        <w:tc>
          <w:tcPr>
            <w:tcW w:type="dxa" w:w="1296"/>
            <w:shd w:val="clear" w:color="auto" w:fill="FFFFFF"/>
          </w:tcPr>
          <w:p>
            <w:r>
              <w:rPr>
                <w:sz w:val="16"/>
              </w:rPr>
              <w:t>☐</w:t>
            </w:r>
          </w:p>
        </w:tc>
        <w:tc>
          <w:tcPr>
            <w:tcW w:type="dxa" w:w="1584"/>
            <w:shd w:val="clear" w:color="auto" w:fill="FFFFFF"/>
          </w:tcPr>
          <w:p>
            <w:r>
              <w:rPr>
                <w:sz w:val="16"/>
              </w:rPr>
              <w:t>Prototype validation</w:t>
            </w:r>
          </w:p>
        </w:tc>
      </w:tr>
      <w:tr>
        <w:tc>
          <w:tcPr>
            <w:tcW w:type="dxa" w:w="720"/>
            <w:shd w:val="clear" w:color="auto" w:fill="F5F5F5"/>
          </w:tcPr>
          <w:p>
            <w:r>
              <w:rPr>
                <w:b/>
                <w:sz w:val="16"/>
              </w:rPr>
              <w:t>4</w:t>
            </w:r>
          </w:p>
        </w:tc>
        <w:tc>
          <w:tcPr>
            <w:tcW w:type="dxa" w:w="6048"/>
            <w:shd w:val="clear" w:color="auto" w:fill="F5F5F5"/>
          </w:tcPr>
          <w:p>
            <w:r>
              <w:rPr>
                <w:sz w:val="16"/>
              </w:rPr>
              <w:t>F-04 PD2 aperture aligned to PD2 body position per FPC layout (EE confirms FPC layout frozen)</w:t>
            </w:r>
          </w:p>
        </w:tc>
        <w:tc>
          <w:tcPr>
            <w:tcW w:type="dxa" w:w="1296"/>
            <w:shd w:val="clear" w:color="auto" w:fill="F5F5F5"/>
          </w:tcPr>
          <w:p>
            <w:r>
              <w:rPr>
                <w:sz w:val="16"/>
              </w:rPr>
              <w:t>☐</w:t>
            </w:r>
          </w:p>
        </w:tc>
        <w:tc>
          <w:tcPr>
            <w:tcW w:type="dxa" w:w="1584"/>
            <w:shd w:val="clear" w:color="auto" w:fill="F5F5F5"/>
          </w:tcPr>
          <w:p>
            <w:r>
              <w:rPr>
                <w:sz w:val="16"/>
              </w:rPr>
            </w:r>
            <w:r>
              <w:rPr>
                <w:b w:val="0"/>
                <w:sz w:val="16"/>
              </w:rPr>
              <w:t>F-04 aperture center: X = 33.0 ± 0.2 mm, Y = 39.0 ± 0.2 mm from module reference corner. Confirm in mold drawing. Position locked per NP-HW-FPC-001 Rev D §8.4 (2026-05-09).</w:t>
            </w:r>
          </w:p>
        </w:tc>
      </w:tr>
      <w:tr>
        <w:tc>
          <w:tcPr>
            <w:tcW w:type="dxa" w:w="720"/>
            <w:shd w:val="clear" w:color="auto" w:fill="FFFFFF"/>
          </w:tcPr>
          <w:p>
            <w:r>
              <w:rPr>
                <w:b/>
                <w:sz w:val="16"/>
              </w:rPr>
              <w:t>5</w:t>
            </w:r>
          </w:p>
        </w:tc>
        <w:tc>
          <w:tcPr>
            <w:tcW w:type="dxa" w:w="6048"/>
            <w:shd w:val="clear" w:color="auto" w:fill="FFFFFF"/>
          </w:tcPr>
          <w:p>
            <w:r>
              <w:rPr>
                <w:sz w:val="16"/>
              </w:rPr>
              <w:t>F-05/F-06 gasket co-moulding process confirmed with moulder — silicone primer specified</w:t>
            </w:r>
          </w:p>
        </w:tc>
        <w:tc>
          <w:tcPr>
            <w:tcW w:type="dxa" w:w="1296"/>
            <w:shd w:val="clear" w:color="auto" w:fill="FFFFFF"/>
          </w:tcPr>
          <w:p>
            <w:r>
              <w:rPr>
                <w:sz w:val="16"/>
              </w:rPr>
              <w:t>☐</w:t>
            </w:r>
          </w:p>
        </w:tc>
        <w:tc>
          <w:tcPr>
            <w:tcW w:type="dxa" w:w="1584"/>
            <w:shd w:val="clear" w:color="auto" w:fill="FFFFFF"/>
          </w:tcPr>
          <w:p>
            <w:r>
              <w:rPr>
                <w:sz w:val="16"/>
              </w:rPr>
              <w:t>Get written process confirmation</w:t>
            </w:r>
          </w:p>
        </w:tc>
      </w:tr>
      <w:tr>
        <w:tc>
          <w:tcPr>
            <w:tcW w:type="dxa" w:w="720"/>
            <w:shd w:val="clear" w:color="auto" w:fill="F5F5F5"/>
          </w:tcPr>
          <w:p>
            <w:r>
              <w:rPr>
                <w:b/>
                <w:sz w:val="16"/>
              </w:rPr>
              <w:t>6</w:t>
            </w:r>
          </w:p>
        </w:tc>
        <w:tc>
          <w:tcPr>
            <w:tcW w:type="dxa" w:w="6048"/>
            <w:shd w:val="clear" w:color="auto" w:fill="F5F5F5"/>
          </w:tcPr>
          <w:p>
            <w:r>
              <w:rPr>
                <w:sz w:val="16"/>
              </w:rPr>
              <w:t>F-07 baffle height confirmed vs. LED stack height in BOM (EE confirms LED supplier + package)</w:t>
            </w:r>
          </w:p>
        </w:tc>
        <w:tc>
          <w:tcPr>
            <w:tcW w:type="dxa" w:w="1296"/>
            <w:shd w:val="clear" w:color="auto" w:fill="F5F5F5"/>
          </w:tcPr>
          <w:p>
            <w:r>
              <w:rPr>
                <w:sz w:val="16"/>
              </w:rPr>
              <w:t>☐</w:t>
            </w:r>
          </w:p>
        </w:tc>
        <w:tc>
          <w:tcPr>
            <w:tcW w:type="dxa" w:w="1584"/>
            <w:shd w:val="clear" w:color="auto" w:fill="F5F5F5"/>
          </w:tcPr>
          <w:p>
            <w:r>
              <w:rPr>
                <w:sz w:val="16"/>
              </w:rPr>
            </w:r>
          </w:p>
        </w:tc>
      </w:tr>
      <w:tr>
        <w:tc>
          <w:tcPr>
            <w:tcW w:type="dxa" w:w="720"/>
            <w:shd w:val="clear" w:color="auto" w:fill="FFFFFF"/>
          </w:tcPr>
          <w:p>
            <w:r>
              <w:rPr>
                <w:b/>
                <w:sz w:val="16"/>
              </w:rPr>
              <w:t>7</w:t>
            </w:r>
          </w:p>
        </w:tc>
        <w:tc>
          <w:tcPr>
            <w:tcW w:type="dxa" w:w="6048"/>
            <w:shd w:val="clear" w:color="auto" w:fill="FFFFFF"/>
          </w:tcPr>
          <w:p>
            <w:r>
              <w:rPr>
                <w:sz w:val="16"/>
              </w:rPr>
              <w:t>F-08 pull tab does not interfere with ZIF lever access (ME confirms clearance in CAD)</w:t>
            </w:r>
          </w:p>
        </w:tc>
        <w:tc>
          <w:tcPr>
            <w:tcW w:type="dxa" w:w="1296"/>
            <w:shd w:val="clear" w:color="auto" w:fill="FFFFFF"/>
          </w:tcPr>
          <w:p>
            <w:r>
              <w:rPr>
                <w:sz w:val="16"/>
              </w:rPr>
              <w:t>☐</w:t>
            </w:r>
          </w:p>
        </w:tc>
        <w:tc>
          <w:tcPr>
            <w:tcW w:type="dxa" w:w="1584"/>
            <w:shd w:val="clear" w:color="auto" w:fill="FFFFFF"/>
          </w:tcPr>
          <w:p>
            <w:r>
              <w:rPr>
                <w:sz w:val="16"/>
              </w:rPr>
            </w:r>
          </w:p>
        </w:tc>
      </w:tr>
      <w:tr>
        <w:tc>
          <w:tcPr>
            <w:tcW w:type="dxa" w:w="720"/>
            <w:shd w:val="clear" w:color="auto" w:fill="F5F5F5"/>
          </w:tcPr>
          <w:p>
            <w:r>
              <w:rPr>
                <w:b/>
                <w:sz w:val="16"/>
              </w:rPr>
              <w:t>8</w:t>
            </w:r>
          </w:p>
        </w:tc>
        <w:tc>
          <w:tcPr>
            <w:tcW w:type="dxa" w:w="6048"/>
            <w:shd w:val="clear" w:color="auto" w:fill="F5F5F5"/>
          </w:tcPr>
          <w:p>
            <w:r>
              <w:rPr>
                <w:sz w:val="16"/>
              </w:rPr>
              <w:t>CFRP shell slot rim Ra ≤ 1.6 µm achievable — written confirmation from tooling manufacturer (RISK-20)</w:t>
            </w:r>
          </w:p>
        </w:tc>
        <w:tc>
          <w:tcPr>
            <w:tcW w:type="dxa" w:w="1296"/>
            <w:shd w:val="clear" w:color="auto" w:fill="F5F5F5"/>
          </w:tcPr>
          <w:p>
            <w:r>
              <w:rPr>
                <w:sz w:val="16"/>
              </w:rPr>
              <w:t>☐</w:t>
            </w:r>
          </w:p>
        </w:tc>
        <w:tc>
          <w:tcPr>
            <w:tcW w:type="dxa" w:w="1584"/>
            <w:shd w:val="clear" w:color="auto" w:fill="F5F5F5"/>
          </w:tcPr>
          <w:p>
            <w:r>
              <w:rPr>
                <w:sz w:val="16"/>
              </w:rPr>
              <w:t>BLOCKING if not confirmed</w:t>
            </w:r>
          </w:p>
        </w:tc>
      </w:tr>
      <w:tr>
        <w:tc>
          <w:tcPr>
            <w:tcW w:type="dxa" w:w="720"/>
            <w:shd w:val="clear" w:color="auto" w:fill="FFFFFF"/>
          </w:tcPr>
          <w:p>
            <w:r>
              <w:rPr>
                <w:b/>
                <w:sz w:val="16"/>
              </w:rPr>
              <w:t>9</w:t>
            </w:r>
          </w:p>
        </w:tc>
        <w:tc>
          <w:tcPr>
            <w:tcW w:type="dxa" w:w="6048"/>
            <w:shd w:val="clear" w:color="auto" w:fill="FFFFFF"/>
          </w:tcPr>
          <w:p>
            <w:r>
              <w:rPr>
                <w:sz w:val="16"/>
              </w:rPr>
              <w:t>Gasket compression per slot geometry: shell slot width minus module body width = 0.4 mm ± 0.1 mm (ME)</w:t>
            </w:r>
          </w:p>
        </w:tc>
        <w:tc>
          <w:tcPr>
            <w:tcW w:type="dxa" w:w="1296"/>
            <w:shd w:val="clear" w:color="auto" w:fill="FFFFFF"/>
          </w:tcPr>
          <w:p>
            <w:r>
              <w:rPr>
                <w:sz w:val="16"/>
              </w:rPr>
              <w:t>☐</w:t>
            </w:r>
          </w:p>
        </w:tc>
        <w:tc>
          <w:tcPr>
            <w:tcW w:type="dxa" w:w="1584"/>
            <w:shd w:val="clear" w:color="auto" w:fill="FFFFFF"/>
          </w:tcPr>
          <w:p>
            <w:r>
              <w:rPr>
                <w:sz w:val="16"/>
              </w:rPr>
            </w:r>
          </w:p>
        </w:tc>
      </w:tr>
      <w:tr>
        <w:tc>
          <w:tcPr>
            <w:tcW w:type="dxa" w:w="720"/>
            <w:shd w:val="clear" w:color="auto" w:fill="F5F5F5"/>
          </w:tcPr>
          <w:p>
            <w:r>
              <w:rPr>
                <w:b/>
                <w:sz w:val="16"/>
              </w:rPr>
              <w:t>10</w:t>
            </w:r>
          </w:p>
        </w:tc>
        <w:tc>
          <w:tcPr>
            <w:tcW w:type="dxa" w:w="6048"/>
            <w:shd w:val="clear" w:color="auto" w:fill="F5F5F5"/>
          </w:tcPr>
          <w:p>
            <w:r>
              <w:rPr>
                <w:sz w:val="16"/>
              </w:rPr>
              <w:t>T1/T2 shared mold confirmed — identical hardware, firmware-only distinction (EE sign-off)</w:t>
            </w:r>
          </w:p>
        </w:tc>
        <w:tc>
          <w:tcPr>
            <w:tcW w:type="dxa" w:w="1296"/>
            <w:shd w:val="clear" w:color="auto" w:fill="F5F5F5"/>
          </w:tcPr>
          <w:p>
            <w:r>
              <w:rPr>
                <w:sz w:val="16"/>
              </w:rPr>
              <w:t>☐</w:t>
            </w:r>
          </w:p>
        </w:tc>
        <w:tc>
          <w:tcPr>
            <w:tcW w:type="dxa" w:w="1584"/>
            <w:shd w:val="clear" w:color="auto" w:fill="F5F5F5"/>
          </w:tcPr>
          <w:p>
            <w:r>
              <w:rPr>
                <w:sz w:val="16"/>
              </w:rPr>
            </w:r>
          </w:p>
        </w:tc>
      </w:tr>
      <w:tr>
        <w:tc>
          <w:tcPr>
            <w:tcW w:type="dxa" w:w="720"/>
            <w:shd w:val="clear" w:color="auto" w:fill="FFFFFF"/>
          </w:tcPr>
          <w:p>
            <w:r>
              <w:rPr>
                <w:b/>
                <w:sz w:val="16"/>
              </w:rPr>
              <w:t>11</w:t>
            </w:r>
          </w:p>
        </w:tc>
        <w:tc>
          <w:tcPr>
            <w:tcW w:type="dxa" w:w="6048"/>
            <w:shd w:val="clear" w:color="auto" w:fill="FFFFFF"/>
          </w:tcPr>
          <w:p>
            <w:r>
              <w:rPr>
                <w:sz w:val="16"/>
              </w:rPr>
              <w:t>Zone color in bulk material (not paint) — material spec confirmed with moulding supplier</w:t>
            </w:r>
          </w:p>
        </w:tc>
        <w:tc>
          <w:tcPr>
            <w:tcW w:type="dxa" w:w="1296"/>
            <w:shd w:val="clear" w:color="auto" w:fill="FFFFFF"/>
          </w:tcPr>
          <w:p>
            <w:r>
              <w:rPr>
                <w:sz w:val="16"/>
              </w:rPr>
              <w:t>☐</w:t>
            </w:r>
          </w:p>
        </w:tc>
        <w:tc>
          <w:tcPr>
            <w:tcW w:type="dxa" w:w="1584"/>
            <w:shd w:val="clear" w:color="auto" w:fill="FFFFFF"/>
          </w:tcPr>
          <w:p>
            <w:r>
              <w:rPr>
                <w:sz w:val="16"/>
              </w:rPr>
            </w:r>
          </w:p>
        </w:tc>
      </w:tr>
      <w:tr>
        <w:tc>
          <w:tcPr>
            <w:tcW w:type="dxa" w:w="720"/>
            <w:shd w:val="clear" w:color="auto" w:fill="F5F5F5"/>
          </w:tcPr>
          <w:p>
            <w:r>
              <w:rPr>
                <w:b/>
                <w:sz w:val="16"/>
              </w:rPr>
              <w:t>12</w:t>
            </w:r>
          </w:p>
        </w:tc>
        <w:tc>
          <w:tcPr>
            <w:tcW w:type="dxa" w:w="6048"/>
            <w:shd w:val="clear" w:color="auto" w:fill="F5F5F5"/>
          </w:tcPr>
          <w:p>
            <w:r>
              <w:rPr>
                <w:sz w:val="16"/>
              </w:rPr>
              <w:t>All critical dimensions (§4) appear as drawing callouts with tolerances</w:t>
            </w:r>
          </w:p>
        </w:tc>
        <w:tc>
          <w:tcPr>
            <w:tcW w:type="dxa" w:w="1296"/>
            <w:shd w:val="clear" w:color="auto" w:fill="F5F5F5"/>
          </w:tcPr>
          <w:p>
            <w:r>
              <w:rPr>
                <w:sz w:val="16"/>
              </w:rPr>
              <w:t>☐</w:t>
            </w:r>
          </w:p>
        </w:tc>
        <w:tc>
          <w:tcPr>
            <w:tcW w:type="dxa" w:w="1584"/>
            <w:shd w:val="clear" w:color="auto" w:fill="F5F5F5"/>
          </w:tcPr>
          <w:p>
            <w:r>
              <w:rPr>
                <w:sz w:val="16"/>
              </w:rPr>
            </w:r>
          </w:p>
        </w:tc>
      </w:tr>
    </w:tbl>
    <w:p/>
    <w:p>
      <w:r>
        <w:rPr>
          <w:b/>
          <w:color w:val="1F497D"/>
          <w:sz w:val="24"/>
        </w:rPr>
        <w:t>6.  FAI CROSS-REFERENCE</w:t>
      </w:r>
    </w:p>
    <w:p>
      <w:r>
        <w:rPr>
          <w:sz w:val="20"/>
        </w:rPr>
        <w:t>The following first-article inspection items in NP-FAI-ZM-001 directly validate features in this tooling specification. FAI must pass before production lot approval.</w:t>
      </w:r>
    </w:p>
    <w:tbl>
      <w:tblPr>
        <w:tblStyle w:val="TableGrid"/>
        <w:tblW w:type="auto" w:w="0"/>
        <w:tblLook w:firstColumn="1" w:firstRow="1" w:lastColumn="0" w:lastRow="0" w:noHBand="0" w:noVBand="1" w:val="04A0"/>
      </w:tblPr>
      <w:tblGrid>
        <w:gridCol w:w="2880"/>
        <w:gridCol w:w="2880"/>
        <w:gridCol w:w="2880"/>
      </w:tblGrid>
      <w:tr>
        <w:tc>
          <w:tcPr>
            <w:tcW w:type="dxa" w:w="1440"/>
            <w:shd w:val="clear" w:color="auto" w:fill="1F497D"/>
          </w:tcPr>
          <w:p>
            <w:r>
              <w:rPr>
                <w:b/>
                <w:color w:val="FFFFFF"/>
                <w:sz w:val="16"/>
              </w:rPr>
              <w:t>Feature</w:t>
            </w:r>
          </w:p>
        </w:tc>
        <w:tc>
          <w:tcPr>
            <w:tcW w:type="dxa" w:w="2880"/>
            <w:shd w:val="clear" w:color="auto" w:fill="1F497D"/>
          </w:tcPr>
          <w:p>
            <w:r>
              <w:rPr>
                <w:b/>
                <w:color w:val="FFFFFF"/>
                <w:sz w:val="16"/>
              </w:rPr>
              <w:t>FAI Item(s)</w:t>
            </w:r>
          </w:p>
        </w:tc>
        <w:tc>
          <w:tcPr>
            <w:tcW w:type="dxa" w:w="5472"/>
            <w:shd w:val="clear" w:color="auto" w:fill="1F497D"/>
          </w:tcPr>
          <w:p>
            <w:r>
              <w:rPr>
                <w:b/>
                <w:color w:val="FFFFFF"/>
                <w:sz w:val="16"/>
              </w:rPr>
              <w:t>Pass Criterion</w:t>
            </w:r>
          </w:p>
        </w:tc>
      </w:tr>
      <w:tr>
        <w:tc>
          <w:tcPr>
            <w:tcW w:type="dxa" w:w="1440"/>
            <w:shd w:val="clear" w:color="auto" w:fill="FFFFFF"/>
          </w:tcPr>
          <w:p>
            <w:r>
              <w:rPr>
                <w:b/>
                <w:sz w:val="16"/>
              </w:rPr>
              <w:t>F-01 (mechanical key)</w:t>
            </w:r>
          </w:p>
        </w:tc>
        <w:tc>
          <w:tcPr>
            <w:tcW w:type="dxa" w:w="2880"/>
            <w:shd w:val="clear" w:color="auto" w:fill="FFFFFF"/>
          </w:tcPr>
          <w:p>
            <w:r>
              <w:rPr>
                <w:sz w:val="16"/>
              </w:rPr>
              <w:t>FAI-A14</w:t>
            </w:r>
          </w:p>
        </w:tc>
        <w:tc>
          <w:tcPr>
            <w:tcW w:type="dxa" w:w="5472"/>
            <w:shd w:val="clear" w:color="auto" w:fill="FFFFFF"/>
          </w:tcPr>
          <w:p>
            <w:r>
              <w:rPr>
                <w:sz w:val="16"/>
              </w:rPr>
              <w:t>Zero wrong-slot insertions in 20 attempts</w:t>
            </w:r>
          </w:p>
        </w:tc>
      </w:tr>
      <w:tr>
        <w:tc>
          <w:tcPr>
            <w:tcW w:type="dxa" w:w="1440"/>
            <w:shd w:val="clear" w:color="auto" w:fill="F5F5F5"/>
          </w:tcPr>
          <w:p>
            <w:r>
              <w:rPr>
                <w:b/>
                <w:sz w:val="16"/>
              </w:rPr>
              <w:t>F-02/F-03 (tactile ID)</w:t>
            </w:r>
          </w:p>
        </w:tc>
        <w:tc>
          <w:tcPr>
            <w:tcW w:type="dxa" w:w="2880"/>
            <w:shd w:val="clear" w:color="auto" w:fill="F5F5F5"/>
          </w:tcPr>
          <w:p>
            <w:r>
              <w:rPr>
                <w:sz w:val="16"/>
              </w:rPr>
              <w:t>FAI-A09, FAI-A10</w:t>
            </w:r>
          </w:p>
        </w:tc>
        <w:tc>
          <w:tcPr>
            <w:tcW w:type="dxa" w:w="5472"/>
            <w:shd w:val="clear" w:color="auto" w:fill="F5F5F5"/>
          </w:tcPr>
          <w:p>
            <w:r>
              <w:rPr>
                <w:sz w:val="16"/>
              </w:rPr>
              <w:t>Braille readable; dot count correct</w:t>
            </w:r>
          </w:p>
        </w:tc>
      </w:tr>
      <w:tr>
        <w:tc>
          <w:tcPr>
            <w:tcW w:type="dxa" w:w="1440"/>
            <w:shd w:val="clear" w:color="auto" w:fill="FFFFFF"/>
          </w:tcPr>
          <w:p>
            <w:r>
              <w:rPr>
                <w:b/>
                <w:sz w:val="16"/>
              </w:rPr>
              <w:t>F-04 (PD2 aperture)</w:t>
            </w:r>
          </w:p>
        </w:tc>
        <w:tc>
          <w:tcPr>
            <w:tcW w:type="dxa" w:w="2880"/>
            <w:shd w:val="clear" w:color="auto" w:fill="FFFFFF"/>
          </w:tcPr>
          <w:p>
            <w:r>
              <w:rPr>
                <w:sz w:val="16"/>
              </w:rPr>
              <w:t>FAI-SY01 (PD2 channel functional)</w:t>
            </w:r>
          </w:p>
        </w:tc>
        <w:tc>
          <w:tcPr>
            <w:tcW w:type="dxa" w:w="5472"/>
            <w:shd w:val="clear" w:color="auto" w:fill="FFFFFF"/>
          </w:tcPr>
          <w:p>
            <w:r>
              <w:rPr>
                <w:sz w:val="16"/>
              </w:rPr>
              <w:t>PD2 ADC reading responds to LED modulation</w:t>
            </w:r>
          </w:p>
        </w:tc>
      </w:tr>
      <w:tr>
        <w:tc>
          <w:tcPr>
            <w:tcW w:type="dxa" w:w="1440"/>
            <w:shd w:val="clear" w:color="auto" w:fill="F5F5F5"/>
          </w:tcPr>
          <w:p>
            <w:r>
              <w:rPr>
                <w:b/>
                <w:sz w:val="16"/>
              </w:rPr>
              <w:t>F-05/F-06 (gasket seal)</w:t>
            </w:r>
          </w:p>
        </w:tc>
        <w:tc>
          <w:tcPr>
            <w:tcW w:type="dxa" w:w="2880"/>
            <w:shd w:val="clear" w:color="auto" w:fill="F5F5F5"/>
          </w:tcPr>
          <w:p>
            <w:r>
              <w:rPr>
                <w:sz w:val="16"/>
              </w:rPr>
              <w:t>FAI-IPX-01, FAI-IPX-02, FAI-IPX-03</w:t>
            </w:r>
          </w:p>
        </w:tc>
        <w:tc>
          <w:tcPr>
            <w:tcW w:type="dxa" w:w="5472"/>
            <w:shd w:val="clear" w:color="auto" w:fill="F5F5F5"/>
          </w:tcPr>
          <w:p>
            <w:r>
              <w:rPr>
                <w:sz w:val="16"/>
              </w:rPr>
              <w:t>IPX4 pass; gasket stays bonded after 10 swap cycles</w:t>
            </w:r>
          </w:p>
        </w:tc>
      </w:tr>
      <w:tr>
        <w:tc>
          <w:tcPr>
            <w:tcW w:type="dxa" w:w="1440"/>
            <w:shd w:val="clear" w:color="auto" w:fill="FFFFFF"/>
          </w:tcPr>
          <w:p>
            <w:r>
              <w:rPr>
                <w:b/>
                <w:sz w:val="16"/>
              </w:rPr>
              <w:t>F-07 (baffle)</w:t>
            </w:r>
          </w:p>
        </w:tc>
        <w:tc>
          <w:tcPr>
            <w:tcW w:type="dxa" w:w="2880"/>
            <w:shd w:val="clear" w:color="auto" w:fill="FFFFFF"/>
          </w:tcPr>
          <w:p>
            <w:r>
              <w:rPr>
                <w:sz w:val="16"/>
              </w:rPr>
              <w:t>FAI-A06 (photodiode linearity)</w:t>
            </w:r>
          </w:p>
        </w:tc>
        <w:tc>
          <w:tcPr>
            <w:tcW w:type="dxa" w:w="5472"/>
            <w:shd w:val="clear" w:color="auto" w:fill="FFFFFF"/>
          </w:tcPr>
          <w:p>
            <w:r>
              <w:rPr>
                <w:sz w:val="16"/>
              </w:rPr>
              <w:t>PD output linear with LED current; no direct LED bleed</w:t>
            </w:r>
          </w:p>
        </w:tc>
      </w:tr>
      <w:tr>
        <w:tc>
          <w:tcPr>
            <w:tcW w:type="dxa" w:w="1440"/>
            <w:shd w:val="clear" w:color="auto" w:fill="F5F5F5"/>
          </w:tcPr>
          <w:p>
            <w:r>
              <w:rPr>
                <w:b/>
                <w:sz w:val="16"/>
              </w:rPr>
              <w:t>F-08 (pull tab)</w:t>
            </w:r>
          </w:p>
        </w:tc>
        <w:tc>
          <w:tcPr>
            <w:tcW w:type="dxa" w:w="2880"/>
            <w:shd w:val="clear" w:color="auto" w:fill="F5F5F5"/>
          </w:tcPr>
          <w:p>
            <w:r>
              <w:rPr>
                <w:sz w:val="16"/>
              </w:rPr>
              <w:t>HFE formative study (pre-FAI)</w:t>
            </w:r>
          </w:p>
        </w:tc>
        <w:tc>
          <w:tcPr>
            <w:tcW w:type="dxa" w:w="5472"/>
            <w:shd w:val="clear" w:color="auto" w:fill="F5F5F5"/>
          </w:tcPr>
          <w:p>
            <w:r>
              <w:rPr>
                <w:sz w:val="16"/>
              </w:rPr>
              <w:t>Users with Parkinson's/tremor extract module in ≤ 10 s</w:t>
            </w:r>
          </w:p>
        </w:tc>
      </w:tr>
    </w:tbl>
    <w:p/>
    <w:p>
      <w:r>
        <w:rPr>
          <w:b/>
          <w:color w:val="1F497D"/>
          <w:sz w:val="24"/>
        </w:rPr>
        <w:t>7.  OPEN ITEMS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720"/>
            <w:shd w:val="clear" w:color="auto" w:fill="1F497D"/>
          </w:tcPr>
          <w:p>
            <w:r>
              <w:rPr>
                <w:b/>
                <w:color w:val="FFFFFF"/>
                <w:sz w:val="16"/>
              </w:rPr>
              <w:t>OI</w:t>
            </w:r>
          </w:p>
        </w:tc>
        <w:tc>
          <w:tcPr>
            <w:tcW w:type="dxa" w:w="5472"/>
            <w:shd w:val="clear" w:color="auto" w:fill="1F497D"/>
          </w:tcPr>
          <w:p>
            <w:r>
              <w:rPr>
                <w:b/>
                <w:color w:val="FFFFFF"/>
                <w:sz w:val="16"/>
              </w:rPr>
              <w:t>Description</w:t>
            </w:r>
          </w:p>
        </w:tc>
        <w:tc>
          <w:tcPr>
            <w:tcW w:type="dxa" w:w="1152"/>
            <w:shd w:val="clear" w:color="auto" w:fill="1F497D"/>
          </w:tcPr>
          <w:p>
            <w:r>
              <w:rPr>
                <w:b/>
                <w:color w:val="FFFFFF"/>
                <w:sz w:val="16"/>
              </w:rPr>
              <w:t>Owner</w:t>
            </w:r>
          </w:p>
        </w:tc>
        <w:tc>
          <w:tcPr>
            <w:tcW w:type="dxa" w:w="1728"/>
            <w:shd w:val="clear" w:color="auto" w:fill="1F497D"/>
          </w:tcPr>
          <w:p>
            <w:r>
              <w:rPr>
                <w:b/>
                <w:color w:val="FFFFFF"/>
                <w:sz w:val="16"/>
              </w:rPr>
              <w:t>Required by</w:t>
            </w:r>
          </w:p>
        </w:tc>
        <w:tc>
          <w:tcPr>
            <w:tcW w:type="dxa" w:w="720"/>
            <w:shd w:val="clear" w:color="auto" w:fill="1F497D"/>
          </w:tcPr>
          <w:p>
            <w:r>
              <w:rPr>
                <w:b/>
                <w:color w:val="FFFFFF"/>
                <w:sz w:val="16"/>
              </w:rPr>
              <w:t>Status</w:t>
            </w:r>
          </w:p>
        </w:tc>
      </w:tr>
      <w:tr>
        <w:tc>
          <w:tcPr>
            <w:tcW w:type="dxa" w:w="720"/>
            <w:shd w:val="clear" w:color="auto" w:fill="FFFFFF"/>
          </w:tcPr>
          <w:p>
            <w:r>
              <w:rPr>
                <w:b/>
                <w:sz w:val="16"/>
              </w:rPr>
              <w:t>OI-1</w:t>
            </w:r>
          </w:p>
        </w:tc>
        <w:tc>
          <w:tcPr>
            <w:tcW w:type="dxa" w:w="5472"/>
            <w:shd w:val="clear" w:color="auto" w:fill="FFFFFF"/>
          </w:tcPr>
          <w:p>
            <w:r>
              <w:rPr>
                <w:sz w:val="16"/>
              </w:rPr>
              <w:t>Written confirmation from tooling manufacturer that CFRP shell slot rim Ra ≤ 1.6 µm is achievable with moulding (RISK-20 — BLOCKING)</w:t>
            </w:r>
          </w:p>
        </w:tc>
        <w:tc>
          <w:tcPr>
            <w:tcW w:type="dxa" w:w="1152"/>
            <w:shd w:val="clear" w:color="auto" w:fill="FFFFFF"/>
          </w:tcPr>
          <w:p>
            <w:r>
              <w:rPr>
                <w:sz w:val="16"/>
              </w:rPr>
              <w:t>ME + Tooling</w:t>
            </w:r>
          </w:p>
        </w:tc>
        <w:tc>
          <w:tcPr>
            <w:tcW w:type="dxa" w:w="1728"/>
            <w:shd w:val="clear" w:color="auto" w:fill="FFFFFF"/>
          </w:tcPr>
          <w:p>
            <w:r>
              <w:rPr>
                <w:sz w:val="16"/>
              </w:rPr>
              <w:t>G2 Pre-Tooling</w:t>
            </w:r>
          </w:p>
        </w:tc>
        <w:tc>
          <w:tcPr>
            <w:tcW w:type="dxa" w:w="720"/>
            <w:shd w:val="clear" w:color="auto" w:fill="FFFFFF"/>
          </w:tcPr>
          <w:p>
            <w:r>
              <w:rPr>
                <w:sz w:val="16"/>
              </w:rPr>
              <w:t>OPEN</w:t>
            </w:r>
          </w:p>
        </w:tc>
      </w:tr>
      <w:tr>
        <w:tc>
          <w:tcPr>
            <w:tcW w:type="dxa" w:w="720"/>
            <w:shd w:val="clear" w:color="auto" w:fill="F5F5F5"/>
          </w:tcPr>
          <w:p>
            <w:r>
              <w:rPr>
                <w:b/>
                <w:sz w:val="16"/>
              </w:rPr>
              <w:t>OI-2</w:t>
            </w:r>
          </w:p>
        </w:tc>
        <w:tc>
          <w:tcPr>
            <w:tcW w:type="dxa" w:w="5472"/>
            <w:shd w:val="clear" w:color="auto" w:fill="F5F5F5"/>
          </w:tcPr>
          <w:p>
            <w:r>
              <w:rPr>
                <w:sz w:val="16"/>
              </w:rPr>
              <w:t>Silicone primer specification confirmed with gasket moulding supplier (process compatibility, ISO 10993-5)</w:t>
            </w:r>
          </w:p>
        </w:tc>
        <w:tc>
          <w:tcPr>
            <w:tcW w:type="dxa" w:w="1152"/>
            <w:shd w:val="clear" w:color="auto" w:fill="F5F5F5"/>
          </w:tcPr>
          <w:p>
            <w:r>
              <w:rPr>
                <w:sz w:val="16"/>
              </w:rPr>
              <w:t>ME</w:t>
            </w:r>
          </w:p>
        </w:tc>
        <w:tc>
          <w:tcPr>
            <w:tcW w:type="dxa" w:w="1728"/>
            <w:shd w:val="clear" w:color="auto" w:fill="F5F5F5"/>
          </w:tcPr>
          <w:p>
            <w:r>
              <w:rPr>
                <w:sz w:val="16"/>
              </w:rPr>
              <w:t>G1 Pre-Layout</w:t>
            </w:r>
          </w:p>
        </w:tc>
        <w:tc>
          <w:tcPr>
            <w:tcW w:type="dxa" w:w="720"/>
            <w:shd w:val="clear" w:color="auto" w:fill="F5F5F5"/>
          </w:tcPr>
          <w:p>
            <w:r>
              <w:rPr>
                <w:sz w:val="16"/>
              </w:rPr>
              <w:t>OPEN</w:t>
            </w:r>
          </w:p>
        </w:tc>
      </w:tr>
      <w:tr>
        <w:tc>
          <w:tcPr>
            <w:tcW w:type="dxa" w:w="720"/>
            <w:shd w:val="clear" w:color="auto" w:fill="FFFFFF"/>
          </w:tcPr>
          <w:p>
            <w:r>
              <w:rPr>
                <w:b/>
                <w:sz w:val="16"/>
              </w:rPr>
              <w:t>OI-3</w:t>
            </w:r>
          </w:p>
        </w:tc>
        <w:tc>
          <w:tcPr>
            <w:tcW w:type="dxa" w:w="5472"/>
            <w:shd w:val="clear" w:color="auto" w:fill="FFFFFF"/>
          </w:tcPr>
          <w:p>
            <w:r>
              <w:rPr>
                <w:sz w:val="16"/>
              </w:rPr>
              <w:t>FPC layout frozen and PD2 component position confirmed (required before F-04 aperture can be specified in mold)</w:t>
            </w:r>
          </w:p>
        </w:tc>
        <w:tc>
          <w:tcPr>
            <w:tcW w:type="dxa" w:w="1152"/>
            <w:shd w:val="clear" w:color="auto" w:fill="FFFFFF"/>
          </w:tcPr>
          <w:p>
            <w:r>
              <w:rPr>
                <w:sz w:val="16"/>
              </w:rPr>
              <w:t>EE</w:t>
            </w:r>
          </w:p>
        </w:tc>
        <w:tc>
          <w:tcPr>
            <w:tcW w:type="dxa" w:w="1728"/>
            <w:shd w:val="clear" w:color="auto" w:fill="FFFFFF"/>
          </w:tcPr>
          <w:p>
            <w:r>
              <w:rPr>
                <w:sz w:val="16"/>
              </w:rPr>
              <w:t>G1 Pre-Layout</w:t>
            </w:r>
          </w:p>
        </w:tc>
        <w:tc>
          <w:tcPr>
            <w:tcW w:type="dxa" w:w="720"/>
            <w:shd w:val="clear" w:color="auto" w:fill="FFFFFF"/>
            <w:shd w:val="clear" w:color="auto" w:fill="E2EFDA"/>
          </w:tcPr>
          <w:p>
            <w:r>
              <w:rPr>
                <w:sz w:val="16"/>
              </w:rPr>
            </w:r>
            <w:r>
              <w:rPr>
                <w:b/>
                <w:color w:val="007000"/>
                <w:sz w:val="16"/>
              </w:rPr>
              <w:t>CLOSED — NP-HW-FPC-001 Rev D frozen 2026-05-09. PD2 at X = 33.0 mm, Y = 39.0 mm from module reference corner. See NP-HW-FPC-001 Rev D §8.4 and pin 19 notes. F-04 position handed to mold designer.</w:t>
            </w:r>
          </w:p>
        </w:tc>
      </w:tr>
      <w:tr>
        <w:tc>
          <w:tcPr>
            <w:tcW w:type="dxa" w:w="720"/>
            <w:shd w:val="clear" w:color="auto" w:fill="F5F5F5"/>
          </w:tcPr>
          <w:p>
            <w:r>
              <w:rPr>
                <w:b/>
                <w:sz w:val="16"/>
              </w:rPr>
              <w:t>OI-4</w:t>
            </w:r>
          </w:p>
        </w:tc>
        <w:tc>
          <w:tcPr>
            <w:tcW w:type="dxa" w:w="5472"/>
            <w:shd w:val="clear" w:color="auto" w:fill="F5F5F5"/>
          </w:tcPr>
          <w:p>
            <w:r>
              <w:rPr>
                <w:sz w:val="16"/>
              </w:rPr>
              <w:t>HFE formative study for pull tab (F-08) — recruit 5 users with Parkinson's or reduced grip strength</w:t>
            </w:r>
          </w:p>
        </w:tc>
        <w:tc>
          <w:tcPr>
            <w:tcW w:type="dxa" w:w="1152"/>
            <w:shd w:val="clear" w:color="auto" w:fill="F5F5F5"/>
          </w:tcPr>
          <w:p>
            <w:r>
              <w:rPr>
                <w:sz w:val="16"/>
              </w:rPr>
              <w:t>UX/Clinical</w:t>
            </w:r>
          </w:p>
        </w:tc>
        <w:tc>
          <w:tcPr>
            <w:tcW w:type="dxa" w:w="1728"/>
            <w:shd w:val="clear" w:color="auto" w:fill="F5F5F5"/>
          </w:tcPr>
          <w:p>
            <w:r>
              <w:rPr>
                <w:sz w:val="16"/>
              </w:rPr>
              <w:t>G2 Pre-Tooling</w:t>
            </w:r>
          </w:p>
        </w:tc>
        <w:tc>
          <w:tcPr>
            <w:tcW w:type="dxa" w:w="720"/>
            <w:shd w:val="clear" w:color="auto" w:fill="F5F5F5"/>
          </w:tcPr>
          <w:p>
            <w:r>
              <w:rPr>
                <w:sz w:val="16"/>
              </w:rPr>
              <w:t>OPEN</w:t>
            </w:r>
          </w:p>
        </w:tc>
      </w:tr>
      <w:tr>
        <w:tc>
          <w:tcPr>
            <w:tcW w:type="dxa" w:w="720"/>
            <w:shd w:val="clear" w:color="auto" w:fill="FFFFFF"/>
          </w:tcPr>
          <w:p>
            <w:r>
              <w:rPr>
                <w:b/>
                <w:sz w:val="16"/>
              </w:rPr>
              <w:t>OI-5</w:t>
            </w:r>
          </w:p>
        </w:tc>
        <w:tc>
          <w:tcPr>
            <w:tcW w:type="dxa" w:w="5472"/>
            <w:shd w:val="clear" w:color="auto" w:fill="FFFFFF"/>
          </w:tcPr>
          <w:p>
            <w:r>
              <w:rPr>
                <w:sz w:val="16"/>
              </w:rPr>
              <w:t>Zone color palette confirmed with accessibility review (must pass against shell color under all lighting conditions)</w:t>
            </w:r>
          </w:p>
        </w:tc>
        <w:tc>
          <w:tcPr>
            <w:tcW w:type="dxa" w:w="1152"/>
            <w:shd w:val="clear" w:color="auto" w:fill="FFFFFF"/>
          </w:tcPr>
          <w:p>
            <w:r>
              <w:rPr>
                <w:sz w:val="16"/>
              </w:rPr>
              <w:t>Design</w:t>
            </w:r>
          </w:p>
        </w:tc>
        <w:tc>
          <w:tcPr>
            <w:tcW w:type="dxa" w:w="1728"/>
            <w:shd w:val="clear" w:color="auto" w:fill="FFFFFF"/>
          </w:tcPr>
          <w:p>
            <w:r>
              <w:rPr>
                <w:sz w:val="16"/>
              </w:rPr>
              <w:t>G1 Pre-Layout</w:t>
            </w:r>
          </w:p>
        </w:tc>
        <w:tc>
          <w:tcPr>
            <w:tcW w:type="dxa" w:w="720"/>
            <w:shd w:val="clear" w:color="auto" w:fill="FFFFFF"/>
          </w:tcPr>
          <w:p>
            <w:r>
              <w:rPr>
                <w:sz w:val="16"/>
              </w:rPr>
              <w:t>OPEN</w:t>
            </w:r>
          </w:p>
        </w:tc>
      </w:tr>
      <w:tr>
        <w:tc>
          <w:tcPr>
            <w:tcW w:type="dxa" w:w="720"/>
            <w:shd w:val="clear" w:color="auto" w:fill="F5F5F5"/>
          </w:tcPr>
          <w:p>
            <w:r>
              <w:rPr>
                <w:b/>
                <w:sz w:val="16"/>
              </w:rPr>
              <w:t>OI-6</w:t>
            </w:r>
          </w:p>
        </w:tc>
        <w:tc>
          <w:tcPr>
            <w:tcW w:type="dxa" w:w="5472"/>
            <w:shd w:val="clear" w:color="auto" w:fill="F5F5F5"/>
          </w:tcPr>
          <w:p>
            <w:r>
              <w:rPr>
                <w:sz w:val="16"/>
              </w:rPr>
              <w:t>Mold DFM review with tooling house — confirm all features manufacturable with proposed gate locations and draft angles</w:t>
            </w:r>
          </w:p>
        </w:tc>
        <w:tc>
          <w:tcPr>
            <w:tcW w:type="dxa" w:w="1152"/>
            <w:shd w:val="clear" w:color="auto" w:fill="F5F5F5"/>
          </w:tcPr>
          <w:p>
            <w:r>
              <w:rPr>
                <w:sz w:val="16"/>
              </w:rPr>
              <w:t>ME + Tooling</w:t>
            </w:r>
          </w:p>
        </w:tc>
        <w:tc>
          <w:tcPr>
            <w:tcW w:type="dxa" w:w="1728"/>
            <w:shd w:val="clear" w:color="auto" w:fill="F5F5F5"/>
          </w:tcPr>
          <w:p>
            <w:r>
              <w:rPr>
                <w:sz w:val="16"/>
              </w:rPr>
              <w:t>G1 Pre-Layout</w:t>
            </w:r>
          </w:p>
        </w:tc>
        <w:tc>
          <w:tcPr>
            <w:tcW w:type="dxa" w:w="720"/>
            <w:shd w:val="clear" w:color="auto" w:fill="F5F5F5"/>
          </w:tcPr>
          <w:p>
            <w:r>
              <w:rPr>
                <w:sz w:val="16"/>
              </w:rPr>
              <w:t>OPEN</w:t>
            </w:r>
          </w:p>
        </w:tc>
      </w:tr>
      <w:tr>
        <w:tc>
          <w:tcPr>
            <w:tcW w:w="720" w:type="dxa"/>
          </w:tcPr>
          <w:p>
            <w:r>
              <w:rPr>
                <w:b/>
                <w:sz w:val="16"/>
              </w:rPr>
              <w:t xml:space="preserve">OI-7</w:t>
            </w:r>
          </w:p>
        </w:tc>
        <w:tc>
          <w:tcPr>
            <w:tcW w:w="5472" w:type="dxa"/>
          </w:tcPr>
          <w:p>
            <w:r>
              <w:rPr>
                <w:sz w:val="16"/>
              </w:rPr>
              <w:t xml:space="preserve">Confirm ≥2 mm clearance between eject lever pivot boss and ZIF back-flip lever in assembled module position. ME to verify in CAD and on prototype.</w:t>
            </w:r>
          </w:p>
        </w:tc>
        <w:tc>
          <w:tcPr>
            <w:tcW w:w="1152" w:type="dxa"/>
          </w:tcPr>
          <w:p>
            <w:r>
              <w:rPr>
                <w:sz w:val="16"/>
              </w:rPr>
              <w:t xml:space="preserve">ME</w:t>
            </w:r>
          </w:p>
        </w:tc>
        <w:tc>
          <w:tcPr>
            <w:tcW w:w="1728" w:type="dxa"/>
          </w:tcPr>
          <w:p>
            <w:r>
              <w:rPr>
                <w:sz w:val="16"/>
              </w:rPr>
              <w:t xml:space="preserve">G1 Pre-Layout</w:t>
            </w:r>
          </w:p>
        </w:tc>
        <w:tc>
          <w:tcPr>
            <w:tcW w:w="720" w:type="dxa"/>
            <w:shd w:val="clear" w:color="auto" w:fill="FFF2CC"/>
          </w:tcPr>
          <w:p>
            <w:r>
              <w:rPr>
                <w:sz w:val="16"/>
              </w:rPr>
              <w:t xml:space="preserve">OPEN</w:t>
            </w:r>
          </w:p>
        </w:tc>
      </w:tr>
    </w:tbl>
    <w:p/>
    <w:p>
      <w:r>
        <w:rPr>
          <w:b/>
          <w:color w:val="1F497D"/>
          <w:sz w:val="24"/>
        </w:rPr>
        <w:t>8.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576"/>
            <w:shd w:val="clear" w:color="auto" w:fill="1F497D"/>
          </w:tcPr>
          <w:p>
            <w:r>
              <w:rPr>
                <w:b/>
                <w:color w:val="FFFFFF"/>
                <w:sz w:val="16"/>
              </w:rPr>
              <w:t>Rev</w:t>
            </w:r>
          </w:p>
        </w:tc>
        <w:tc>
          <w:tcPr>
            <w:tcW w:type="dxa" w:w="1440"/>
            <w:shd w:val="clear" w:color="auto" w:fill="1F497D"/>
          </w:tcPr>
          <w:p>
            <w:r>
              <w:rPr>
                <w:b/>
                <w:color w:val="FFFFFF"/>
                <w:sz w:val="16"/>
              </w:rPr>
              <w:t>Date</w:t>
            </w:r>
          </w:p>
        </w:tc>
        <w:tc>
          <w:tcPr>
            <w:tcW w:type="dxa" w:w="6336"/>
            <w:shd w:val="clear" w:color="auto" w:fill="1F497D"/>
          </w:tcPr>
          <w:p>
            <w:r>
              <w:rPr>
                <w:b/>
                <w:color w:val="FFFFFF"/>
                <w:sz w:val="16"/>
              </w:rPr>
              <w:t>Changes</w:t>
            </w:r>
          </w:p>
        </w:tc>
        <w:tc>
          <w:tcPr>
            <w:tcW w:type="dxa" w:w="1296"/>
            <w:shd w:val="clear" w:color="auto" w:fill="1F497D"/>
          </w:tcPr>
          <w:p>
            <w:r>
              <w:rPr>
                <w:b/>
                <w:color w:val="FFFFFF"/>
                <w:sz w:val="16"/>
              </w:rPr>
              <w:t>Author</w:t>
            </w:r>
          </w:p>
        </w:tc>
      </w:tr>
      <w:tr>
        <w:tc>
          <w:tcPr>
            <w:tcW w:type="dxa" w:w="576"/>
            <w:shd w:val="clear" w:color="auto" w:fill="FFFFFF"/>
          </w:tcPr>
          <w:p>
            <w:r>
              <w:rPr>
                <w:b/>
                <w:sz w:val="16"/>
              </w:rPr>
              <w:t>A</w:t>
            </w:r>
          </w:p>
        </w:tc>
        <w:tc>
          <w:tcPr>
            <w:tcW w:type="dxa" w:w="1440"/>
            <w:shd w:val="clear" w:color="auto" w:fill="FFFFFF"/>
          </w:tcPr>
          <w:p>
            <w:r>
              <w:rPr>
                <w:sz w:val="16"/>
              </w:rPr>
              <w:t>2026-05-06</w:t>
            </w:r>
          </w:p>
        </w:tc>
        <w:tc>
          <w:tcPr>
            <w:tcW w:type="dxa" w:w="6336"/>
            <w:shd w:val="clear" w:color="auto" w:fill="FFFFFF"/>
          </w:tcPr>
          <w:p>
            <w:r>
              <w:rPr>
                <w:sz w:val="16"/>
              </w:rPr>
              <w:t>Initial release. Consolidates RISK-06 (F-07 baffle), RISK-14 Option B (F-04 PD2), RISK-15 (F-01 key, F-02 numeral, F-03 braille), RISK-16 (F-05 gasket), RISK-19 (F-06 retention groove), RISK-22 (F-08 pull tab). Created to mitigate RISK-23 (mold complexity omission risk).</w:t>
            </w:r>
          </w:p>
        </w:tc>
        <w:tc>
          <w:tcPr>
            <w:tcW w:type="dxa" w:w="1296"/>
            <w:shd w:val="clear" w:color="auto" w:fill="FFFFFF"/>
          </w:tcPr>
          <w:p>
            <w:r>
              <w:rPr>
                <w:sz w:val="16"/>
              </w:rPr>
              <w:t>Claude/EE+ME</w:t>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