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tcPr>
          <w:p>
            <w:r>
              <w:rPr>
                <w:sz w:val="16"/>
              </w:rPr>
              <w:t>G1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tcPr>
          <w:p>
            <w:r>
              <w:rPr>
                <w:b w:val="0"/>
                <w:color w:val="604000"/>
                <w:sz w:val="16"/>
              </w:rPr>
              <w:t>OPEN — design decision</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t>SiO₂ sputtering process house confirmed (RISK-04)</w:t>
            </w:r>
          </w:p>
        </w:tc>
        <w:tc>
          <w:tcPr>
            <w:tcW w:type="dxa" w:w="1224"/>
            <w:shd w:val="clear" w:color="auto" w:fill="FFE699"/>
          </w:tcPr>
          <w:p>
            <w:r>
              <w:rPr>
                <w:b w:val="0"/>
                <w:color w:val="604000"/>
                <w:sz w:val="16"/>
              </w:rPr>
              <w:t>OPEN</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t>PDMS thermal cycling qualification 200 cycles</w:t>
            </w:r>
          </w:p>
        </w:tc>
        <w:tc>
          <w:tcPr>
            <w:tcW w:type="dxa" w:w="1224"/>
            <w:shd w:val="clear" w:color="auto" w:fill="FFE699"/>
          </w:tcPr>
          <w:p>
            <w:r>
              <w:rPr>
                <w:b w:val="0"/>
                <w:color w:val="604000"/>
                <w:sz w:val="16"/>
              </w:rPr>
              <w:t>OPEN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