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test (witness coupon from same bonding batch as production units): 90° peel test on 25 mm × 25 mm PDMS–PI bonded coupon. Coupon must be processed through full SiO₂ sputter + O₂ plasma + cure sequence identically to production FPCs.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force ≥ 150 N/m (per NP-HW-FPC-001 §9.3 and IPC-TM-650 2.4.9). Target ≥ 400 N/m. 100–149 N/m → conditional accept, review bonding process, re-run 3 coupons. &lt; 100 N/m → reject batch; halt production; SiO₂ interlayer process non-conformant — escalate to Manufacturing Eng.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Accelerated thermal cycling screen (production batch check — 5 cycles): 5 cycles −20°C to +70°C on 1 witness coupon per production batch. This is a fast screen only — it does NOT replace the full 200-cycle IEC 60068-2-14 process qualification (see §3e FAI-TC items, which must pass before any production begins).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No new delamination (visual + 10× magnifier) after 5 cycles. If any delamination: halt batch; run full peel test per FAI-M02. If peel force drops below 150 N/m: reject batch, re-qualify process. Note: FAI-M03 pass alone does NOT confirm long-term reliability — §3e qualification must already be on file.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 w:val="0"/>
          <w:sz w:val="20"/>
        </w:rPr>
        <w:t>Test rationale: no published fatigue data exists for PI–PDMS bonds under LED-junction thermal cycling conditions (PDMS CTE ≈ 300 ppm/°C vs. PI ≈ 18 ppm/°C, 15:1 mismatch). 200-cycle IEC 60068-2-14 qualification generates this data. If the SiO₂ interlayer process requires adjustment, it must be identified here — not after tooling is committed.</w:t>
      </w:r>
    </w:p>
    <w:p>
      <w:r>
        <w:rPr>
          <w:b w:val="0"/>
          <w:sz w:val="20"/>
        </w:rPr>
        <w:t>This section covers the one-time process qualification test required before any production zone modules are built. It must be completed and signed off before zone module tooling is released (NP-COORD-001 gate G1-08). The test validates that the SiO₂-interlayer bonding process (NP-HW-FPC-001 §9.2) can survive the 1,800+ thermal cycles expected over device lifetime. FAI-TC02 is BLOCKING — production cannot start without a pass record on file.</w:t>
      </w:r>
    </w:p>
    <w:p>
      <w:r>
        <w:rPr>
          <w:b/>
          <w:color w:val="1F497D"/>
          <w:sz w:val="22"/>
        </w:rPr>
        <w:t>3e.  PDMS Thermal Cycling Process Qualification  [RISK-04 — one-time, pre-production]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Bonding process documentation check: confirm SiO₂ sputter parameters (75 nm, RF magnetron), O₂ plasma parameters (100 W / 30 sccm / 60 s), cure (120°C / 2 hr / 50 g/cm²), and &lt; 10 min delay between plasma and bond contact are documented in supplier process control plan before any qualification samples are made.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Process control plan review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parameters documented and confirmed. Any deviation from NP-HW-FPC-001 §9.2 must be approved in writing by HW EE before qualification proceeds.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Full thermal cycling qualification: IEC 60068-2-14 condition Na. 10 bonded PDMS–FPC coupons (same dimensions and process as production). 200 cycles, −10°C to +65°C, 15 min dwell at each extreme, ramp rate ≤ 3°C/min. Inspect 5 coupons at 100 cycles (interim check); inspect all 10 at 200 cycles.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60068-2-14 thermal chamber; 200 cycles; interim check at 100 cycles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Zero delamination (visual + 10× magnifier) at 100-cycle interim check. Zero delamination at 200 cycles on all 10 coupons. Any delamination at any point → HALT: SiO₂ interlayer process non-conformant. Review sputter thickness, plasma parameters, and cure conditions before re-run. Production CANNOT start until this test passes.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Post-cycling peel test: 90° peel test on all 10 coupons immediately after FAI-TC02 thermal cycling completion. Same test method as FAI-M02 (IPC-TM-650 2.4.9).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90° peel test, Instron or similar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Peel force ≥ 150 N/m on all 10 coupons after 200 cycles. Target ≥ 400 N/m (pre-cycling target applies here too — cycling should not degrade peel force below 150 N/m). Record min/max/mean — document in process qualification report.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Post-cycling optical transmission: measure optical transmittance at 660 nm and 808 nm through each of the 10 coupons after thermal cycling, using the same spectrophotometer as pre-cycling baseline measurement.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Spectrophotometer, 660 nm and 808 nm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Transmittance ≥ 90% of pre-cycling baseline value at both wavelengths. Any coupon below 90% → investigate for delamination-induced air gap or PDMS haze formation. Reject if &lt; 85% absolute transmittance.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junction thermal cycling simulation (supplemental, recommended): assemble 3 complete zone modules with qualified PDMS process; run 500 LED-on/LED-off thermal cycles at maximum rated current (PWM 25% duty, 180 mA peak). Monitor PD1 output each cycle — normalised to initial value.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Production zone module + bench power supply; 500 LED cycles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PD1 output remains within 5% of initial value after 500 cycles (no air gap forming under LED thermal cycling). This test is recommended, not mandatory for production release, but must be completed before claiming &gt; 2-year PDMS reliability.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Qualification report sign-off: all FAI-TC01 through FAI-TC04 results recorded in PDMS Process Qualification Report (document number NP-QR-PDMS-001). Report must be signed by Manufacturing Eng and HW EE before production start.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Document review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Signed qualification report on file. Report includes: supplier name, process control plan ref, test dates, all peel force and transmittance data, thermal chamber calibration certificate. Report retained for device lifetime + 2 years (regulatory retention requirement).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FAI-A09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 module tactile identification: verify raised numeral (1–5) and braille zone abbreviation are present and readable on all 5 zone module bodies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finger-reading test by 3 test subjects with eyes closed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Numeral present on all 5 modules; braille readable by each test subject (confirmed match to zone position). Any absent or unreadable → reject.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FAI-A10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Shell tactile dot patterns: verify N raised dots adjacent to each zone slot for zones 1–5; confirm pattern is finger-findable from the slot edge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blind-condition finger test by 3 test subjects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Correct dot count at each slot; dots reachable within 5 s by test subjects without visual reference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FAI-A11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ZONE_ID electronic verification: read ADC voltage at pin 18 for all 5 zones and confirm correct resistor value per zone (ZM-01=10k, 02=22k, 03=47k, 04=100k, 05=220k ±5% ADC tolerance)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Hub MCU diagnostic mode (or bench ADC measurement)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zones read correct ID within ±5% band. Any zone outside band → reject module lot.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FAI-A12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[BLOCKING] Wrong-zone ENABLE block: insert ZM-02 module into ZM-01 slot; confirm firmware asserts FAULT, blocks ENABLE, and issues audio alert via bone conduction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ENABLE held low within 200 ms of module insertion. Bone conduction announces 'Wrong module' within 3 s. Session cannot start.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FAI-A13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Correct-zone audio confirmation: insert all 5 modules correctly; confirm bone conduction announces correct zone name for each zone during headset initialisation sequence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test; listen to bone conduction output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 names announced correctly and in sequence. Audio intelligible at normal ambient noise level (≤60 dB background).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FAI-A14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Mechanical key exclusion test: attempt to insert each zone module into each wrong slot (ZM-01 → slots 2–5, etc.); confirm mechanical key prevents insertion in all incorrect slot/module combinations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manual test — 20 wrong-slot attempts per unit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Zero incorrect insertions possible. Module must be fully stopped by mechanical key before FPC tail contacts ZIF. Any mis-insertion possible → halt, escalate.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b/>
                <w:sz w:val="16"/>
              </w:rPr>
              <w:t xml:space="preserve">FAI-A15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Eject lever accessibility test (RISK-22): 5 test subjects with diagnosed Parkinson's disease (Hoehn &amp; Yahr scale II–III) or post-stroke hand weakness (grip strength ≤ 8 kg). Each subject removes and reinserts all 5 zone modules twice (10 total operations). No coaching; standard user instructions only.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HFE formative test — 5 subjects with Parkinson's/post-stroke (pre-production)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subjects complete each extraction in ≤ 10 s with no more than 2 attempts. No reported pain or excessive effort. Lever detent must not prevent extraction. Lever must not accidentally eject during normal wear simulation (5 min handling without deliberate ejection attempt).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FAI-H01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 coherence baseline (standalone): subject performs 5-minute guided breathing session at 6 breaths/min. App displays real-time coherence score. Verify: PPG R-R interval successfully detected from auricular clip (&gt;95% beat detection); coherence score updates at ≤2s interval; bone conduction audio breathing cue audible at ≥60dB at ear.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App + firmware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Beat detection ≥95% (validated against ECG reference in bench test). Coherence score range 0–10 correctly calculated. Audio cue timing: ±0.1s of target.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FAI-H02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HRV+taVNS synchronisation: 10-minute session, HRV+taVNS synchronised protocol. Verify firmware correctly identifies inspiration phase from PPG waveform and triggers taVNS pulse within ±150ms of peak inspiration for ≥80% of respiratory cycles. Subject: 3 healthy adults.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3 subjects, bench + human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Inspiration-triggered stimulation latency ≤150ms in ≥80% of cycles. No taVNS stimulation during expiration-only phases. No subject reports unexpected sensation from mis-timed stimulation.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FAI-H03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HRV+EEG dual biofeedback: 10-minute session, both coherence score and EEG alpha/theta band power displayed simultaneously. Verify: both metrics update independently without interference; EEG signal quality unchanged when taVNS is running concurrently (signal-to-noise check).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App + signal quality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Both metrics update at ≤2s intervals. EEG SNR during concurrent taVNS ≥90% of baseline (taVNS artefact &lt;5µV RMS after filtering).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FAI-H04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HRV+PBM multi-modal session: 15-minute combined session (PBM zone 1–5 at standard dose + HRV coherence training simultaneously). Verify: PBM dosimetry unaffected by concurrent HRV session; HRV coherence scores in expected range (≥5.0 for subjects trained in resonance breathing); no thermal interaction between PBM NTC monitoring and PPG signal processing.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3 subjects with prior HRV biofeedback experience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PBM J/cm² dose within ±5% of target. HRV coherence ≥5.0 in all 3 subjects (indicates usable biofeedback loop). NTC temperature reporting unaffected.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20"/>
        </w:rPr>
        <w:t>Self-sealing co-moulded silicone gasket — no user action, no RTV, no re-sealing procedure. FAI-IPX-02 is BLOCKING.</w:t>
      </w:r>
    </w:p>
    <w:p>
      <w:r>
        <w:rPr>
          <w:b/>
          <w:color w:val="1F497D"/>
          <w:sz w:val="20"/>
        </w:rPr>
        <w:t>4c.  Sealing and IPX4 Verification  [RISK-16 — Option A gasket]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Initial IPX4 baseline: assembled headset, all 5 zone modules factory-installed. IEC 60529 IPX4 water spray from all directions, 10 minutes.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IEC 60529 IPX4 nozzle, 10 min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water ingress to Hub PCB, any connector, or zone module PCB. EEG impedance all channels &lt; 10 kΩ after test (functional check).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Field-replacement IPX4 re-test: remove and re-insert all 5 zone modules 10 times each (50 total swaps, no tools, no RTV, user-pace); then repeat full IEC 60529 IPX4 spray test without any re-sealing.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10 swap cycles per zone then IEC 60529 IPX4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Same pass criterion as FAI-IPX-01. Zero water ingress after 10 field swaps. Any ingress → HALT production; gasket geometry or shell rim tolerance non-conformant. Escalate to Mechanical Engineering immediately.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Gasket visual and dimensional check after 10 swap cycles: inspect all 5 zone module gaskets under 10× magnification; measure gasket cross-section height on 2 modules with calibrated comparator.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10× magnifier; calibrated comparator (2 modules)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tears, cuts, or embedded debris. Compression set &lt; 10%: gasket height ≥ 1.80 mm (vs. 2.00 mm nominal) after cycle release.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Gasket shelf-life / ageing qualification (first-article qualification, not every lot): store 5 sealed zone modules at 40°C / 75% RH for 90 days (equivalent to ~2 years at ambient per Arrhenius). Perform IPX4 test and gasket dimension check at end of storage.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60068-2-66 damp heat storage; then IPX4 + dimensional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IPX4 pass. Gasket dimensions within 5% of nominal. Compression set &lt; 15% after ageing. Qualification pass required before first production run.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Programme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RISK-15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keying — colour-blind + blind-accessible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FAI-A09, FAI-A10, FAI-A11, FAI-A12, FAI-A13, FAI-A14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RISK-16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IPX4 field-replacement — Option A gasket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FAI-IPX-01, FAI-IPX-02, FAI-IPX-03, FAI-IPX-04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RISK-22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module extraction — reduced grip / tremor (sliding eject lever)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FAI-A15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RISK-04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PDMS–PI CTE mismatch thermal cycling delamination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FAI-M01, FAI-M02, FAI-M03, FAI-TC01–FAI-TC06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